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Georgia" w:cs="Georgia" w:eastAsia="Georgia" w:hAnsi="Georgia"/>
          <w:sz w:val="22"/>
          <w:szCs w:val="22"/>
          <w:b w:val="1"/>
          <w:bCs w:val="1"/>
          <w:color w:val="auto"/>
        </w:rPr>
        <w:t>UNITED STATES</w:t>
      </w:r>
    </w:p>
    <w:p>
      <w:pPr>
        <w:spacing w:after="0" w:line="7"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SECURITIES AND EXCHANGE COMMISSION</w:t>
      </w:r>
    </w:p>
    <w:p>
      <w:pPr>
        <w:jc w:val="center"/>
        <w:ind w:right="-59"/>
        <w:spacing w:after="0" w:line="238" w:lineRule="auto"/>
        <w:rPr>
          <w:sz w:val="20"/>
          <w:szCs w:val="20"/>
          <w:color w:val="auto"/>
        </w:rPr>
      </w:pPr>
      <w:r>
        <w:rPr>
          <w:rFonts w:ascii="Georgia" w:cs="Georgia" w:eastAsia="Georgia" w:hAnsi="Georgia"/>
          <w:sz w:val="20"/>
          <w:szCs w:val="20"/>
          <w:b w:val="1"/>
          <w:bCs w:val="1"/>
          <w:color w:val="auto"/>
        </w:rPr>
        <w:t>Washington, D.C. 20549</w:t>
      </w:r>
    </w:p>
    <w:p>
      <w:pPr>
        <w:spacing w:after="0" w:line="213"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SCHEDULE 13G</w:t>
      </w:r>
    </w:p>
    <w:p>
      <w:pPr>
        <w:spacing w:after="0" w:line="200" w:lineRule="exact"/>
        <w:rPr>
          <w:sz w:val="24"/>
          <w:szCs w:val="24"/>
          <w:color w:val="auto"/>
        </w:rPr>
      </w:pPr>
    </w:p>
    <w:p>
      <w:pPr>
        <w:spacing w:after="0" w:line="210" w:lineRule="exact"/>
        <w:rPr>
          <w:sz w:val="24"/>
          <w:szCs w:val="24"/>
          <w:color w:val="auto"/>
        </w:rPr>
      </w:pPr>
    </w:p>
    <w:p>
      <w:pPr>
        <w:jc w:val="center"/>
        <w:ind w:right="-59"/>
        <w:spacing w:after="0"/>
        <w:rPr>
          <w:sz w:val="20"/>
          <w:szCs w:val="20"/>
          <w:color w:val="auto"/>
        </w:rPr>
      </w:pPr>
      <w:r>
        <w:rPr>
          <w:rFonts w:ascii="Georgia" w:cs="Georgia" w:eastAsia="Georgia" w:hAnsi="Georgia"/>
          <w:sz w:val="20"/>
          <w:szCs w:val="20"/>
          <w:b w:val="1"/>
          <w:bCs w:val="1"/>
          <w:color w:val="auto"/>
        </w:rPr>
        <w:t>Under the Securities Exchange Act of 1934</w:t>
      </w:r>
    </w:p>
    <w:p>
      <w:pPr>
        <w:jc w:val="center"/>
        <w:ind w:right="-59"/>
        <w:spacing w:after="0" w:line="236" w:lineRule="auto"/>
        <w:rPr>
          <w:sz w:val="20"/>
          <w:szCs w:val="20"/>
          <w:color w:val="auto"/>
        </w:rPr>
      </w:pPr>
      <w:r>
        <w:rPr>
          <w:rFonts w:ascii="Georgia" w:cs="Georgia" w:eastAsia="Georgia" w:hAnsi="Georgia"/>
          <w:sz w:val="20"/>
          <w:szCs w:val="20"/>
          <w:b w:val="1"/>
          <w:bCs w:val="1"/>
          <w:color w:val="auto"/>
        </w:rPr>
        <w:t>(Amendment No. 1)*</w:t>
      </w:r>
    </w:p>
    <w:p>
      <w:pPr>
        <w:spacing w:after="0" w:line="200" w:lineRule="exact"/>
        <w:rPr>
          <w:sz w:val="24"/>
          <w:szCs w:val="24"/>
          <w:color w:val="auto"/>
        </w:rPr>
      </w:pPr>
    </w:p>
    <w:p>
      <w:pPr>
        <w:spacing w:after="0" w:line="202"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M I ACQUISITIONS, INC.</w:t>
      </w:r>
    </w:p>
    <w:p>
      <w:pPr>
        <w:jc w:val="center"/>
        <w:ind w:right="-59"/>
        <w:spacing w:after="0" w:line="238" w:lineRule="auto"/>
        <w:rPr>
          <w:sz w:val="20"/>
          <w:szCs w:val="20"/>
          <w:color w:val="auto"/>
        </w:rPr>
      </w:pPr>
      <w:r>
        <w:rPr>
          <w:rFonts w:ascii="Georgia" w:cs="Georgia" w:eastAsia="Georgia" w:hAnsi="Georgia"/>
          <w:sz w:val="20"/>
          <w:szCs w:val="20"/>
          <w:color w:val="auto"/>
        </w:rPr>
        <w:t>(Name of Issuer)</w:t>
      </w:r>
    </w:p>
    <w:p>
      <w:pPr>
        <w:spacing w:after="0" w:line="200" w:lineRule="exact"/>
        <w:rPr>
          <w:sz w:val="24"/>
          <w:szCs w:val="24"/>
          <w:color w:val="auto"/>
        </w:rPr>
      </w:pPr>
    </w:p>
    <w:p>
      <w:pPr>
        <w:spacing w:after="0" w:line="230"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Common stock, par value $0.001 per share</w:t>
      </w:r>
    </w:p>
    <w:p>
      <w:pPr>
        <w:jc w:val="center"/>
        <w:ind w:right="-59"/>
        <w:spacing w:after="0" w:line="238" w:lineRule="auto"/>
        <w:rPr>
          <w:sz w:val="20"/>
          <w:szCs w:val="20"/>
          <w:color w:val="auto"/>
        </w:rPr>
      </w:pPr>
      <w:r>
        <w:rPr>
          <w:rFonts w:ascii="Georgia" w:cs="Georgia" w:eastAsia="Georgia" w:hAnsi="Georgia"/>
          <w:sz w:val="20"/>
          <w:szCs w:val="20"/>
          <w:color w:val="auto"/>
        </w:rPr>
        <w:t>(Title of Class of Securities)</w:t>
      </w:r>
    </w:p>
    <w:p>
      <w:pPr>
        <w:spacing w:after="0" w:line="200" w:lineRule="exact"/>
        <w:rPr>
          <w:sz w:val="24"/>
          <w:szCs w:val="24"/>
          <w:color w:val="auto"/>
        </w:rPr>
      </w:pPr>
    </w:p>
    <w:p>
      <w:pPr>
        <w:spacing w:after="0" w:line="230"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55304A104</w:t>
      </w:r>
    </w:p>
    <w:p>
      <w:pPr>
        <w:jc w:val="center"/>
        <w:ind w:right="-59"/>
        <w:spacing w:after="0" w:line="238" w:lineRule="auto"/>
        <w:rPr>
          <w:sz w:val="20"/>
          <w:szCs w:val="20"/>
          <w:color w:val="auto"/>
        </w:rPr>
      </w:pPr>
      <w:r>
        <w:rPr>
          <w:rFonts w:ascii="Georgia" w:cs="Georgia" w:eastAsia="Georgia" w:hAnsi="Georgia"/>
          <w:sz w:val="20"/>
          <w:szCs w:val="20"/>
          <w:color w:val="auto"/>
        </w:rPr>
        <w:t>(CUSIP Number)</w:t>
      </w:r>
    </w:p>
    <w:p>
      <w:pPr>
        <w:spacing w:after="0" w:line="200" w:lineRule="exact"/>
        <w:rPr>
          <w:sz w:val="24"/>
          <w:szCs w:val="24"/>
          <w:color w:val="auto"/>
        </w:rPr>
      </w:pPr>
    </w:p>
    <w:p>
      <w:pPr>
        <w:spacing w:after="0" w:line="230"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December 29, 2017</w:t>
      </w:r>
    </w:p>
    <w:p>
      <w:pPr>
        <w:jc w:val="center"/>
        <w:ind w:right="-59"/>
        <w:spacing w:after="0" w:line="238" w:lineRule="auto"/>
        <w:rPr>
          <w:sz w:val="20"/>
          <w:szCs w:val="20"/>
          <w:color w:val="auto"/>
        </w:rPr>
      </w:pPr>
      <w:r>
        <w:rPr>
          <w:rFonts w:ascii="Georgia" w:cs="Georgia" w:eastAsia="Georgia" w:hAnsi="Georgia"/>
          <w:sz w:val="20"/>
          <w:szCs w:val="20"/>
          <w:color w:val="auto"/>
        </w:rPr>
        <w:t>(Date of Event which Requires Filing of this Statement)</w:t>
      </w:r>
    </w:p>
    <w:p>
      <w:pPr>
        <w:spacing w:after="0" w:line="399" w:lineRule="exact"/>
        <w:rPr>
          <w:sz w:val="24"/>
          <w:szCs w:val="24"/>
          <w:color w:val="auto"/>
        </w:rPr>
      </w:pPr>
    </w:p>
    <w:p>
      <w:pPr>
        <w:spacing w:after="0"/>
        <w:rPr>
          <w:sz w:val="20"/>
          <w:szCs w:val="20"/>
          <w:color w:val="auto"/>
        </w:rPr>
      </w:pPr>
      <w:r>
        <w:rPr>
          <w:rFonts w:ascii="Georgia" w:cs="Georgia" w:eastAsia="Georgia" w:hAnsi="Georgia"/>
          <w:sz w:val="18"/>
          <w:szCs w:val="18"/>
          <w:color w:val="auto"/>
        </w:rPr>
        <w:t>Check the appropriate box to designate the rule pursuant to which this Schedule is filed:</w:t>
      </w:r>
    </w:p>
    <w:p>
      <w:pPr>
        <w:spacing w:after="0" w:line="351" w:lineRule="exact"/>
        <w:rPr>
          <w:sz w:val="24"/>
          <w:szCs w:val="24"/>
          <w:color w:val="auto"/>
        </w:rPr>
      </w:pPr>
    </w:p>
    <w:p>
      <w:pPr>
        <w:jc w:val="both"/>
        <w:ind w:left="4640" w:right="4560" w:hanging="8"/>
        <w:spacing w:after="0" w:line="237" w:lineRule="auto"/>
        <w:tabs>
          <w:tab w:leader="none" w:pos="4946" w:val="left"/>
        </w:tabs>
        <w:numPr>
          <w:ilvl w:val="1"/>
          <w:numId w:val="1"/>
        </w:numPr>
        <w:rPr>
          <w:rFonts w:ascii="Georgia" w:cs="Georgia" w:eastAsia="Georgia" w:hAnsi="Georgia"/>
          <w:sz w:val="18"/>
          <w:szCs w:val="18"/>
          <w:color w:val="auto"/>
        </w:rPr>
      </w:pPr>
      <w:r>
        <w:rPr>
          <w:rFonts w:ascii="Georgia" w:cs="Georgia" w:eastAsia="Georgia" w:hAnsi="Georgia"/>
          <w:sz w:val="18"/>
          <w:szCs w:val="18"/>
          <w:color w:val="auto"/>
        </w:rPr>
        <w:t>Rule 13d-1(b) [ ] Rule 13d-1(c) [ ] Rule 13d-1(d)</w:t>
      </w:r>
    </w:p>
    <w:p>
      <w:pPr>
        <w:spacing w:after="0" w:line="366" w:lineRule="exact"/>
        <w:rPr>
          <w:rFonts w:ascii="Georgia" w:cs="Georgia" w:eastAsia="Georgia" w:hAnsi="Georgia"/>
          <w:sz w:val="18"/>
          <w:szCs w:val="18"/>
          <w:color w:val="auto"/>
        </w:rPr>
      </w:pPr>
    </w:p>
    <w:p>
      <w:pPr>
        <w:spacing w:after="0" w:line="237" w:lineRule="auto"/>
        <w:rPr>
          <w:rFonts w:ascii="Georgia" w:cs="Georgia" w:eastAsia="Georgia" w:hAnsi="Georgia"/>
          <w:sz w:val="18"/>
          <w:szCs w:val="18"/>
          <w:color w:val="auto"/>
        </w:rPr>
      </w:pPr>
      <w:r>
        <w:rPr>
          <w:rFonts w:ascii="Georgia" w:cs="Georgia" w:eastAsia="Georgia" w:hAnsi="Georgia"/>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66" w:lineRule="exact"/>
        <w:rPr>
          <w:sz w:val="24"/>
          <w:szCs w:val="24"/>
          <w:color w:val="auto"/>
        </w:rPr>
      </w:pPr>
    </w:p>
    <w:p>
      <w:pPr>
        <w:ind w:right="80"/>
        <w:spacing w:after="0" w:line="237" w:lineRule="auto"/>
        <w:rPr>
          <w:sz w:val="20"/>
          <w:szCs w:val="20"/>
          <w:color w:val="auto"/>
        </w:rPr>
      </w:pPr>
      <w:r>
        <w:rPr>
          <w:rFonts w:ascii="Georgia" w:cs="Georgia" w:eastAsia="Georgia" w:hAnsi="Georgia"/>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80"/>
          </w:cols>
          <w:pgMar w:left="240" w:top="246" w:right="1079" w:bottom="1440" w:gutter="0" w:footer="0" w:header="0"/>
        </w:sectPr>
      </w:pPr>
    </w:p>
    <w:bookmarkStart w:id="1" w:name="page2"/>
    <w:bookmarkEnd w:id="1"/>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55304A104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6757670" cy="4210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7670" cy="421068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620" w:right="7020" w:hanging="374"/>
        <w:spacing w:after="0" w:line="238" w:lineRule="auto"/>
        <w:tabs>
          <w:tab w:leader="none" w:pos="620" w:val="left"/>
        </w:tabs>
        <w:numPr>
          <w:ilvl w:val="0"/>
          <w:numId w:val="2"/>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NAME OF REPORTING PERSON </w:t>
      </w:r>
      <w:r>
        <w:rPr>
          <w:rFonts w:ascii="Georgia" w:cs="Georgia" w:eastAsia="Georgia" w:hAnsi="Georgia"/>
          <w:sz w:val="18"/>
          <w:szCs w:val="18"/>
          <w:color w:val="auto"/>
        </w:rPr>
        <w:t>AQR Capital Management, LLC</w:t>
      </w:r>
    </w:p>
    <w:p>
      <w:pPr>
        <w:spacing w:after="0" w:line="187" w:lineRule="exact"/>
        <w:rPr>
          <w:sz w:val="20"/>
          <w:szCs w:val="20"/>
          <w:color w:val="auto"/>
        </w:rPr>
      </w:pPr>
    </w:p>
    <w:p>
      <w:pPr>
        <w:ind w:left="620"/>
        <w:spacing w:after="0"/>
        <w:rPr>
          <w:sz w:val="20"/>
          <w:szCs w:val="20"/>
          <w:color w:val="auto"/>
        </w:rPr>
      </w:pPr>
      <w:r>
        <w:rPr>
          <w:rFonts w:ascii="Georgia" w:cs="Georgia" w:eastAsia="Georgia" w:hAnsi="Georgia"/>
          <w:sz w:val="18"/>
          <w:szCs w:val="18"/>
          <w:b w:val="1"/>
          <w:bCs w:val="1"/>
          <w:color w:val="auto"/>
        </w:rPr>
        <w:t>I.R.S. IDENTIFICATION NO. OF ABOVE PERSON (ENTITIES ONLY)</w:t>
      </w:r>
    </w:p>
    <w:p>
      <w:pPr>
        <w:spacing w:after="0" w:line="133" w:lineRule="exact"/>
        <w:rPr>
          <w:sz w:val="20"/>
          <w:szCs w:val="20"/>
          <w:color w:val="auto"/>
        </w:rPr>
      </w:pPr>
    </w:p>
    <w:p>
      <w:pPr>
        <w:ind w:left="620" w:hanging="385"/>
        <w:spacing w:after="0"/>
        <w:tabs>
          <w:tab w:leader="none" w:pos="620" w:val="left"/>
        </w:tabs>
        <w:numPr>
          <w:ilvl w:val="0"/>
          <w:numId w:val="3"/>
        </w:numPr>
        <w:rPr>
          <w:rFonts w:ascii="Georgia" w:cs="Georgia" w:eastAsia="Georgia" w:hAnsi="Georgia"/>
          <w:sz w:val="18"/>
          <w:szCs w:val="18"/>
          <w:color w:val="auto"/>
        </w:rPr>
      </w:pPr>
      <w:r>
        <w:rPr>
          <w:rFonts w:ascii="Georgia" w:cs="Georgia" w:eastAsia="Georgia" w:hAnsi="Georgia"/>
          <w:sz w:val="18"/>
          <w:szCs w:val="18"/>
          <w:b w:val="1"/>
          <w:bCs w:val="1"/>
          <w:color w:val="auto"/>
        </w:rPr>
        <w:t>CHECK THE APPROPRIATE BOX IF A MEMBER OF A GROUP</w:t>
      </w:r>
    </w:p>
    <w:p>
      <w:pPr>
        <w:ind w:left="900" w:hanging="271"/>
        <w:spacing w:after="0" w:line="237" w:lineRule="auto"/>
        <w:tabs>
          <w:tab w:leader="none" w:pos="900" w:val="left"/>
        </w:tabs>
        <w:numPr>
          <w:ilvl w:val="1"/>
          <w:numId w:val="3"/>
        </w:numPr>
        <w:rPr>
          <w:rFonts w:ascii="Georgia" w:cs="Georgia" w:eastAsia="Georgia" w:hAnsi="Georgia"/>
          <w:sz w:val="18"/>
          <w:szCs w:val="18"/>
          <w:color w:val="auto"/>
        </w:rPr>
      </w:pPr>
      <w:r>
        <w:rPr>
          <w:rFonts w:ascii="Georgia" w:cs="Georgia" w:eastAsia="Georgia" w:hAnsi="Georgia"/>
          <w:sz w:val="18"/>
          <w:szCs w:val="18"/>
          <w:color w:val="auto"/>
        </w:rPr>
        <w:t>[  ]</w:t>
      </w:r>
    </w:p>
    <w:p>
      <w:pPr>
        <w:ind w:left="900" w:hanging="271"/>
        <w:spacing w:after="0" w:line="238" w:lineRule="auto"/>
        <w:tabs>
          <w:tab w:leader="none" w:pos="900" w:val="left"/>
        </w:tabs>
        <w:numPr>
          <w:ilvl w:val="1"/>
          <w:numId w:val="3"/>
        </w:numPr>
        <w:rPr>
          <w:rFonts w:ascii="Georgia" w:cs="Georgia" w:eastAsia="Georgia" w:hAnsi="Georgia"/>
          <w:sz w:val="18"/>
          <w:szCs w:val="18"/>
          <w:color w:val="auto"/>
        </w:rPr>
      </w:pPr>
      <w:r>
        <w:rPr>
          <w:rFonts w:ascii="Georgia" w:cs="Georgia" w:eastAsia="Georgia" w:hAnsi="Georgia"/>
          <w:sz w:val="18"/>
          <w:szCs w:val="18"/>
          <w:color w:val="auto"/>
        </w:rPr>
        <w:t>[  ]</w:t>
      </w:r>
    </w:p>
    <w:p>
      <w:pPr>
        <w:spacing w:after="0" w:line="147" w:lineRule="exact"/>
        <w:rPr>
          <w:sz w:val="20"/>
          <w:szCs w:val="20"/>
          <w:color w:val="auto"/>
        </w:rPr>
      </w:pPr>
    </w:p>
    <w:p>
      <w:pPr>
        <w:ind w:left="620" w:hanging="385"/>
        <w:spacing w:after="0"/>
        <w:tabs>
          <w:tab w:leader="none" w:pos="620" w:val="left"/>
        </w:tabs>
        <w:numPr>
          <w:ilvl w:val="0"/>
          <w:numId w:val="4"/>
        </w:numPr>
        <w:rPr>
          <w:rFonts w:ascii="Georgia" w:cs="Georgia" w:eastAsia="Georgia" w:hAnsi="Georgia"/>
          <w:sz w:val="18"/>
          <w:szCs w:val="18"/>
          <w:color w:val="auto"/>
        </w:rPr>
      </w:pPr>
      <w:r>
        <w:rPr>
          <w:rFonts w:ascii="Georgia" w:cs="Georgia" w:eastAsia="Georgia" w:hAnsi="Georgia"/>
          <w:sz w:val="18"/>
          <w:szCs w:val="18"/>
          <w:b w:val="1"/>
          <w:bCs w:val="1"/>
          <w:color w:val="auto"/>
        </w:rPr>
        <w:t>SEC USE ONLY</w:t>
      </w:r>
    </w:p>
    <w:p>
      <w:pPr>
        <w:spacing w:after="0" w:line="148" w:lineRule="exact"/>
        <w:rPr>
          <w:sz w:val="20"/>
          <w:szCs w:val="20"/>
          <w:color w:val="auto"/>
        </w:rPr>
      </w:pPr>
    </w:p>
    <w:p>
      <w:pPr>
        <w:ind w:left="620" w:right="5780" w:hanging="386"/>
        <w:spacing w:after="0" w:line="238" w:lineRule="auto"/>
        <w:tabs>
          <w:tab w:leader="none" w:pos="620" w:val="left"/>
        </w:tabs>
        <w:numPr>
          <w:ilvl w:val="0"/>
          <w:numId w:val="5"/>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CITIZENSHIP OR PLACE OF ORGANIZATION </w:t>
      </w:r>
      <w:r>
        <w:rPr>
          <w:rFonts w:ascii="Georgia" w:cs="Georgia" w:eastAsia="Georgia" w:hAnsi="Georgia"/>
          <w:sz w:val="18"/>
          <w:szCs w:val="18"/>
          <w:color w:val="auto"/>
        </w:rPr>
        <w:t>Delaware, USA</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Georgia" w:cs="Georgia" w:eastAsia="Georgia" w:hAnsi="Georgia"/>
                <w:sz w:val="18"/>
                <w:szCs w:val="18"/>
                <w:b w:val="1"/>
                <w:bCs w:val="1"/>
                <w:color w:val="auto"/>
                <w:w w:val="99"/>
              </w:rPr>
              <w:t>NUMBER OF</w:t>
            </w:r>
          </w:p>
        </w:tc>
        <w:tc>
          <w:tcPr>
            <w:tcW w:w="52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8"/>
                <w:szCs w:val="18"/>
                <w:color w:val="auto"/>
              </w:rPr>
              <w:t>5</w:t>
            </w:r>
          </w:p>
        </w:tc>
        <w:tc>
          <w:tcPr>
            <w:tcW w:w="8500" w:type="dxa"/>
            <w:vAlign w:val="bottom"/>
            <w:tcBorders>
              <w:top w:val="single" w:sz="8" w:color="auto"/>
            </w:tcBorders>
          </w:tcPr>
          <w:p>
            <w:pPr>
              <w:ind w:left="60"/>
              <w:spacing w:after="0"/>
              <w:rPr>
                <w:sz w:val="20"/>
                <w:szCs w:val="20"/>
                <w:color w:val="auto"/>
              </w:rPr>
            </w:pPr>
            <w:r>
              <w:rPr>
                <w:rFonts w:ascii="Georgia" w:cs="Georgia" w:eastAsia="Georgia" w:hAnsi="Georgia"/>
                <w:sz w:val="18"/>
                <w:szCs w:val="18"/>
                <w:b w:val="1"/>
                <w:bCs w:val="1"/>
                <w:color w:val="auto"/>
              </w:rPr>
              <w:t>SOLE VOTING POWER</w:t>
            </w: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vMerge w:val="continue"/>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w w:val="98"/>
              </w:rPr>
              <w:t>SHARES</w:t>
            </w:r>
          </w:p>
        </w:tc>
        <w:tc>
          <w:tcPr>
            <w:tcW w:w="52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color w:val="auto"/>
                <w:w w:val="97"/>
              </w:rPr>
              <w:t>6</w:t>
            </w:r>
          </w:p>
        </w:tc>
        <w:tc>
          <w:tcPr>
            <w:tcW w:w="8500" w:type="dxa"/>
            <w:vAlign w:val="bottom"/>
          </w:tcPr>
          <w:p>
            <w:pPr>
              <w:ind w:left="60"/>
              <w:spacing w:after="0"/>
              <w:rPr>
                <w:sz w:val="20"/>
                <w:szCs w:val="20"/>
                <w:color w:val="auto"/>
              </w:rPr>
            </w:pPr>
            <w:r>
              <w:rPr>
                <w:rFonts w:ascii="Georgia" w:cs="Georgia" w:eastAsia="Georgia" w:hAnsi="Georgia"/>
                <w:sz w:val="18"/>
                <w:szCs w:val="18"/>
                <w:b w:val="1"/>
                <w:bCs w:val="1"/>
                <w:color w:val="auto"/>
              </w:rPr>
              <w:t>SHARED VOTING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jc w:val="center"/>
              <w:spacing w:after="0" w:line="202" w:lineRule="exact"/>
              <w:rPr>
                <w:sz w:val="20"/>
                <w:szCs w:val="20"/>
                <w:color w:val="auto"/>
              </w:rPr>
            </w:pPr>
            <w:r>
              <w:rPr>
                <w:rFonts w:ascii="Georgia" w:cs="Georgia" w:eastAsia="Georgia" w:hAnsi="Georgia"/>
                <w:sz w:val="18"/>
                <w:szCs w:val="18"/>
                <w:b w:val="1"/>
                <w:bCs w:val="1"/>
                <w:color w:val="auto"/>
              </w:rPr>
              <w:t>BENEFICIALLY</w:t>
            </w:r>
          </w:p>
        </w:tc>
        <w:tc>
          <w:tcPr>
            <w:tcW w:w="520" w:type="dxa"/>
            <w:vAlign w:val="bottom"/>
            <w:tcBorders>
              <w:right w:val="single" w:sz="8" w:color="auto"/>
            </w:tcBorders>
          </w:tcPr>
          <w:p>
            <w:pPr>
              <w:spacing w:after="0"/>
              <w:rPr>
                <w:sz w:val="17"/>
                <w:szCs w:val="17"/>
                <w:color w:val="auto"/>
              </w:rPr>
            </w:pPr>
          </w:p>
        </w:tc>
        <w:tc>
          <w:tcPr>
            <w:tcW w:w="8500" w:type="dxa"/>
            <w:vAlign w:val="bottom"/>
          </w:tcPr>
          <w:p>
            <w:pPr>
              <w:ind w:left="60"/>
              <w:spacing w:after="0" w:line="202" w:lineRule="exact"/>
              <w:rPr>
                <w:sz w:val="20"/>
                <w:szCs w:val="20"/>
                <w:color w:val="auto"/>
              </w:rPr>
            </w:pPr>
            <w:r>
              <w:rPr>
                <w:rFonts w:ascii="Georgia" w:cs="Georgia" w:eastAsia="Georgia" w:hAnsi="Georgia"/>
                <w:sz w:val="18"/>
                <w:szCs w:val="18"/>
                <w:color w:val="auto"/>
              </w:rPr>
              <w:t>206,000</w:t>
            </w:r>
          </w:p>
        </w:tc>
        <w:tc>
          <w:tcPr>
            <w:tcW w:w="0" w:type="dxa"/>
            <w:vAlign w:val="bottom"/>
          </w:tcPr>
          <w:p>
            <w:pPr>
              <w:spacing w:after="0"/>
              <w:rPr>
                <w:sz w:val="1"/>
                <w:szCs w:val="1"/>
                <w:color w:val="auto"/>
              </w:rPr>
            </w:pPr>
          </w:p>
        </w:tc>
      </w:tr>
      <w:tr>
        <w:trPr>
          <w:trHeight w:val="98"/>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OWNED BY</w:t>
            </w:r>
          </w:p>
        </w:tc>
        <w:tc>
          <w:tcPr>
            <w:tcW w:w="520" w:type="dxa"/>
            <w:vAlign w:val="bottom"/>
            <w:tcBorders>
              <w:bottom w:val="single" w:sz="8" w:color="auto"/>
              <w:right w:val="single" w:sz="8" w:color="auto"/>
            </w:tcBorders>
          </w:tcPr>
          <w:p>
            <w:pPr>
              <w:spacing w:after="0"/>
              <w:rPr>
                <w:sz w:val="8"/>
                <w:szCs w:val="8"/>
                <w:color w:val="auto"/>
              </w:rPr>
            </w:pPr>
          </w:p>
        </w:tc>
        <w:tc>
          <w:tcPr>
            <w:tcW w:w="8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rPr>
              <w:t>7</w:t>
            </w:r>
          </w:p>
        </w:tc>
        <w:tc>
          <w:tcPr>
            <w:tcW w:w="850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SOLE DISPOSITIVE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jc w:val="center"/>
              <w:spacing w:after="0" w:line="202" w:lineRule="exact"/>
              <w:rPr>
                <w:sz w:val="20"/>
                <w:szCs w:val="20"/>
                <w:color w:val="auto"/>
              </w:rPr>
            </w:pPr>
            <w:r>
              <w:rPr>
                <w:rFonts w:ascii="Georgia" w:cs="Georgia" w:eastAsia="Georgia" w:hAnsi="Georgia"/>
                <w:sz w:val="18"/>
                <w:szCs w:val="18"/>
                <w:b w:val="1"/>
                <w:bCs w:val="1"/>
                <w:color w:val="auto"/>
              </w:rPr>
              <w:t>EACH</w:t>
            </w:r>
          </w:p>
        </w:tc>
        <w:tc>
          <w:tcPr>
            <w:tcW w:w="520" w:type="dxa"/>
            <w:vAlign w:val="bottom"/>
            <w:tcBorders>
              <w:right w:val="single" w:sz="8" w:color="auto"/>
            </w:tcBorders>
            <w:vMerge w:val="continue"/>
          </w:tcPr>
          <w:p>
            <w:pPr>
              <w:spacing w:after="0"/>
              <w:rPr>
                <w:sz w:val="17"/>
                <w:szCs w:val="17"/>
                <w:color w:val="auto"/>
              </w:rPr>
            </w:pPr>
          </w:p>
        </w:tc>
        <w:tc>
          <w:tcPr>
            <w:tcW w:w="8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REPORTING</w:t>
            </w:r>
          </w:p>
        </w:tc>
        <w:tc>
          <w:tcPr>
            <w:tcW w:w="520" w:type="dxa"/>
            <w:vAlign w:val="bottom"/>
            <w:tcBorders>
              <w:bottom w:val="single" w:sz="8" w:color="auto"/>
              <w:right w:val="single" w:sz="8" w:color="auto"/>
            </w:tcBorders>
          </w:tcPr>
          <w:p>
            <w:pPr>
              <w:spacing w:after="0"/>
              <w:rPr>
                <w:sz w:val="3"/>
                <w:szCs w:val="3"/>
                <w:color w:val="auto"/>
              </w:rPr>
            </w:pPr>
          </w:p>
        </w:tc>
        <w:tc>
          <w:tcPr>
            <w:tcW w:w="8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164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w w:val="92"/>
              </w:rPr>
              <w:t>8</w:t>
            </w:r>
          </w:p>
        </w:tc>
        <w:tc>
          <w:tcPr>
            <w:tcW w:w="850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SHARED DISPOSITIVE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line="203" w:lineRule="exact"/>
              <w:rPr>
                <w:sz w:val="20"/>
                <w:szCs w:val="20"/>
                <w:color w:val="auto"/>
              </w:rPr>
            </w:pPr>
            <w:r>
              <w:rPr>
                <w:rFonts w:ascii="Georgia" w:cs="Georgia" w:eastAsia="Georgia" w:hAnsi="Georgia"/>
                <w:sz w:val="18"/>
                <w:szCs w:val="18"/>
                <w:b w:val="1"/>
                <w:bCs w:val="1"/>
                <w:color w:val="auto"/>
              </w:rPr>
              <w:t>PERSON WITH</w:t>
            </w:r>
          </w:p>
        </w:tc>
        <w:tc>
          <w:tcPr>
            <w:tcW w:w="520" w:type="dxa"/>
            <w:vAlign w:val="bottom"/>
            <w:tcBorders>
              <w:right w:val="single" w:sz="8" w:color="auto"/>
            </w:tcBorders>
            <w:vMerge w:val="continue"/>
          </w:tcPr>
          <w:p>
            <w:pPr>
              <w:spacing w:after="0"/>
              <w:rPr>
                <w:sz w:val="10"/>
                <w:szCs w:val="10"/>
                <w:color w:val="auto"/>
              </w:rPr>
            </w:pPr>
          </w:p>
        </w:tc>
        <w:tc>
          <w:tcPr>
            <w:tcW w:w="8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8500" w:type="dxa"/>
            <w:vAlign w:val="bottom"/>
            <w:vMerge w:val="restart"/>
          </w:tcPr>
          <w:p>
            <w:pPr>
              <w:ind w:left="60"/>
              <w:spacing w:after="0" w:line="203" w:lineRule="exact"/>
              <w:rPr>
                <w:sz w:val="20"/>
                <w:szCs w:val="20"/>
                <w:color w:val="auto"/>
              </w:rPr>
            </w:pPr>
            <w:r>
              <w:rPr>
                <w:rFonts w:ascii="Georgia" w:cs="Georgia" w:eastAsia="Georgia" w:hAnsi="Georgia"/>
                <w:sz w:val="18"/>
                <w:szCs w:val="18"/>
                <w:color w:val="auto"/>
              </w:rPr>
              <w:t>206,000</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8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620" w:right="2500" w:hanging="386"/>
        <w:spacing w:after="0" w:line="238" w:lineRule="auto"/>
        <w:tabs>
          <w:tab w:leader="none" w:pos="620" w:val="left"/>
        </w:tabs>
        <w:numPr>
          <w:ilvl w:val="0"/>
          <w:numId w:val="6"/>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AGGREGATE AMOUNT BENEFICIALLY OWNED BY EACH REPORTING PERSON </w:t>
      </w:r>
      <w:r>
        <w:rPr>
          <w:rFonts w:ascii="Georgia" w:cs="Georgia" w:eastAsia="Georgia" w:hAnsi="Georgia"/>
          <w:sz w:val="18"/>
          <w:szCs w:val="18"/>
          <w:color w:val="auto"/>
        </w:rPr>
        <w:t>206,000</w:t>
      </w:r>
    </w:p>
    <w:p>
      <w:pPr>
        <w:spacing w:after="0" w:line="148" w:lineRule="exact"/>
        <w:rPr>
          <w:sz w:val="20"/>
          <w:szCs w:val="20"/>
          <w:color w:val="auto"/>
        </w:rPr>
      </w:pPr>
    </w:p>
    <w:p>
      <w:pPr>
        <w:ind w:left="620" w:right="1880" w:hanging="429"/>
        <w:spacing w:after="0" w:line="238" w:lineRule="auto"/>
        <w:tabs>
          <w:tab w:leader="none" w:pos="620" w:val="left"/>
        </w:tabs>
        <w:numPr>
          <w:ilvl w:val="0"/>
          <w:numId w:val="7"/>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CHECK BOX IF THE AGGREGATE AMOUNT IN ROW (9) EXCLUDES CERTAIN SHARES </w:t>
      </w:r>
      <w:r>
        <w:rPr>
          <w:rFonts w:ascii="Georgia" w:cs="Georgia" w:eastAsia="Georgia" w:hAnsi="Georgia"/>
          <w:sz w:val="18"/>
          <w:szCs w:val="18"/>
          <w:color w:val="auto"/>
        </w:rPr>
        <w:t>[ ]</w:t>
      </w:r>
    </w:p>
    <w:p>
      <w:pPr>
        <w:spacing w:after="0" w:line="148" w:lineRule="exact"/>
        <w:rPr>
          <w:sz w:val="20"/>
          <w:szCs w:val="20"/>
          <w:color w:val="auto"/>
        </w:rPr>
      </w:pPr>
    </w:p>
    <w:p>
      <w:pPr>
        <w:ind w:left="620" w:right="4200" w:hanging="413"/>
        <w:spacing w:after="0" w:line="238" w:lineRule="auto"/>
        <w:tabs>
          <w:tab w:leader="none" w:pos="620" w:val="left"/>
        </w:tabs>
        <w:numPr>
          <w:ilvl w:val="0"/>
          <w:numId w:val="8"/>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PERCENT OF CLASS REPRESENTED BY AMOUNT IN ROW (9) </w:t>
      </w:r>
      <w:r>
        <w:rPr>
          <w:rFonts w:ascii="Georgia" w:cs="Georgia" w:eastAsia="Georgia" w:hAnsi="Georgia"/>
          <w:sz w:val="18"/>
          <w:szCs w:val="18"/>
          <w:color w:val="auto"/>
        </w:rPr>
        <w:t>2.93%</w:t>
      </w:r>
    </w:p>
    <w:p>
      <w:pPr>
        <w:spacing w:after="0" w:line="148" w:lineRule="exact"/>
        <w:rPr>
          <w:sz w:val="20"/>
          <w:szCs w:val="20"/>
          <w:color w:val="auto"/>
        </w:rPr>
      </w:pPr>
    </w:p>
    <w:p>
      <w:pPr>
        <w:ind w:left="620" w:right="7100" w:hanging="424"/>
        <w:spacing w:after="0" w:line="238" w:lineRule="auto"/>
        <w:tabs>
          <w:tab w:leader="none" w:pos="620" w:val="left"/>
        </w:tabs>
        <w:numPr>
          <w:ilvl w:val="0"/>
          <w:numId w:val="9"/>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TYPE OF REPORTING PERSON </w:t>
      </w:r>
      <w:r>
        <w:rPr>
          <w:rFonts w:ascii="Georgia" w:cs="Georgia" w:eastAsia="Georgia" w:hAnsi="Georgia"/>
          <w:sz w:val="18"/>
          <w:szCs w:val="18"/>
          <w:color w:val="auto"/>
        </w:rPr>
        <w:t>IA</w:t>
      </w:r>
    </w:p>
    <w:p>
      <w:pPr>
        <w:sectPr>
          <w:pgSz w:w="11900" w:h="16838" w:orient="portrait"/>
          <w:cols w:equalWidth="0" w:num="1">
            <w:col w:w="10660"/>
          </w:cols>
          <w:pgMar w:left="240" w:top="959" w:right="999" w:bottom="1440" w:gutter="0" w:footer="0" w:header="0"/>
        </w:sectPr>
      </w:pPr>
    </w:p>
    <w:bookmarkStart w:id="2" w:name="page3"/>
    <w:bookmarkEnd w:id="2"/>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55304A104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6757670" cy="4210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57670" cy="421068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620" w:right="6760" w:hanging="374"/>
        <w:spacing w:after="0" w:line="238" w:lineRule="auto"/>
        <w:tabs>
          <w:tab w:leader="none" w:pos="620" w:val="left"/>
        </w:tabs>
        <w:numPr>
          <w:ilvl w:val="0"/>
          <w:numId w:val="10"/>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NAME OF REPORTING PERSON </w:t>
      </w:r>
      <w:r>
        <w:rPr>
          <w:rFonts w:ascii="Georgia" w:cs="Georgia" w:eastAsia="Georgia" w:hAnsi="Georgia"/>
          <w:sz w:val="18"/>
          <w:szCs w:val="18"/>
          <w:color w:val="auto"/>
        </w:rPr>
        <w:t>AQR Capital Management Holdings, LLC</w:t>
      </w:r>
    </w:p>
    <w:p>
      <w:pPr>
        <w:spacing w:after="0" w:line="187" w:lineRule="exact"/>
        <w:rPr>
          <w:sz w:val="20"/>
          <w:szCs w:val="20"/>
          <w:color w:val="auto"/>
        </w:rPr>
      </w:pPr>
    </w:p>
    <w:p>
      <w:pPr>
        <w:ind w:left="620"/>
        <w:spacing w:after="0"/>
        <w:rPr>
          <w:sz w:val="20"/>
          <w:szCs w:val="20"/>
          <w:color w:val="auto"/>
        </w:rPr>
      </w:pPr>
      <w:r>
        <w:rPr>
          <w:rFonts w:ascii="Georgia" w:cs="Georgia" w:eastAsia="Georgia" w:hAnsi="Georgia"/>
          <w:sz w:val="18"/>
          <w:szCs w:val="18"/>
          <w:b w:val="1"/>
          <w:bCs w:val="1"/>
          <w:color w:val="auto"/>
        </w:rPr>
        <w:t>I.R.S. IDENTIFICATION NO. OF ABOVE PERSON (ENTITIES ONLY)</w:t>
      </w:r>
    </w:p>
    <w:p>
      <w:pPr>
        <w:spacing w:after="0" w:line="133" w:lineRule="exact"/>
        <w:rPr>
          <w:sz w:val="20"/>
          <w:szCs w:val="20"/>
          <w:color w:val="auto"/>
        </w:rPr>
      </w:pPr>
    </w:p>
    <w:p>
      <w:pPr>
        <w:ind w:left="620" w:hanging="385"/>
        <w:spacing w:after="0"/>
        <w:tabs>
          <w:tab w:leader="none" w:pos="620" w:val="left"/>
        </w:tabs>
        <w:numPr>
          <w:ilvl w:val="0"/>
          <w:numId w:val="11"/>
        </w:numPr>
        <w:rPr>
          <w:rFonts w:ascii="Georgia" w:cs="Georgia" w:eastAsia="Georgia" w:hAnsi="Georgia"/>
          <w:sz w:val="18"/>
          <w:szCs w:val="18"/>
          <w:color w:val="auto"/>
        </w:rPr>
      </w:pPr>
      <w:r>
        <w:rPr>
          <w:rFonts w:ascii="Georgia" w:cs="Georgia" w:eastAsia="Georgia" w:hAnsi="Georgia"/>
          <w:sz w:val="18"/>
          <w:szCs w:val="18"/>
          <w:b w:val="1"/>
          <w:bCs w:val="1"/>
          <w:color w:val="auto"/>
        </w:rPr>
        <w:t>CHECK THE APPROPRIATE BOX IF A MEMBER OF A GROUP</w:t>
      </w:r>
    </w:p>
    <w:p>
      <w:pPr>
        <w:ind w:left="900" w:hanging="271"/>
        <w:spacing w:after="0" w:line="237" w:lineRule="auto"/>
        <w:tabs>
          <w:tab w:leader="none" w:pos="900" w:val="left"/>
        </w:tabs>
        <w:numPr>
          <w:ilvl w:val="1"/>
          <w:numId w:val="11"/>
        </w:numPr>
        <w:rPr>
          <w:rFonts w:ascii="Georgia" w:cs="Georgia" w:eastAsia="Georgia" w:hAnsi="Georgia"/>
          <w:sz w:val="18"/>
          <w:szCs w:val="18"/>
          <w:color w:val="auto"/>
        </w:rPr>
      </w:pPr>
      <w:r>
        <w:rPr>
          <w:rFonts w:ascii="Georgia" w:cs="Georgia" w:eastAsia="Georgia" w:hAnsi="Georgia"/>
          <w:sz w:val="18"/>
          <w:szCs w:val="18"/>
          <w:color w:val="auto"/>
        </w:rPr>
        <w:t>[  ]</w:t>
      </w:r>
    </w:p>
    <w:p>
      <w:pPr>
        <w:ind w:left="900" w:hanging="271"/>
        <w:spacing w:after="0" w:line="238" w:lineRule="auto"/>
        <w:tabs>
          <w:tab w:leader="none" w:pos="900" w:val="left"/>
        </w:tabs>
        <w:numPr>
          <w:ilvl w:val="1"/>
          <w:numId w:val="11"/>
        </w:numPr>
        <w:rPr>
          <w:rFonts w:ascii="Georgia" w:cs="Georgia" w:eastAsia="Georgia" w:hAnsi="Georgia"/>
          <w:sz w:val="18"/>
          <w:szCs w:val="18"/>
          <w:color w:val="auto"/>
        </w:rPr>
      </w:pPr>
      <w:r>
        <w:rPr>
          <w:rFonts w:ascii="Georgia" w:cs="Georgia" w:eastAsia="Georgia" w:hAnsi="Georgia"/>
          <w:sz w:val="18"/>
          <w:szCs w:val="18"/>
          <w:color w:val="auto"/>
        </w:rPr>
        <w:t>[  ]</w:t>
      </w:r>
    </w:p>
    <w:p>
      <w:pPr>
        <w:spacing w:after="0" w:line="147" w:lineRule="exact"/>
        <w:rPr>
          <w:sz w:val="20"/>
          <w:szCs w:val="20"/>
          <w:color w:val="auto"/>
        </w:rPr>
      </w:pPr>
    </w:p>
    <w:p>
      <w:pPr>
        <w:ind w:left="620" w:hanging="385"/>
        <w:spacing w:after="0"/>
        <w:tabs>
          <w:tab w:leader="none" w:pos="620" w:val="left"/>
        </w:tabs>
        <w:numPr>
          <w:ilvl w:val="0"/>
          <w:numId w:val="12"/>
        </w:numPr>
        <w:rPr>
          <w:rFonts w:ascii="Georgia" w:cs="Georgia" w:eastAsia="Georgia" w:hAnsi="Georgia"/>
          <w:sz w:val="18"/>
          <w:szCs w:val="18"/>
          <w:color w:val="auto"/>
        </w:rPr>
      </w:pPr>
      <w:r>
        <w:rPr>
          <w:rFonts w:ascii="Georgia" w:cs="Georgia" w:eastAsia="Georgia" w:hAnsi="Georgia"/>
          <w:sz w:val="18"/>
          <w:szCs w:val="18"/>
          <w:b w:val="1"/>
          <w:bCs w:val="1"/>
          <w:color w:val="auto"/>
        </w:rPr>
        <w:t>SEC USE ONLY</w:t>
      </w:r>
    </w:p>
    <w:p>
      <w:pPr>
        <w:spacing w:after="0" w:line="148" w:lineRule="exact"/>
        <w:rPr>
          <w:sz w:val="20"/>
          <w:szCs w:val="20"/>
          <w:color w:val="auto"/>
        </w:rPr>
      </w:pPr>
    </w:p>
    <w:p>
      <w:pPr>
        <w:ind w:left="620" w:right="5780" w:hanging="386"/>
        <w:spacing w:after="0" w:line="238" w:lineRule="auto"/>
        <w:tabs>
          <w:tab w:leader="none" w:pos="620" w:val="left"/>
        </w:tabs>
        <w:numPr>
          <w:ilvl w:val="0"/>
          <w:numId w:val="13"/>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CITIZENSHIP OR PLACE OF ORGANIZATION </w:t>
      </w:r>
      <w:r>
        <w:rPr>
          <w:rFonts w:ascii="Georgia" w:cs="Georgia" w:eastAsia="Georgia" w:hAnsi="Georgia"/>
          <w:sz w:val="18"/>
          <w:szCs w:val="18"/>
          <w:color w:val="auto"/>
        </w:rPr>
        <w:t>Delaware, USA</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Georgia" w:cs="Georgia" w:eastAsia="Georgia" w:hAnsi="Georgia"/>
                <w:sz w:val="18"/>
                <w:szCs w:val="18"/>
                <w:b w:val="1"/>
                <w:bCs w:val="1"/>
                <w:color w:val="auto"/>
                <w:w w:val="99"/>
              </w:rPr>
              <w:t>NUMBER OF</w:t>
            </w:r>
          </w:p>
        </w:tc>
        <w:tc>
          <w:tcPr>
            <w:tcW w:w="52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8"/>
                <w:szCs w:val="18"/>
                <w:color w:val="auto"/>
              </w:rPr>
              <w:t>5</w:t>
            </w:r>
          </w:p>
        </w:tc>
        <w:tc>
          <w:tcPr>
            <w:tcW w:w="8500" w:type="dxa"/>
            <w:vAlign w:val="bottom"/>
            <w:tcBorders>
              <w:top w:val="single" w:sz="8" w:color="auto"/>
            </w:tcBorders>
          </w:tcPr>
          <w:p>
            <w:pPr>
              <w:ind w:left="60"/>
              <w:spacing w:after="0"/>
              <w:rPr>
                <w:sz w:val="20"/>
                <w:szCs w:val="20"/>
                <w:color w:val="auto"/>
              </w:rPr>
            </w:pPr>
            <w:r>
              <w:rPr>
                <w:rFonts w:ascii="Georgia" w:cs="Georgia" w:eastAsia="Georgia" w:hAnsi="Georgia"/>
                <w:sz w:val="18"/>
                <w:szCs w:val="18"/>
                <w:b w:val="1"/>
                <w:bCs w:val="1"/>
                <w:color w:val="auto"/>
              </w:rPr>
              <w:t>SOLE VOTING POWER</w:t>
            </w: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vMerge w:val="continue"/>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w w:val="98"/>
              </w:rPr>
              <w:t>SHARES</w:t>
            </w:r>
          </w:p>
        </w:tc>
        <w:tc>
          <w:tcPr>
            <w:tcW w:w="52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color w:val="auto"/>
                <w:w w:val="97"/>
              </w:rPr>
              <w:t>6</w:t>
            </w:r>
          </w:p>
        </w:tc>
        <w:tc>
          <w:tcPr>
            <w:tcW w:w="8500" w:type="dxa"/>
            <w:vAlign w:val="bottom"/>
          </w:tcPr>
          <w:p>
            <w:pPr>
              <w:ind w:left="60"/>
              <w:spacing w:after="0"/>
              <w:rPr>
                <w:sz w:val="20"/>
                <w:szCs w:val="20"/>
                <w:color w:val="auto"/>
              </w:rPr>
            </w:pPr>
            <w:r>
              <w:rPr>
                <w:rFonts w:ascii="Georgia" w:cs="Georgia" w:eastAsia="Georgia" w:hAnsi="Georgia"/>
                <w:sz w:val="18"/>
                <w:szCs w:val="18"/>
                <w:b w:val="1"/>
                <w:bCs w:val="1"/>
                <w:color w:val="auto"/>
              </w:rPr>
              <w:t>SHARED VOTING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jc w:val="center"/>
              <w:spacing w:after="0" w:line="202" w:lineRule="exact"/>
              <w:rPr>
                <w:sz w:val="20"/>
                <w:szCs w:val="20"/>
                <w:color w:val="auto"/>
              </w:rPr>
            </w:pPr>
            <w:r>
              <w:rPr>
                <w:rFonts w:ascii="Georgia" w:cs="Georgia" w:eastAsia="Georgia" w:hAnsi="Georgia"/>
                <w:sz w:val="18"/>
                <w:szCs w:val="18"/>
                <w:b w:val="1"/>
                <w:bCs w:val="1"/>
                <w:color w:val="auto"/>
              </w:rPr>
              <w:t>BENEFICIALLY</w:t>
            </w:r>
          </w:p>
        </w:tc>
        <w:tc>
          <w:tcPr>
            <w:tcW w:w="520" w:type="dxa"/>
            <w:vAlign w:val="bottom"/>
            <w:tcBorders>
              <w:right w:val="single" w:sz="8" w:color="auto"/>
            </w:tcBorders>
          </w:tcPr>
          <w:p>
            <w:pPr>
              <w:spacing w:after="0"/>
              <w:rPr>
                <w:sz w:val="17"/>
                <w:szCs w:val="17"/>
                <w:color w:val="auto"/>
              </w:rPr>
            </w:pPr>
          </w:p>
        </w:tc>
        <w:tc>
          <w:tcPr>
            <w:tcW w:w="8500" w:type="dxa"/>
            <w:vAlign w:val="bottom"/>
          </w:tcPr>
          <w:p>
            <w:pPr>
              <w:ind w:left="60"/>
              <w:spacing w:after="0" w:line="202" w:lineRule="exact"/>
              <w:rPr>
                <w:sz w:val="20"/>
                <w:szCs w:val="20"/>
                <w:color w:val="auto"/>
              </w:rPr>
            </w:pPr>
            <w:r>
              <w:rPr>
                <w:rFonts w:ascii="Georgia" w:cs="Georgia" w:eastAsia="Georgia" w:hAnsi="Georgia"/>
                <w:sz w:val="18"/>
                <w:szCs w:val="18"/>
                <w:color w:val="auto"/>
              </w:rPr>
              <w:t>206,000</w:t>
            </w:r>
          </w:p>
        </w:tc>
        <w:tc>
          <w:tcPr>
            <w:tcW w:w="0" w:type="dxa"/>
            <w:vAlign w:val="bottom"/>
          </w:tcPr>
          <w:p>
            <w:pPr>
              <w:spacing w:after="0"/>
              <w:rPr>
                <w:sz w:val="1"/>
                <w:szCs w:val="1"/>
                <w:color w:val="auto"/>
              </w:rPr>
            </w:pPr>
          </w:p>
        </w:tc>
      </w:tr>
      <w:tr>
        <w:trPr>
          <w:trHeight w:val="98"/>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OWNED BY</w:t>
            </w:r>
          </w:p>
        </w:tc>
        <w:tc>
          <w:tcPr>
            <w:tcW w:w="520" w:type="dxa"/>
            <w:vAlign w:val="bottom"/>
            <w:tcBorders>
              <w:bottom w:val="single" w:sz="8" w:color="auto"/>
              <w:right w:val="single" w:sz="8" w:color="auto"/>
            </w:tcBorders>
          </w:tcPr>
          <w:p>
            <w:pPr>
              <w:spacing w:after="0"/>
              <w:rPr>
                <w:sz w:val="8"/>
                <w:szCs w:val="8"/>
                <w:color w:val="auto"/>
              </w:rPr>
            </w:pPr>
          </w:p>
        </w:tc>
        <w:tc>
          <w:tcPr>
            <w:tcW w:w="8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rPr>
              <w:t>7</w:t>
            </w:r>
          </w:p>
        </w:tc>
        <w:tc>
          <w:tcPr>
            <w:tcW w:w="850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SOLE DISPOSITIVE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jc w:val="center"/>
              <w:spacing w:after="0" w:line="202" w:lineRule="exact"/>
              <w:rPr>
                <w:sz w:val="20"/>
                <w:szCs w:val="20"/>
                <w:color w:val="auto"/>
              </w:rPr>
            </w:pPr>
            <w:r>
              <w:rPr>
                <w:rFonts w:ascii="Georgia" w:cs="Georgia" w:eastAsia="Georgia" w:hAnsi="Georgia"/>
                <w:sz w:val="18"/>
                <w:szCs w:val="18"/>
                <w:b w:val="1"/>
                <w:bCs w:val="1"/>
                <w:color w:val="auto"/>
              </w:rPr>
              <w:t>EACH</w:t>
            </w:r>
          </w:p>
        </w:tc>
        <w:tc>
          <w:tcPr>
            <w:tcW w:w="520" w:type="dxa"/>
            <w:vAlign w:val="bottom"/>
            <w:tcBorders>
              <w:right w:val="single" w:sz="8" w:color="auto"/>
            </w:tcBorders>
            <w:vMerge w:val="continue"/>
          </w:tcPr>
          <w:p>
            <w:pPr>
              <w:spacing w:after="0"/>
              <w:rPr>
                <w:sz w:val="17"/>
                <w:szCs w:val="17"/>
                <w:color w:val="auto"/>
              </w:rPr>
            </w:pPr>
          </w:p>
        </w:tc>
        <w:tc>
          <w:tcPr>
            <w:tcW w:w="8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REPORTING</w:t>
            </w:r>
          </w:p>
        </w:tc>
        <w:tc>
          <w:tcPr>
            <w:tcW w:w="520" w:type="dxa"/>
            <w:vAlign w:val="bottom"/>
            <w:tcBorders>
              <w:bottom w:val="single" w:sz="8" w:color="auto"/>
              <w:right w:val="single" w:sz="8" w:color="auto"/>
            </w:tcBorders>
          </w:tcPr>
          <w:p>
            <w:pPr>
              <w:spacing w:after="0"/>
              <w:rPr>
                <w:sz w:val="3"/>
                <w:szCs w:val="3"/>
                <w:color w:val="auto"/>
              </w:rPr>
            </w:pPr>
          </w:p>
        </w:tc>
        <w:tc>
          <w:tcPr>
            <w:tcW w:w="8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164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w w:val="92"/>
              </w:rPr>
              <w:t>8</w:t>
            </w:r>
          </w:p>
        </w:tc>
        <w:tc>
          <w:tcPr>
            <w:tcW w:w="850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SHARED DISPOSITIVE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line="203" w:lineRule="exact"/>
              <w:rPr>
                <w:sz w:val="20"/>
                <w:szCs w:val="20"/>
                <w:color w:val="auto"/>
              </w:rPr>
            </w:pPr>
            <w:r>
              <w:rPr>
                <w:rFonts w:ascii="Georgia" w:cs="Georgia" w:eastAsia="Georgia" w:hAnsi="Georgia"/>
                <w:sz w:val="18"/>
                <w:szCs w:val="18"/>
                <w:b w:val="1"/>
                <w:bCs w:val="1"/>
                <w:color w:val="auto"/>
              </w:rPr>
              <w:t>PERSON WITH</w:t>
            </w:r>
          </w:p>
        </w:tc>
        <w:tc>
          <w:tcPr>
            <w:tcW w:w="520" w:type="dxa"/>
            <w:vAlign w:val="bottom"/>
            <w:tcBorders>
              <w:right w:val="single" w:sz="8" w:color="auto"/>
            </w:tcBorders>
            <w:vMerge w:val="continue"/>
          </w:tcPr>
          <w:p>
            <w:pPr>
              <w:spacing w:after="0"/>
              <w:rPr>
                <w:sz w:val="10"/>
                <w:szCs w:val="10"/>
                <w:color w:val="auto"/>
              </w:rPr>
            </w:pPr>
          </w:p>
        </w:tc>
        <w:tc>
          <w:tcPr>
            <w:tcW w:w="8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8500" w:type="dxa"/>
            <w:vAlign w:val="bottom"/>
            <w:vMerge w:val="restart"/>
          </w:tcPr>
          <w:p>
            <w:pPr>
              <w:ind w:left="60"/>
              <w:spacing w:after="0" w:line="203" w:lineRule="exact"/>
              <w:rPr>
                <w:sz w:val="20"/>
                <w:szCs w:val="20"/>
                <w:color w:val="auto"/>
              </w:rPr>
            </w:pPr>
            <w:r>
              <w:rPr>
                <w:rFonts w:ascii="Georgia" w:cs="Georgia" w:eastAsia="Georgia" w:hAnsi="Georgia"/>
                <w:sz w:val="18"/>
                <w:szCs w:val="18"/>
                <w:color w:val="auto"/>
              </w:rPr>
              <w:t>206,000</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8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620" w:right="2500" w:hanging="386"/>
        <w:spacing w:after="0" w:line="238" w:lineRule="auto"/>
        <w:tabs>
          <w:tab w:leader="none" w:pos="620" w:val="left"/>
        </w:tabs>
        <w:numPr>
          <w:ilvl w:val="0"/>
          <w:numId w:val="14"/>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AGGREGATE AMOUNT BENEFICIALLY OWNED BY EACH REPORTING PERSON </w:t>
      </w:r>
      <w:r>
        <w:rPr>
          <w:rFonts w:ascii="Georgia" w:cs="Georgia" w:eastAsia="Georgia" w:hAnsi="Georgia"/>
          <w:sz w:val="18"/>
          <w:szCs w:val="18"/>
          <w:color w:val="auto"/>
        </w:rPr>
        <w:t>206,000</w:t>
      </w:r>
    </w:p>
    <w:p>
      <w:pPr>
        <w:spacing w:after="0" w:line="148" w:lineRule="exact"/>
        <w:rPr>
          <w:sz w:val="20"/>
          <w:szCs w:val="20"/>
          <w:color w:val="auto"/>
        </w:rPr>
      </w:pPr>
    </w:p>
    <w:p>
      <w:pPr>
        <w:ind w:left="620" w:right="1880" w:hanging="429"/>
        <w:spacing w:after="0" w:line="238" w:lineRule="auto"/>
        <w:tabs>
          <w:tab w:leader="none" w:pos="620" w:val="left"/>
        </w:tabs>
        <w:numPr>
          <w:ilvl w:val="0"/>
          <w:numId w:val="15"/>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CHECK BOX IF THE AGGREGATE AMOUNT IN ROW (9) EXCLUDES CERTAIN SHARES </w:t>
      </w:r>
      <w:r>
        <w:rPr>
          <w:rFonts w:ascii="Georgia" w:cs="Georgia" w:eastAsia="Georgia" w:hAnsi="Georgia"/>
          <w:sz w:val="18"/>
          <w:szCs w:val="18"/>
          <w:color w:val="auto"/>
        </w:rPr>
        <w:t>[ ]</w:t>
      </w:r>
    </w:p>
    <w:p>
      <w:pPr>
        <w:spacing w:after="0" w:line="148" w:lineRule="exact"/>
        <w:rPr>
          <w:sz w:val="20"/>
          <w:szCs w:val="20"/>
          <w:color w:val="auto"/>
        </w:rPr>
      </w:pPr>
    </w:p>
    <w:p>
      <w:pPr>
        <w:ind w:left="620" w:right="4200" w:hanging="413"/>
        <w:spacing w:after="0" w:line="238" w:lineRule="auto"/>
        <w:tabs>
          <w:tab w:leader="none" w:pos="620" w:val="left"/>
        </w:tabs>
        <w:numPr>
          <w:ilvl w:val="0"/>
          <w:numId w:val="16"/>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PERCENT OF CLASS REPRESENTED BY AMOUNT IN ROW (9) </w:t>
      </w:r>
      <w:r>
        <w:rPr>
          <w:rFonts w:ascii="Georgia" w:cs="Georgia" w:eastAsia="Georgia" w:hAnsi="Georgia"/>
          <w:sz w:val="18"/>
          <w:szCs w:val="18"/>
          <w:color w:val="auto"/>
        </w:rPr>
        <w:t>2.93%</w:t>
      </w:r>
    </w:p>
    <w:p>
      <w:pPr>
        <w:spacing w:after="0" w:line="148" w:lineRule="exact"/>
        <w:rPr>
          <w:sz w:val="20"/>
          <w:szCs w:val="20"/>
          <w:color w:val="auto"/>
        </w:rPr>
      </w:pPr>
    </w:p>
    <w:p>
      <w:pPr>
        <w:ind w:left="620" w:right="7100" w:hanging="424"/>
        <w:spacing w:after="0" w:line="238" w:lineRule="auto"/>
        <w:tabs>
          <w:tab w:leader="none" w:pos="620" w:val="left"/>
        </w:tabs>
        <w:numPr>
          <w:ilvl w:val="0"/>
          <w:numId w:val="17"/>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TYPE OF REPORTING PERSON </w:t>
      </w:r>
      <w:r>
        <w:rPr>
          <w:rFonts w:ascii="Georgia" w:cs="Georgia" w:eastAsia="Georgia" w:hAnsi="Georgia"/>
          <w:sz w:val="18"/>
          <w:szCs w:val="18"/>
          <w:color w:val="auto"/>
        </w:rPr>
        <w:t>HC</w:t>
      </w:r>
    </w:p>
    <w:p>
      <w:pPr>
        <w:sectPr>
          <w:pgSz w:w="11900" w:h="16838" w:orient="portrait"/>
          <w:cols w:equalWidth="0" w:num="1">
            <w:col w:w="10660"/>
          </w:cols>
          <w:pgMar w:left="240" w:top="959" w:right="999" w:bottom="1440" w:gutter="0" w:footer="0" w:header="0"/>
        </w:sectPr>
      </w:pPr>
    </w:p>
    <w:bookmarkStart w:id="3" w:name="page4"/>
    <w:bookmarkEnd w:id="3"/>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55304A104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6757670" cy="4210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57670" cy="421068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620" w:right="7020" w:hanging="374"/>
        <w:spacing w:after="0" w:line="238" w:lineRule="auto"/>
        <w:tabs>
          <w:tab w:leader="none" w:pos="620" w:val="left"/>
        </w:tabs>
        <w:numPr>
          <w:ilvl w:val="0"/>
          <w:numId w:val="18"/>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NAME OF REPORTING PERSON </w:t>
      </w:r>
      <w:r>
        <w:rPr>
          <w:rFonts w:ascii="Georgia" w:cs="Georgia" w:eastAsia="Georgia" w:hAnsi="Georgia"/>
          <w:sz w:val="18"/>
          <w:szCs w:val="18"/>
          <w:color w:val="auto"/>
        </w:rPr>
        <w:t>CNH Partners, LLC</w:t>
      </w:r>
    </w:p>
    <w:p>
      <w:pPr>
        <w:spacing w:after="0" w:line="187" w:lineRule="exact"/>
        <w:rPr>
          <w:sz w:val="20"/>
          <w:szCs w:val="20"/>
          <w:color w:val="auto"/>
        </w:rPr>
      </w:pPr>
    </w:p>
    <w:p>
      <w:pPr>
        <w:ind w:left="620"/>
        <w:spacing w:after="0"/>
        <w:rPr>
          <w:sz w:val="20"/>
          <w:szCs w:val="20"/>
          <w:color w:val="auto"/>
        </w:rPr>
      </w:pPr>
      <w:r>
        <w:rPr>
          <w:rFonts w:ascii="Georgia" w:cs="Georgia" w:eastAsia="Georgia" w:hAnsi="Georgia"/>
          <w:sz w:val="18"/>
          <w:szCs w:val="18"/>
          <w:b w:val="1"/>
          <w:bCs w:val="1"/>
          <w:color w:val="auto"/>
        </w:rPr>
        <w:t>I.R.S. IDENTIFICATION NO. OF ABOVE PERSON (ENTITIES ONLY)</w:t>
      </w:r>
    </w:p>
    <w:p>
      <w:pPr>
        <w:spacing w:after="0" w:line="133" w:lineRule="exact"/>
        <w:rPr>
          <w:sz w:val="20"/>
          <w:szCs w:val="20"/>
          <w:color w:val="auto"/>
        </w:rPr>
      </w:pPr>
    </w:p>
    <w:p>
      <w:pPr>
        <w:ind w:left="620" w:hanging="385"/>
        <w:spacing w:after="0"/>
        <w:tabs>
          <w:tab w:leader="none" w:pos="620" w:val="left"/>
        </w:tabs>
        <w:numPr>
          <w:ilvl w:val="0"/>
          <w:numId w:val="19"/>
        </w:numPr>
        <w:rPr>
          <w:rFonts w:ascii="Georgia" w:cs="Georgia" w:eastAsia="Georgia" w:hAnsi="Georgia"/>
          <w:sz w:val="18"/>
          <w:szCs w:val="18"/>
          <w:color w:val="auto"/>
        </w:rPr>
      </w:pPr>
      <w:r>
        <w:rPr>
          <w:rFonts w:ascii="Georgia" w:cs="Georgia" w:eastAsia="Georgia" w:hAnsi="Georgia"/>
          <w:sz w:val="18"/>
          <w:szCs w:val="18"/>
          <w:b w:val="1"/>
          <w:bCs w:val="1"/>
          <w:color w:val="auto"/>
        </w:rPr>
        <w:t>CHECK THE APPROPRIATE BOX IF A MEMBER OF A GROUP</w:t>
      </w:r>
    </w:p>
    <w:p>
      <w:pPr>
        <w:ind w:left="900" w:hanging="271"/>
        <w:spacing w:after="0" w:line="237" w:lineRule="auto"/>
        <w:tabs>
          <w:tab w:leader="none" w:pos="900" w:val="left"/>
        </w:tabs>
        <w:numPr>
          <w:ilvl w:val="1"/>
          <w:numId w:val="19"/>
        </w:numPr>
        <w:rPr>
          <w:rFonts w:ascii="Georgia" w:cs="Georgia" w:eastAsia="Georgia" w:hAnsi="Georgia"/>
          <w:sz w:val="18"/>
          <w:szCs w:val="18"/>
          <w:color w:val="auto"/>
        </w:rPr>
      </w:pPr>
      <w:r>
        <w:rPr>
          <w:rFonts w:ascii="Georgia" w:cs="Georgia" w:eastAsia="Georgia" w:hAnsi="Georgia"/>
          <w:sz w:val="18"/>
          <w:szCs w:val="18"/>
          <w:color w:val="auto"/>
        </w:rPr>
        <w:t>[  ]</w:t>
      </w:r>
    </w:p>
    <w:p>
      <w:pPr>
        <w:ind w:left="900" w:hanging="271"/>
        <w:spacing w:after="0" w:line="238" w:lineRule="auto"/>
        <w:tabs>
          <w:tab w:leader="none" w:pos="900" w:val="left"/>
        </w:tabs>
        <w:numPr>
          <w:ilvl w:val="1"/>
          <w:numId w:val="19"/>
        </w:numPr>
        <w:rPr>
          <w:rFonts w:ascii="Georgia" w:cs="Georgia" w:eastAsia="Georgia" w:hAnsi="Georgia"/>
          <w:sz w:val="18"/>
          <w:szCs w:val="18"/>
          <w:color w:val="auto"/>
        </w:rPr>
      </w:pPr>
      <w:r>
        <w:rPr>
          <w:rFonts w:ascii="Georgia" w:cs="Georgia" w:eastAsia="Georgia" w:hAnsi="Georgia"/>
          <w:sz w:val="18"/>
          <w:szCs w:val="18"/>
          <w:color w:val="auto"/>
        </w:rPr>
        <w:t>[  ]</w:t>
      </w:r>
    </w:p>
    <w:p>
      <w:pPr>
        <w:spacing w:after="0" w:line="147" w:lineRule="exact"/>
        <w:rPr>
          <w:sz w:val="20"/>
          <w:szCs w:val="20"/>
          <w:color w:val="auto"/>
        </w:rPr>
      </w:pPr>
    </w:p>
    <w:p>
      <w:pPr>
        <w:ind w:left="620" w:hanging="385"/>
        <w:spacing w:after="0"/>
        <w:tabs>
          <w:tab w:leader="none" w:pos="620" w:val="left"/>
        </w:tabs>
        <w:numPr>
          <w:ilvl w:val="0"/>
          <w:numId w:val="20"/>
        </w:numPr>
        <w:rPr>
          <w:rFonts w:ascii="Georgia" w:cs="Georgia" w:eastAsia="Georgia" w:hAnsi="Georgia"/>
          <w:sz w:val="18"/>
          <w:szCs w:val="18"/>
          <w:color w:val="auto"/>
        </w:rPr>
      </w:pPr>
      <w:r>
        <w:rPr>
          <w:rFonts w:ascii="Georgia" w:cs="Georgia" w:eastAsia="Georgia" w:hAnsi="Georgia"/>
          <w:sz w:val="18"/>
          <w:szCs w:val="18"/>
          <w:b w:val="1"/>
          <w:bCs w:val="1"/>
          <w:color w:val="auto"/>
        </w:rPr>
        <w:t>SEC USE ONLY</w:t>
      </w:r>
    </w:p>
    <w:p>
      <w:pPr>
        <w:spacing w:after="0" w:line="148" w:lineRule="exact"/>
        <w:rPr>
          <w:sz w:val="20"/>
          <w:szCs w:val="20"/>
          <w:color w:val="auto"/>
        </w:rPr>
      </w:pPr>
    </w:p>
    <w:p>
      <w:pPr>
        <w:ind w:left="620" w:right="5780" w:hanging="386"/>
        <w:spacing w:after="0" w:line="238" w:lineRule="auto"/>
        <w:tabs>
          <w:tab w:leader="none" w:pos="620" w:val="left"/>
        </w:tabs>
        <w:numPr>
          <w:ilvl w:val="0"/>
          <w:numId w:val="21"/>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CITIZENSHIP OR PLACE OF ORGANIZATION </w:t>
      </w:r>
      <w:r>
        <w:rPr>
          <w:rFonts w:ascii="Georgia" w:cs="Georgia" w:eastAsia="Georgia" w:hAnsi="Georgia"/>
          <w:sz w:val="18"/>
          <w:szCs w:val="18"/>
          <w:color w:val="auto"/>
        </w:rPr>
        <w:t>Delaware, USA</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Georgia" w:cs="Georgia" w:eastAsia="Georgia" w:hAnsi="Georgia"/>
                <w:sz w:val="18"/>
                <w:szCs w:val="18"/>
                <w:b w:val="1"/>
                <w:bCs w:val="1"/>
                <w:color w:val="auto"/>
                <w:w w:val="99"/>
              </w:rPr>
              <w:t>NUMBER OF</w:t>
            </w:r>
          </w:p>
        </w:tc>
        <w:tc>
          <w:tcPr>
            <w:tcW w:w="52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8"/>
                <w:szCs w:val="18"/>
                <w:color w:val="auto"/>
              </w:rPr>
              <w:t>5</w:t>
            </w:r>
          </w:p>
        </w:tc>
        <w:tc>
          <w:tcPr>
            <w:tcW w:w="8500" w:type="dxa"/>
            <w:vAlign w:val="bottom"/>
            <w:tcBorders>
              <w:top w:val="single" w:sz="8" w:color="auto"/>
            </w:tcBorders>
          </w:tcPr>
          <w:p>
            <w:pPr>
              <w:ind w:left="60"/>
              <w:spacing w:after="0"/>
              <w:rPr>
                <w:sz w:val="20"/>
                <w:szCs w:val="20"/>
                <w:color w:val="auto"/>
              </w:rPr>
            </w:pPr>
            <w:r>
              <w:rPr>
                <w:rFonts w:ascii="Georgia" w:cs="Georgia" w:eastAsia="Georgia" w:hAnsi="Georgia"/>
                <w:sz w:val="18"/>
                <w:szCs w:val="18"/>
                <w:b w:val="1"/>
                <w:bCs w:val="1"/>
                <w:color w:val="auto"/>
              </w:rPr>
              <w:t>SOLE VOTING POWER</w:t>
            </w: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vMerge w:val="continue"/>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w w:val="98"/>
              </w:rPr>
              <w:t>SHARES</w:t>
            </w:r>
          </w:p>
        </w:tc>
        <w:tc>
          <w:tcPr>
            <w:tcW w:w="52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color w:val="auto"/>
                <w:w w:val="97"/>
              </w:rPr>
              <w:t>6</w:t>
            </w:r>
          </w:p>
        </w:tc>
        <w:tc>
          <w:tcPr>
            <w:tcW w:w="8500" w:type="dxa"/>
            <w:vAlign w:val="bottom"/>
          </w:tcPr>
          <w:p>
            <w:pPr>
              <w:ind w:left="60"/>
              <w:spacing w:after="0"/>
              <w:rPr>
                <w:sz w:val="20"/>
                <w:szCs w:val="20"/>
                <w:color w:val="auto"/>
              </w:rPr>
            </w:pPr>
            <w:r>
              <w:rPr>
                <w:rFonts w:ascii="Georgia" w:cs="Georgia" w:eastAsia="Georgia" w:hAnsi="Georgia"/>
                <w:sz w:val="18"/>
                <w:szCs w:val="18"/>
                <w:b w:val="1"/>
                <w:bCs w:val="1"/>
                <w:color w:val="auto"/>
              </w:rPr>
              <w:t>SHARED VOTING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jc w:val="center"/>
              <w:spacing w:after="0" w:line="202" w:lineRule="exact"/>
              <w:rPr>
                <w:sz w:val="20"/>
                <w:szCs w:val="20"/>
                <w:color w:val="auto"/>
              </w:rPr>
            </w:pPr>
            <w:r>
              <w:rPr>
                <w:rFonts w:ascii="Georgia" w:cs="Georgia" w:eastAsia="Georgia" w:hAnsi="Georgia"/>
                <w:sz w:val="18"/>
                <w:szCs w:val="18"/>
                <w:b w:val="1"/>
                <w:bCs w:val="1"/>
                <w:color w:val="auto"/>
              </w:rPr>
              <w:t>BENEFICIALLY</w:t>
            </w:r>
          </w:p>
        </w:tc>
        <w:tc>
          <w:tcPr>
            <w:tcW w:w="520" w:type="dxa"/>
            <w:vAlign w:val="bottom"/>
            <w:tcBorders>
              <w:right w:val="single" w:sz="8" w:color="auto"/>
            </w:tcBorders>
          </w:tcPr>
          <w:p>
            <w:pPr>
              <w:spacing w:after="0"/>
              <w:rPr>
                <w:sz w:val="17"/>
                <w:szCs w:val="17"/>
                <w:color w:val="auto"/>
              </w:rPr>
            </w:pPr>
          </w:p>
        </w:tc>
        <w:tc>
          <w:tcPr>
            <w:tcW w:w="8500" w:type="dxa"/>
            <w:vAlign w:val="bottom"/>
          </w:tcPr>
          <w:p>
            <w:pPr>
              <w:ind w:left="60"/>
              <w:spacing w:after="0" w:line="202" w:lineRule="exact"/>
              <w:rPr>
                <w:sz w:val="20"/>
                <w:szCs w:val="20"/>
                <w:color w:val="auto"/>
              </w:rPr>
            </w:pPr>
            <w:r>
              <w:rPr>
                <w:rFonts w:ascii="Georgia" w:cs="Georgia" w:eastAsia="Georgia" w:hAnsi="Georgia"/>
                <w:sz w:val="18"/>
                <w:szCs w:val="18"/>
                <w:color w:val="auto"/>
              </w:rPr>
              <w:t>206,000</w:t>
            </w:r>
          </w:p>
        </w:tc>
        <w:tc>
          <w:tcPr>
            <w:tcW w:w="0" w:type="dxa"/>
            <w:vAlign w:val="bottom"/>
          </w:tcPr>
          <w:p>
            <w:pPr>
              <w:spacing w:after="0"/>
              <w:rPr>
                <w:sz w:val="1"/>
                <w:szCs w:val="1"/>
                <w:color w:val="auto"/>
              </w:rPr>
            </w:pPr>
          </w:p>
        </w:tc>
      </w:tr>
      <w:tr>
        <w:trPr>
          <w:trHeight w:val="98"/>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OWNED BY</w:t>
            </w:r>
          </w:p>
        </w:tc>
        <w:tc>
          <w:tcPr>
            <w:tcW w:w="520" w:type="dxa"/>
            <w:vAlign w:val="bottom"/>
            <w:tcBorders>
              <w:bottom w:val="single" w:sz="8" w:color="auto"/>
              <w:right w:val="single" w:sz="8" w:color="auto"/>
            </w:tcBorders>
          </w:tcPr>
          <w:p>
            <w:pPr>
              <w:spacing w:after="0"/>
              <w:rPr>
                <w:sz w:val="8"/>
                <w:szCs w:val="8"/>
                <w:color w:val="auto"/>
              </w:rPr>
            </w:pPr>
          </w:p>
        </w:tc>
        <w:tc>
          <w:tcPr>
            <w:tcW w:w="8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rPr>
              <w:t>7</w:t>
            </w:r>
          </w:p>
        </w:tc>
        <w:tc>
          <w:tcPr>
            <w:tcW w:w="850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SOLE DISPOSITIVE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jc w:val="center"/>
              <w:spacing w:after="0" w:line="202" w:lineRule="exact"/>
              <w:rPr>
                <w:sz w:val="20"/>
                <w:szCs w:val="20"/>
                <w:color w:val="auto"/>
              </w:rPr>
            </w:pPr>
            <w:r>
              <w:rPr>
                <w:rFonts w:ascii="Georgia" w:cs="Georgia" w:eastAsia="Georgia" w:hAnsi="Georgia"/>
                <w:sz w:val="18"/>
                <w:szCs w:val="18"/>
                <w:b w:val="1"/>
                <w:bCs w:val="1"/>
                <w:color w:val="auto"/>
              </w:rPr>
              <w:t>EACH</w:t>
            </w:r>
          </w:p>
        </w:tc>
        <w:tc>
          <w:tcPr>
            <w:tcW w:w="520" w:type="dxa"/>
            <w:vAlign w:val="bottom"/>
            <w:tcBorders>
              <w:right w:val="single" w:sz="8" w:color="auto"/>
            </w:tcBorders>
            <w:vMerge w:val="continue"/>
          </w:tcPr>
          <w:p>
            <w:pPr>
              <w:spacing w:after="0"/>
              <w:rPr>
                <w:sz w:val="17"/>
                <w:szCs w:val="17"/>
                <w:color w:val="auto"/>
              </w:rPr>
            </w:pPr>
          </w:p>
        </w:tc>
        <w:tc>
          <w:tcPr>
            <w:tcW w:w="8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REPORTING</w:t>
            </w:r>
          </w:p>
        </w:tc>
        <w:tc>
          <w:tcPr>
            <w:tcW w:w="520" w:type="dxa"/>
            <w:vAlign w:val="bottom"/>
            <w:tcBorders>
              <w:bottom w:val="single" w:sz="8" w:color="auto"/>
              <w:right w:val="single" w:sz="8" w:color="auto"/>
            </w:tcBorders>
          </w:tcPr>
          <w:p>
            <w:pPr>
              <w:spacing w:after="0"/>
              <w:rPr>
                <w:sz w:val="3"/>
                <w:szCs w:val="3"/>
                <w:color w:val="auto"/>
              </w:rPr>
            </w:pPr>
          </w:p>
        </w:tc>
        <w:tc>
          <w:tcPr>
            <w:tcW w:w="8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164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w w:val="92"/>
              </w:rPr>
              <w:t>8</w:t>
            </w:r>
          </w:p>
        </w:tc>
        <w:tc>
          <w:tcPr>
            <w:tcW w:w="850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SHARED DISPOSITIVE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line="203" w:lineRule="exact"/>
              <w:rPr>
                <w:sz w:val="20"/>
                <w:szCs w:val="20"/>
                <w:color w:val="auto"/>
              </w:rPr>
            </w:pPr>
            <w:r>
              <w:rPr>
                <w:rFonts w:ascii="Georgia" w:cs="Georgia" w:eastAsia="Georgia" w:hAnsi="Georgia"/>
                <w:sz w:val="18"/>
                <w:szCs w:val="18"/>
                <w:b w:val="1"/>
                <w:bCs w:val="1"/>
                <w:color w:val="auto"/>
              </w:rPr>
              <w:t>PERSON WITH</w:t>
            </w:r>
          </w:p>
        </w:tc>
        <w:tc>
          <w:tcPr>
            <w:tcW w:w="520" w:type="dxa"/>
            <w:vAlign w:val="bottom"/>
            <w:tcBorders>
              <w:right w:val="single" w:sz="8" w:color="auto"/>
            </w:tcBorders>
            <w:vMerge w:val="continue"/>
          </w:tcPr>
          <w:p>
            <w:pPr>
              <w:spacing w:after="0"/>
              <w:rPr>
                <w:sz w:val="10"/>
                <w:szCs w:val="10"/>
                <w:color w:val="auto"/>
              </w:rPr>
            </w:pPr>
          </w:p>
        </w:tc>
        <w:tc>
          <w:tcPr>
            <w:tcW w:w="8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8500" w:type="dxa"/>
            <w:vAlign w:val="bottom"/>
            <w:vMerge w:val="restart"/>
          </w:tcPr>
          <w:p>
            <w:pPr>
              <w:ind w:left="60"/>
              <w:spacing w:after="0" w:line="203" w:lineRule="exact"/>
              <w:rPr>
                <w:sz w:val="20"/>
                <w:szCs w:val="20"/>
                <w:color w:val="auto"/>
              </w:rPr>
            </w:pPr>
            <w:r>
              <w:rPr>
                <w:rFonts w:ascii="Georgia" w:cs="Georgia" w:eastAsia="Georgia" w:hAnsi="Georgia"/>
                <w:sz w:val="18"/>
                <w:szCs w:val="18"/>
                <w:color w:val="auto"/>
              </w:rPr>
              <w:t>206,000</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8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620" w:right="2500" w:hanging="386"/>
        <w:spacing w:after="0" w:line="238" w:lineRule="auto"/>
        <w:tabs>
          <w:tab w:leader="none" w:pos="620" w:val="left"/>
        </w:tabs>
        <w:numPr>
          <w:ilvl w:val="0"/>
          <w:numId w:val="22"/>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AGGREGATE AMOUNT BENEFICIALLY OWNED BY EACH REPORTING PERSON </w:t>
      </w:r>
      <w:r>
        <w:rPr>
          <w:rFonts w:ascii="Georgia" w:cs="Georgia" w:eastAsia="Georgia" w:hAnsi="Georgia"/>
          <w:sz w:val="18"/>
          <w:szCs w:val="18"/>
          <w:color w:val="auto"/>
        </w:rPr>
        <w:t>206,000</w:t>
      </w:r>
    </w:p>
    <w:p>
      <w:pPr>
        <w:spacing w:after="0" w:line="148" w:lineRule="exact"/>
        <w:rPr>
          <w:sz w:val="20"/>
          <w:szCs w:val="20"/>
          <w:color w:val="auto"/>
        </w:rPr>
      </w:pPr>
    </w:p>
    <w:p>
      <w:pPr>
        <w:ind w:left="620" w:right="1880" w:hanging="429"/>
        <w:spacing w:after="0" w:line="238" w:lineRule="auto"/>
        <w:tabs>
          <w:tab w:leader="none" w:pos="620" w:val="left"/>
        </w:tabs>
        <w:numPr>
          <w:ilvl w:val="0"/>
          <w:numId w:val="23"/>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CHECK BOX IF THE AGGREGATE AMOUNT IN ROW (9) EXCLUDES CERTAIN SHARES </w:t>
      </w:r>
      <w:r>
        <w:rPr>
          <w:rFonts w:ascii="Georgia" w:cs="Georgia" w:eastAsia="Georgia" w:hAnsi="Georgia"/>
          <w:sz w:val="18"/>
          <w:szCs w:val="18"/>
          <w:color w:val="auto"/>
        </w:rPr>
        <w:t>[ ]</w:t>
      </w:r>
    </w:p>
    <w:p>
      <w:pPr>
        <w:spacing w:after="0" w:line="148" w:lineRule="exact"/>
        <w:rPr>
          <w:sz w:val="20"/>
          <w:szCs w:val="20"/>
          <w:color w:val="auto"/>
        </w:rPr>
      </w:pPr>
    </w:p>
    <w:p>
      <w:pPr>
        <w:ind w:left="620" w:right="4200" w:hanging="413"/>
        <w:spacing w:after="0" w:line="238" w:lineRule="auto"/>
        <w:tabs>
          <w:tab w:leader="none" w:pos="620" w:val="left"/>
        </w:tabs>
        <w:numPr>
          <w:ilvl w:val="0"/>
          <w:numId w:val="24"/>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PERCENT OF CLASS REPRESENTED BY AMOUNT IN ROW (9) </w:t>
      </w:r>
      <w:r>
        <w:rPr>
          <w:rFonts w:ascii="Georgia" w:cs="Georgia" w:eastAsia="Georgia" w:hAnsi="Georgia"/>
          <w:sz w:val="18"/>
          <w:szCs w:val="18"/>
          <w:color w:val="auto"/>
        </w:rPr>
        <w:t>2.93%</w:t>
      </w:r>
    </w:p>
    <w:p>
      <w:pPr>
        <w:spacing w:after="0" w:line="148" w:lineRule="exact"/>
        <w:rPr>
          <w:sz w:val="20"/>
          <w:szCs w:val="20"/>
          <w:color w:val="auto"/>
        </w:rPr>
      </w:pPr>
    </w:p>
    <w:p>
      <w:pPr>
        <w:ind w:left="620" w:right="7100" w:hanging="424"/>
        <w:spacing w:after="0" w:line="238" w:lineRule="auto"/>
        <w:tabs>
          <w:tab w:leader="none" w:pos="620" w:val="left"/>
        </w:tabs>
        <w:numPr>
          <w:ilvl w:val="0"/>
          <w:numId w:val="25"/>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TYPE OF REPORTING PERSON </w:t>
      </w:r>
      <w:r>
        <w:rPr>
          <w:rFonts w:ascii="Georgia" w:cs="Georgia" w:eastAsia="Georgia" w:hAnsi="Georgia"/>
          <w:sz w:val="18"/>
          <w:szCs w:val="18"/>
          <w:color w:val="auto"/>
        </w:rPr>
        <w:t>IA</w:t>
      </w:r>
    </w:p>
    <w:p>
      <w:pPr>
        <w:sectPr>
          <w:pgSz w:w="11900" w:h="16838" w:orient="portrait"/>
          <w:cols w:equalWidth="0" w:num="1">
            <w:col w:w="10660"/>
          </w:cols>
          <w:pgMar w:left="240" w:top="959" w:right="999" w:bottom="1440" w:gutter="0" w:footer="0" w:header="0"/>
        </w:sectPr>
      </w:pPr>
    </w:p>
    <w:bookmarkStart w:id="4" w:name="page5"/>
    <w:bookmarkEnd w:id="4"/>
    <w:p>
      <w:pPr>
        <w:ind w:left="30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55304A104</w:t>
      </w:r>
    </w:p>
    <w:p>
      <w:pPr>
        <w:spacing w:after="0" w:line="200" w:lineRule="exact"/>
        <w:rPr>
          <w:sz w:val="20"/>
          <w:szCs w:val="20"/>
          <w:color w:val="auto"/>
        </w:rPr>
      </w:pPr>
    </w:p>
    <w:p>
      <w:pPr>
        <w:spacing w:after="0" w:line="338"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1(a).</w:t>
      </w:r>
      <w:r>
        <w:rPr>
          <w:sz w:val="20"/>
          <w:szCs w:val="20"/>
          <w:color w:val="auto"/>
        </w:rPr>
        <w:tab/>
      </w:r>
      <w:r>
        <w:rPr>
          <w:rFonts w:ascii="Georgia" w:cs="Georgia" w:eastAsia="Georgia" w:hAnsi="Georgia"/>
          <w:sz w:val="17"/>
          <w:szCs w:val="17"/>
          <w:b w:val="1"/>
          <w:bCs w:val="1"/>
          <w:color w:val="auto"/>
        </w:rPr>
        <w:t>NAME OF ISSUER:</w:t>
      </w:r>
    </w:p>
    <w:p>
      <w:pPr>
        <w:spacing w:after="0" w:line="9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M I ACQUISITIONS, INC.</w:t>
      </w:r>
    </w:p>
    <w:p>
      <w:pPr>
        <w:spacing w:after="0" w:line="228"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1(b).</w:t>
      </w:r>
      <w:r>
        <w:rPr>
          <w:sz w:val="20"/>
          <w:szCs w:val="20"/>
          <w:color w:val="auto"/>
        </w:rPr>
        <w:tab/>
      </w:r>
      <w:r>
        <w:rPr>
          <w:rFonts w:ascii="Georgia" w:cs="Georgia" w:eastAsia="Georgia" w:hAnsi="Georgia"/>
          <w:sz w:val="17"/>
          <w:szCs w:val="17"/>
          <w:b w:val="1"/>
          <w:bCs w:val="1"/>
          <w:color w:val="auto"/>
        </w:rPr>
        <w:t>ADDRESS OF ISSUER'S PRINCIPAL EXECUTIVE OFFICES:</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5 HANOVER SQUARE</w:t>
      </w:r>
    </w:p>
    <w:p>
      <w:pPr>
        <w:ind w:left="1160"/>
        <w:spacing w:after="0" w:line="238" w:lineRule="auto"/>
        <w:rPr>
          <w:sz w:val="20"/>
          <w:szCs w:val="20"/>
          <w:color w:val="auto"/>
        </w:rPr>
      </w:pPr>
      <w:r>
        <w:rPr>
          <w:rFonts w:ascii="Georgia" w:cs="Georgia" w:eastAsia="Georgia" w:hAnsi="Georgia"/>
          <w:sz w:val="18"/>
          <w:szCs w:val="18"/>
          <w:color w:val="auto"/>
        </w:rPr>
        <w:t>NEW YORK NY 10004</w:t>
      </w:r>
    </w:p>
    <w:p>
      <w:pPr>
        <w:spacing w:after="0" w:line="228"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2(a).  NAME OF PERSON FILING:</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AQR Capital Management, LLC</w:t>
      </w:r>
    </w:p>
    <w:p>
      <w:pPr>
        <w:ind w:left="1160"/>
        <w:spacing w:after="0" w:line="237" w:lineRule="auto"/>
        <w:rPr>
          <w:sz w:val="20"/>
          <w:szCs w:val="20"/>
          <w:color w:val="auto"/>
        </w:rPr>
      </w:pPr>
      <w:r>
        <w:rPr>
          <w:rFonts w:ascii="Georgia" w:cs="Georgia" w:eastAsia="Georgia" w:hAnsi="Georgia"/>
          <w:sz w:val="18"/>
          <w:szCs w:val="18"/>
          <w:color w:val="auto"/>
        </w:rPr>
        <w:t>AQR Capital Management Holdings, LLC</w:t>
      </w:r>
    </w:p>
    <w:p>
      <w:pPr>
        <w:ind w:left="1160"/>
        <w:spacing w:after="0"/>
        <w:rPr>
          <w:sz w:val="20"/>
          <w:szCs w:val="20"/>
          <w:color w:val="auto"/>
        </w:rPr>
      </w:pPr>
      <w:r>
        <w:rPr>
          <w:rFonts w:ascii="Georgia" w:cs="Georgia" w:eastAsia="Georgia" w:hAnsi="Georgia"/>
          <w:sz w:val="18"/>
          <w:szCs w:val="18"/>
          <w:color w:val="auto"/>
        </w:rPr>
        <w:t>CNH Partners, LLC</w:t>
      </w:r>
    </w:p>
    <w:p>
      <w:pPr>
        <w:spacing w:after="0" w:line="201" w:lineRule="exact"/>
        <w:rPr>
          <w:sz w:val="20"/>
          <w:szCs w:val="20"/>
          <w:color w:val="auto"/>
        </w:rPr>
      </w:pPr>
    </w:p>
    <w:p>
      <w:pPr>
        <w:ind w:left="1160" w:right="480"/>
        <w:spacing w:after="0" w:line="238" w:lineRule="auto"/>
        <w:rPr>
          <w:sz w:val="20"/>
          <w:szCs w:val="20"/>
          <w:color w:val="auto"/>
        </w:rPr>
      </w:pPr>
      <w:r>
        <w:rPr>
          <w:rFonts w:ascii="Georgia" w:cs="Georgia" w:eastAsia="Georgia" w:hAnsi="Georgia"/>
          <w:sz w:val="18"/>
          <w:szCs w:val="18"/>
          <w:color w:val="auto"/>
        </w:rPr>
        <w:t>AQR Capital Management, LLC is a wholly owned subsidiary of AQR Capital Management Holdings, LLC. CNH Partners, LLC is deemed to be controlled by AQR Capital Management, LLC.</w:t>
      </w:r>
    </w:p>
    <w:p>
      <w:pPr>
        <w:spacing w:after="0" w:line="228"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2(b).  ADDRESS OF PRINCIPAL BUSINESS OFFICE OR, IF NONE, RESIDENCE:</w:t>
      </w:r>
    </w:p>
    <w:p>
      <w:pPr>
        <w:spacing w:after="0" w:line="94" w:lineRule="exact"/>
        <w:rPr>
          <w:sz w:val="20"/>
          <w:szCs w:val="20"/>
          <w:color w:val="auto"/>
        </w:rPr>
      </w:pPr>
    </w:p>
    <w:p>
      <w:pPr>
        <w:ind w:left="1160" w:right="6840" w:hanging="2"/>
        <w:spacing w:after="0" w:line="264" w:lineRule="auto"/>
        <w:tabs>
          <w:tab w:leader="none" w:pos="1416" w:val="left"/>
        </w:tabs>
        <w:numPr>
          <w:ilvl w:val="0"/>
          <w:numId w:val="26"/>
        </w:numPr>
        <w:rPr>
          <w:rFonts w:ascii="Georgia" w:cs="Georgia" w:eastAsia="Georgia" w:hAnsi="Georgia"/>
          <w:sz w:val="17"/>
          <w:szCs w:val="17"/>
          <w:color w:val="auto"/>
        </w:rPr>
      </w:pPr>
      <w:r>
        <w:rPr>
          <w:rFonts w:ascii="Georgia" w:cs="Georgia" w:eastAsia="Georgia" w:hAnsi="Georgia"/>
          <w:sz w:val="17"/>
          <w:szCs w:val="17"/>
          <w:color w:val="auto"/>
        </w:rPr>
        <w:t>TWO GREENWICH PLAZA GREENWICH, CT 06830</w:t>
      </w:r>
    </w:p>
    <w:p>
      <w:pPr>
        <w:spacing w:after="0" w:line="182" w:lineRule="exact"/>
        <w:rPr>
          <w:rFonts w:ascii="Georgia" w:cs="Georgia" w:eastAsia="Georgia" w:hAnsi="Georgia"/>
          <w:sz w:val="17"/>
          <w:szCs w:val="17"/>
          <w:color w:val="auto"/>
        </w:rPr>
      </w:pPr>
    </w:p>
    <w:p>
      <w:pPr>
        <w:ind w:left="1160" w:right="6800" w:hanging="2"/>
        <w:spacing w:after="0" w:line="238" w:lineRule="auto"/>
        <w:tabs>
          <w:tab w:leader="none" w:pos="1439"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TWO GREENWICH PLAZA GREENWICH, CT 06830</w:t>
      </w:r>
    </w:p>
    <w:p>
      <w:pPr>
        <w:spacing w:after="0" w:line="202" w:lineRule="exact"/>
        <w:rPr>
          <w:rFonts w:ascii="Georgia" w:cs="Georgia" w:eastAsia="Georgia" w:hAnsi="Georgia"/>
          <w:sz w:val="18"/>
          <w:szCs w:val="18"/>
          <w:color w:val="auto"/>
        </w:rPr>
      </w:pPr>
    </w:p>
    <w:p>
      <w:pPr>
        <w:ind w:left="1160" w:right="6800" w:hanging="2"/>
        <w:spacing w:after="0" w:line="238" w:lineRule="auto"/>
        <w:tabs>
          <w:tab w:leader="none" w:pos="1438"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TWO GREENWICH PLAZA GREENWICH, CT 06830</w:t>
      </w:r>
    </w:p>
    <w:p>
      <w:pPr>
        <w:spacing w:after="0" w:line="228"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2(c).  CITIZENSHIP:</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Delaware, USA</w:t>
      </w:r>
    </w:p>
    <w:p>
      <w:pPr>
        <w:ind w:left="1160"/>
        <w:spacing w:after="0" w:line="237" w:lineRule="auto"/>
        <w:rPr>
          <w:sz w:val="20"/>
          <w:szCs w:val="20"/>
          <w:color w:val="auto"/>
        </w:rPr>
      </w:pPr>
      <w:r>
        <w:rPr>
          <w:rFonts w:ascii="Georgia" w:cs="Georgia" w:eastAsia="Georgia" w:hAnsi="Georgia"/>
          <w:sz w:val="18"/>
          <w:szCs w:val="18"/>
          <w:color w:val="auto"/>
        </w:rPr>
        <w:t>Delaware, USA</w:t>
      </w:r>
    </w:p>
    <w:p>
      <w:pPr>
        <w:ind w:left="1160"/>
        <w:spacing w:after="0"/>
        <w:rPr>
          <w:sz w:val="20"/>
          <w:szCs w:val="20"/>
          <w:color w:val="auto"/>
        </w:rPr>
      </w:pPr>
      <w:r>
        <w:rPr>
          <w:rFonts w:ascii="Georgia" w:cs="Georgia" w:eastAsia="Georgia" w:hAnsi="Georgia"/>
          <w:sz w:val="18"/>
          <w:szCs w:val="18"/>
          <w:color w:val="auto"/>
        </w:rPr>
        <w:t>Delaware, USA</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2(d).  TITLE OF CLASS OF SECURITIES:</w:t>
      </w:r>
    </w:p>
    <w:p>
      <w:pPr>
        <w:spacing w:after="0" w:line="9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Common stock, par value $0.001 per share</w:t>
      </w:r>
    </w:p>
    <w:p>
      <w:pPr>
        <w:spacing w:after="0" w:line="228"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2(e).  CUSIP NUMBER:</w:t>
      </w:r>
    </w:p>
    <w:p>
      <w:pPr>
        <w:spacing w:after="0" w:line="9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55304A104</w:t>
      </w:r>
    </w:p>
    <w:p>
      <w:pPr>
        <w:spacing w:after="0" w:line="229" w:lineRule="exact"/>
        <w:rPr>
          <w:sz w:val="20"/>
          <w:szCs w:val="20"/>
          <w:color w:val="auto"/>
        </w:rPr>
      </w:pPr>
    </w:p>
    <w:p>
      <w:pPr>
        <w:ind w:left="1160" w:right="380" w:hanging="1160"/>
        <w:spacing w:after="0" w:line="238" w:lineRule="auto"/>
        <w:tabs>
          <w:tab w:leader="none" w:pos="1140" w:val="left"/>
        </w:tabs>
        <w:rPr>
          <w:sz w:val="20"/>
          <w:szCs w:val="20"/>
          <w:color w:val="auto"/>
        </w:rPr>
      </w:pPr>
      <w:r>
        <w:rPr>
          <w:rFonts w:ascii="Georgia" w:cs="Georgia" w:eastAsia="Georgia" w:hAnsi="Georgia"/>
          <w:sz w:val="18"/>
          <w:szCs w:val="18"/>
          <w:b w:val="1"/>
          <w:bCs w:val="1"/>
          <w:color w:val="auto"/>
        </w:rPr>
        <w:t>ITEM 3.</w:t>
      </w:r>
      <w:r>
        <w:rPr>
          <w:sz w:val="20"/>
          <w:szCs w:val="20"/>
          <w:color w:val="auto"/>
        </w:rPr>
        <w:tab/>
      </w:r>
      <w:r>
        <w:rPr>
          <w:rFonts w:ascii="Georgia" w:cs="Georgia" w:eastAsia="Georgia" w:hAnsi="Georgia"/>
          <w:sz w:val="18"/>
          <w:szCs w:val="18"/>
          <w:b w:val="1"/>
          <w:bCs w:val="1"/>
          <w:color w:val="auto"/>
        </w:rPr>
        <w:t>IF THIS STATEMENT IS FILED PURSUANT TO SECTION 240.13d-1(b), or 13d-2(b) or (c) CHECK WHETHER THE PERSON FILING IS A:</w:t>
      </w:r>
    </w:p>
    <w:p>
      <w:pPr>
        <w:spacing w:after="0" w:line="133" w:lineRule="exact"/>
        <w:rPr>
          <w:sz w:val="20"/>
          <w:szCs w:val="20"/>
          <w:color w:val="auto"/>
        </w:rPr>
      </w:pPr>
    </w:p>
    <w:p>
      <w:pPr>
        <w:ind w:left="1600" w:hanging="442"/>
        <w:spacing w:after="0"/>
        <w:tabs>
          <w:tab w:leader="none" w:pos="1600" w:val="left"/>
        </w:tabs>
        <w:numPr>
          <w:ilvl w:val="0"/>
          <w:numId w:val="27"/>
        </w:numPr>
        <w:rPr>
          <w:rFonts w:ascii="Georgia" w:cs="Georgia" w:eastAsia="Georgia" w:hAnsi="Georgia"/>
          <w:sz w:val="18"/>
          <w:szCs w:val="18"/>
          <w:color w:val="auto"/>
        </w:rPr>
      </w:pPr>
      <w:r>
        <w:rPr>
          <w:rFonts w:ascii="Georgia" w:cs="Georgia" w:eastAsia="Georgia" w:hAnsi="Georgia"/>
          <w:sz w:val="18"/>
          <w:szCs w:val="18"/>
          <w:color w:val="auto"/>
        </w:rPr>
        <w:t>[ ]Broker or dealer registered under Section 15 of the Act (15 U.S.C. 78c);</w:t>
      </w:r>
    </w:p>
    <w:p>
      <w:pPr>
        <w:spacing w:after="0" w:line="133" w:lineRule="exact"/>
        <w:rPr>
          <w:rFonts w:ascii="Georgia" w:cs="Georgia" w:eastAsia="Georgia" w:hAnsi="Georgia"/>
          <w:sz w:val="18"/>
          <w:szCs w:val="18"/>
          <w:color w:val="auto"/>
        </w:rPr>
      </w:pPr>
    </w:p>
    <w:p>
      <w:pPr>
        <w:ind w:left="1600" w:hanging="442"/>
        <w:spacing w:after="0"/>
        <w:tabs>
          <w:tab w:leader="none" w:pos="1600" w:val="left"/>
        </w:tabs>
        <w:numPr>
          <w:ilvl w:val="0"/>
          <w:numId w:val="27"/>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Bank as defined in Section 3(a)(6) of the Act (15 U.S.C. 78c);</w:t>
      </w:r>
    </w:p>
    <w:p>
      <w:pPr>
        <w:spacing w:after="0" w:line="133" w:lineRule="exact"/>
        <w:rPr>
          <w:rFonts w:ascii="Georgia" w:cs="Georgia" w:eastAsia="Georgia" w:hAnsi="Georgia"/>
          <w:sz w:val="18"/>
          <w:szCs w:val="18"/>
          <w:color w:val="auto"/>
        </w:rPr>
      </w:pPr>
    </w:p>
    <w:p>
      <w:pPr>
        <w:ind w:left="1600" w:hanging="442"/>
        <w:spacing w:after="0"/>
        <w:tabs>
          <w:tab w:leader="none" w:pos="1600" w:val="left"/>
        </w:tabs>
        <w:numPr>
          <w:ilvl w:val="0"/>
          <w:numId w:val="27"/>
        </w:numPr>
        <w:rPr>
          <w:rFonts w:ascii="Georgia" w:cs="Georgia" w:eastAsia="Georgia" w:hAnsi="Georgia"/>
          <w:sz w:val="18"/>
          <w:szCs w:val="18"/>
          <w:color w:val="auto"/>
        </w:rPr>
      </w:pPr>
      <w:r>
        <w:rPr>
          <w:rFonts w:ascii="Georgia" w:cs="Georgia" w:eastAsia="Georgia" w:hAnsi="Georgia"/>
          <w:sz w:val="18"/>
          <w:szCs w:val="18"/>
          <w:color w:val="auto"/>
        </w:rPr>
        <w:t>[ ]Insurance company as defined in Section 3(a)(19) of the Act (15 U.S.C. 78c);</w:t>
      </w:r>
    </w:p>
    <w:p>
      <w:pPr>
        <w:spacing w:after="0" w:line="134" w:lineRule="exact"/>
        <w:rPr>
          <w:rFonts w:ascii="Georgia" w:cs="Georgia" w:eastAsia="Georgia" w:hAnsi="Georgia"/>
          <w:sz w:val="18"/>
          <w:szCs w:val="18"/>
          <w:color w:val="auto"/>
        </w:rPr>
      </w:pPr>
    </w:p>
    <w:p>
      <w:pPr>
        <w:ind w:left="2320" w:right="360" w:hanging="1162"/>
        <w:spacing w:after="0" w:line="238" w:lineRule="auto"/>
        <w:tabs>
          <w:tab w:leader="none" w:pos="1607" w:val="left"/>
        </w:tabs>
        <w:numPr>
          <w:ilvl w:val="0"/>
          <w:numId w:val="27"/>
        </w:numPr>
        <w:rPr>
          <w:rFonts w:ascii="Georgia" w:cs="Georgia" w:eastAsia="Georgia" w:hAnsi="Georgia"/>
          <w:sz w:val="18"/>
          <w:szCs w:val="18"/>
          <w:color w:val="auto"/>
        </w:rPr>
      </w:pPr>
      <w:r>
        <w:rPr>
          <w:rFonts w:ascii="Georgia" w:cs="Georgia" w:eastAsia="Georgia" w:hAnsi="Georgia"/>
          <w:sz w:val="18"/>
          <w:szCs w:val="18"/>
          <w:color w:val="auto"/>
        </w:rPr>
        <w:t>[ ]Investment company registered under Section 8 of the Investment Company Act of 1940 (15 U.S.C 80a-8);</w:t>
      </w:r>
    </w:p>
    <w:p>
      <w:pPr>
        <w:spacing w:after="0" w:line="133" w:lineRule="exact"/>
        <w:rPr>
          <w:rFonts w:ascii="Georgia" w:cs="Georgia" w:eastAsia="Georgia" w:hAnsi="Georgia"/>
          <w:sz w:val="18"/>
          <w:szCs w:val="18"/>
          <w:color w:val="auto"/>
        </w:rPr>
      </w:pPr>
    </w:p>
    <w:p>
      <w:pPr>
        <w:ind w:left="1600" w:hanging="442"/>
        <w:spacing w:after="0"/>
        <w:tabs>
          <w:tab w:leader="none" w:pos="1600" w:val="left"/>
        </w:tabs>
        <w:numPr>
          <w:ilvl w:val="0"/>
          <w:numId w:val="27"/>
        </w:numPr>
        <w:rPr>
          <w:rFonts w:ascii="Georgia" w:cs="Georgia" w:eastAsia="Georgia" w:hAnsi="Georgia"/>
          <w:sz w:val="18"/>
          <w:szCs w:val="18"/>
          <w:color w:val="auto"/>
        </w:rPr>
      </w:pPr>
      <w:r>
        <w:rPr>
          <w:rFonts w:ascii="Georgia" w:cs="Georgia" w:eastAsia="Georgia" w:hAnsi="Georgia"/>
          <w:sz w:val="18"/>
          <w:szCs w:val="18"/>
          <w:color w:val="auto"/>
        </w:rPr>
        <w:t>[X]</w:t>
      </w:r>
      <w:r>
        <w:rPr>
          <w:rFonts w:ascii="Georgia" w:cs="Georgia" w:eastAsia="Georgia" w:hAnsi="Georgia"/>
          <w:sz w:val="17"/>
          <w:szCs w:val="17"/>
          <w:color w:val="auto"/>
        </w:rPr>
        <w:t>An investment adviser in accordance with 240.13d-1(b)(1)(ii)(E);</w:t>
      </w:r>
    </w:p>
    <w:p>
      <w:pPr>
        <w:spacing w:after="0" w:line="133" w:lineRule="exact"/>
        <w:rPr>
          <w:rFonts w:ascii="Georgia" w:cs="Georgia" w:eastAsia="Georgia" w:hAnsi="Georgia"/>
          <w:sz w:val="18"/>
          <w:szCs w:val="18"/>
          <w:color w:val="auto"/>
        </w:rPr>
      </w:pPr>
    </w:p>
    <w:p>
      <w:pPr>
        <w:ind w:left="1600" w:hanging="442"/>
        <w:spacing w:after="0"/>
        <w:tabs>
          <w:tab w:leader="none" w:pos="1600" w:val="left"/>
        </w:tabs>
        <w:numPr>
          <w:ilvl w:val="0"/>
          <w:numId w:val="27"/>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An employee benefit plan or endowment fund in accordance with 240.13d-1(b)(1)(ii)(F);</w:t>
      </w:r>
    </w:p>
    <w:p>
      <w:pPr>
        <w:spacing w:after="0" w:line="133" w:lineRule="exact"/>
        <w:rPr>
          <w:rFonts w:ascii="Georgia" w:cs="Georgia" w:eastAsia="Georgia" w:hAnsi="Georgia"/>
          <w:sz w:val="18"/>
          <w:szCs w:val="18"/>
          <w:color w:val="auto"/>
        </w:rPr>
      </w:pPr>
    </w:p>
    <w:p>
      <w:pPr>
        <w:ind w:left="1600" w:hanging="442"/>
        <w:spacing w:after="0"/>
        <w:tabs>
          <w:tab w:leader="none" w:pos="1600" w:val="left"/>
        </w:tabs>
        <w:numPr>
          <w:ilvl w:val="0"/>
          <w:numId w:val="27"/>
        </w:numPr>
        <w:rPr>
          <w:rFonts w:ascii="Georgia" w:cs="Georgia" w:eastAsia="Georgia" w:hAnsi="Georgia"/>
          <w:sz w:val="18"/>
          <w:szCs w:val="18"/>
          <w:color w:val="auto"/>
        </w:rPr>
      </w:pPr>
      <w:r>
        <w:rPr>
          <w:rFonts w:ascii="Georgia" w:cs="Georgia" w:eastAsia="Georgia" w:hAnsi="Georgia"/>
          <w:sz w:val="18"/>
          <w:szCs w:val="18"/>
          <w:color w:val="auto"/>
        </w:rPr>
        <w:t>[X]A parent holding company or control person in accordance with 240.13d-1(b)(1)(ii)(G);</w:t>
      </w:r>
    </w:p>
    <w:p>
      <w:pPr>
        <w:spacing w:after="0" w:line="133" w:lineRule="exact"/>
        <w:rPr>
          <w:rFonts w:ascii="Georgia" w:cs="Georgia" w:eastAsia="Georgia" w:hAnsi="Georgia"/>
          <w:sz w:val="18"/>
          <w:szCs w:val="18"/>
          <w:color w:val="auto"/>
        </w:rPr>
      </w:pPr>
    </w:p>
    <w:p>
      <w:pPr>
        <w:ind w:left="1600" w:hanging="442"/>
        <w:spacing w:after="0"/>
        <w:tabs>
          <w:tab w:leader="none" w:pos="1600" w:val="left"/>
        </w:tabs>
        <w:numPr>
          <w:ilvl w:val="0"/>
          <w:numId w:val="27"/>
        </w:numPr>
        <w:rPr>
          <w:rFonts w:ascii="Georgia" w:cs="Georgia" w:eastAsia="Georgia" w:hAnsi="Georgia"/>
          <w:sz w:val="18"/>
          <w:szCs w:val="18"/>
          <w:color w:val="auto"/>
        </w:rPr>
      </w:pPr>
      <w:r>
        <w:rPr>
          <w:rFonts w:ascii="Georgia" w:cs="Georgia" w:eastAsia="Georgia" w:hAnsi="Georgia"/>
          <w:sz w:val="18"/>
          <w:szCs w:val="18"/>
          <w:color w:val="auto"/>
        </w:rPr>
        <w:t>[ ]A savings associations as defined in Section 3(b) of the Federal Deposit Insurance Act (12 U.S.C. 1813);</w:t>
      </w:r>
    </w:p>
    <w:p>
      <w:pPr>
        <w:spacing w:after="0" w:line="134" w:lineRule="exact"/>
        <w:rPr>
          <w:rFonts w:ascii="Georgia" w:cs="Georgia" w:eastAsia="Georgia" w:hAnsi="Georgia"/>
          <w:sz w:val="18"/>
          <w:szCs w:val="18"/>
          <w:color w:val="auto"/>
        </w:rPr>
      </w:pPr>
    </w:p>
    <w:p>
      <w:pPr>
        <w:ind w:left="2320" w:right="20" w:hanging="1162"/>
        <w:spacing w:after="0" w:line="238" w:lineRule="auto"/>
        <w:tabs>
          <w:tab w:leader="none" w:pos="1607" w:val="left"/>
        </w:tabs>
        <w:numPr>
          <w:ilvl w:val="0"/>
          <w:numId w:val="27"/>
        </w:numPr>
        <w:rPr>
          <w:rFonts w:ascii="Georgia" w:cs="Georgia" w:eastAsia="Georgia" w:hAnsi="Georgia"/>
          <w:sz w:val="18"/>
          <w:szCs w:val="18"/>
          <w:color w:val="auto"/>
        </w:rPr>
      </w:pPr>
      <w:r>
        <w:rPr>
          <w:rFonts w:ascii="Georgia" w:cs="Georgia" w:eastAsia="Georgia" w:hAnsi="Georgia"/>
          <w:sz w:val="18"/>
          <w:szCs w:val="18"/>
          <w:color w:val="auto"/>
        </w:rPr>
        <w:t>[ ]A church plan that is excluded from the definition of an investment company under Section 3(c)(14) of the Investment Company Act of 1940 (15 U.S.C. 80a-3);</w:t>
      </w:r>
    </w:p>
    <w:p>
      <w:pPr>
        <w:spacing w:after="0" w:line="133" w:lineRule="exact"/>
        <w:rPr>
          <w:rFonts w:ascii="Georgia" w:cs="Georgia" w:eastAsia="Georgia" w:hAnsi="Georgia"/>
          <w:sz w:val="18"/>
          <w:szCs w:val="18"/>
          <w:color w:val="auto"/>
        </w:rPr>
      </w:pPr>
    </w:p>
    <w:p>
      <w:pPr>
        <w:ind w:left="1600" w:hanging="442"/>
        <w:spacing w:after="0"/>
        <w:tabs>
          <w:tab w:leader="none" w:pos="1600" w:val="left"/>
        </w:tabs>
        <w:numPr>
          <w:ilvl w:val="0"/>
          <w:numId w:val="27"/>
        </w:numPr>
        <w:rPr>
          <w:rFonts w:ascii="Georgia" w:cs="Georgia" w:eastAsia="Georgia" w:hAnsi="Georgia"/>
          <w:sz w:val="18"/>
          <w:szCs w:val="18"/>
          <w:color w:val="auto"/>
        </w:rPr>
      </w:pPr>
      <w:r>
        <w:rPr>
          <w:rFonts w:ascii="Georgia" w:cs="Georgia" w:eastAsia="Georgia" w:hAnsi="Georgia"/>
          <w:sz w:val="18"/>
          <w:szCs w:val="18"/>
          <w:color w:val="auto"/>
        </w:rPr>
        <w:t>[ ]A non-U.S. institution in accordance with 240.13d-1(b)(1)(ii)(J);</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27"/>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Group, in accordance with 240.13d-1(b)(1)(ii)(K). If filing as a non-U.S. institution in accordance with</w:t>
      </w:r>
    </w:p>
    <w:p>
      <w:pPr>
        <w:ind w:left="2320"/>
        <w:spacing w:after="0" w:line="238" w:lineRule="auto"/>
        <w:rPr>
          <w:rFonts w:ascii="Georgia" w:cs="Georgia" w:eastAsia="Georgia" w:hAnsi="Georgia"/>
          <w:sz w:val="18"/>
          <w:szCs w:val="18"/>
          <w:color w:val="auto"/>
        </w:rPr>
      </w:pPr>
      <w:r>
        <w:rPr>
          <w:rFonts w:ascii="Georgia" w:cs="Georgia" w:eastAsia="Georgia" w:hAnsi="Georgia"/>
          <w:sz w:val="18"/>
          <w:szCs w:val="18"/>
          <w:color w:val="auto"/>
        </w:rPr>
        <w:t>240.13d1(b)(1)(ii)(J), please specify the type of institution:</w:t>
      </w:r>
    </w:p>
    <w:p>
      <w:pPr>
        <w:spacing w:after="0" w:line="200" w:lineRule="exact"/>
        <w:rPr>
          <w:sz w:val="20"/>
          <w:szCs w:val="20"/>
          <w:color w:val="auto"/>
        </w:rPr>
      </w:pPr>
    </w:p>
    <w:p>
      <w:pPr>
        <w:spacing w:after="0" w:line="244"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4.</w:t>
      </w:r>
      <w:r>
        <w:rPr>
          <w:sz w:val="20"/>
          <w:szCs w:val="20"/>
          <w:color w:val="auto"/>
        </w:rPr>
        <w:tab/>
      </w:r>
      <w:r>
        <w:rPr>
          <w:rFonts w:ascii="Georgia" w:cs="Georgia" w:eastAsia="Georgia" w:hAnsi="Georgia"/>
          <w:sz w:val="17"/>
          <w:szCs w:val="17"/>
          <w:b w:val="1"/>
          <w:bCs w:val="1"/>
          <w:color w:val="auto"/>
        </w:rPr>
        <w:t>OWNERSHIP</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(a) Amount beneficially owned:</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206,000</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(b) Percent of class:</w:t>
      </w:r>
    </w:p>
    <w:p>
      <w:pPr>
        <w:sectPr>
          <w:pgSz w:w="11900" w:h="16838" w:orient="portrait"/>
          <w:cols w:equalWidth="0" w:num="1">
            <w:col w:w="10460"/>
          </w:cols>
          <w:pgMar w:left="320" w:top="959" w:right="1119" w:bottom="0" w:gutter="0" w:footer="0" w:header="0"/>
        </w:sectPr>
      </w:pP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2.93%</w:t>
      </w:r>
    </w:p>
    <w:p>
      <w:pPr>
        <w:sectPr>
          <w:pgSz w:w="11900" w:h="16838" w:orient="portrait"/>
          <w:cols w:equalWidth="0" w:num="1">
            <w:col w:w="10460"/>
          </w:cols>
          <w:pgMar w:left="320" w:top="959" w:right="1119" w:bottom="0" w:gutter="0" w:footer="0" w:header="0"/>
          <w:type w:val="continuous"/>
        </w:sectPr>
      </w:pPr>
    </w:p>
    <w:bookmarkStart w:id="5" w:name="page6"/>
    <w:bookmarkEnd w:id="5"/>
    <w:p>
      <w:pPr>
        <w:ind w:left="1460" w:hanging="302"/>
        <w:spacing w:after="0"/>
        <w:tabs>
          <w:tab w:leader="none" w:pos="1460" w:val="left"/>
        </w:tabs>
        <w:numPr>
          <w:ilvl w:val="0"/>
          <w:numId w:val="28"/>
        </w:numPr>
        <w:rPr>
          <w:rFonts w:ascii="Georgia" w:cs="Georgia" w:eastAsia="Georgia" w:hAnsi="Georgia"/>
          <w:sz w:val="18"/>
          <w:szCs w:val="18"/>
          <w:b w:val="1"/>
          <w:bCs w:val="1"/>
          <w:color w:val="auto"/>
        </w:rPr>
      </w:pPr>
      <w:r>
        <w:rPr>
          <w:rFonts w:ascii="Georgia" w:cs="Georgia" w:eastAsia="Georgia" w:hAnsi="Georgia"/>
          <w:sz w:val="18"/>
          <w:szCs w:val="18"/>
          <w:b w:val="1"/>
          <w:bCs w:val="1"/>
          <w:color w:val="auto"/>
        </w:rPr>
        <w:t>Number of shares as to which the person has:</w:t>
      </w:r>
    </w:p>
    <w:p>
      <w:pPr>
        <w:spacing w:after="0" w:line="133" w:lineRule="exact"/>
        <w:rPr>
          <w:rFonts w:ascii="Georgia" w:cs="Georgia" w:eastAsia="Georgia" w:hAnsi="Georgia"/>
          <w:sz w:val="18"/>
          <w:szCs w:val="18"/>
          <w:b w:val="1"/>
          <w:bCs w:val="1"/>
          <w:color w:val="auto"/>
        </w:rPr>
      </w:pPr>
    </w:p>
    <w:p>
      <w:pPr>
        <w:ind w:left="1700" w:hanging="231"/>
        <w:spacing w:after="0"/>
        <w:tabs>
          <w:tab w:leader="none" w:pos="1700" w:val="left"/>
        </w:tabs>
        <w:numPr>
          <w:ilvl w:val="1"/>
          <w:numId w:val="28"/>
        </w:numPr>
        <w:rPr>
          <w:rFonts w:ascii="Georgia" w:cs="Georgia" w:eastAsia="Georgia" w:hAnsi="Georgia"/>
          <w:sz w:val="18"/>
          <w:szCs w:val="18"/>
          <w:color w:val="auto"/>
        </w:rPr>
      </w:pPr>
      <w:r>
        <w:rPr>
          <w:rFonts w:ascii="Georgia" w:cs="Georgia" w:eastAsia="Georgia" w:hAnsi="Georgia"/>
          <w:sz w:val="18"/>
          <w:szCs w:val="18"/>
          <w:color w:val="auto"/>
        </w:rPr>
        <w:t>sole power to vote or to direct the vote:</w:t>
      </w:r>
    </w:p>
    <w:p>
      <w:pPr>
        <w:spacing w:after="0" w:line="268" w:lineRule="exact"/>
        <w:rPr>
          <w:rFonts w:ascii="Georgia" w:cs="Georgia" w:eastAsia="Georgia" w:hAnsi="Georgia"/>
          <w:sz w:val="18"/>
          <w:szCs w:val="18"/>
          <w:color w:val="auto"/>
        </w:rPr>
      </w:pPr>
    </w:p>
    <w:p>
      <w:pPr>
        <w:ind w:left="1760" w:hanging="291"/>
        <w:spacing w:after="0"/>
        <w:tabs>
          <w:tab w:leader="none" w:pos="1760" w:val="left"/>
        </w:tabs>
        <w:numPr>
          <w:ilvl w:val="1"/>
          <w:numId w:val="28"/>
        </w:numPr>
        <w:rPr>
          <w:rFonts w:ascii="Georgia" w:cs="Georgia" w:eastAsia="Georgia" w:hAnsi="Georgia"/>
          <w:sz w:val="18"/>
          <w:szCs w:val="18"/>
          <w:color w:val="auto"/>
        </w:rPr>
      </w:pPr>
      <w:r>
        <w:rPr>
          <w:rFonts w:ascii="Georgia" w:cs="Georgia" w:eastAsia="Georgia" w:hAnsi="Georgia"/>
          <w:sz w:val="18"/>
          <w:szCs w:val="18"/>
          <w:color w:val="auto"/>
        </w:rPr>
        <w:t>shared power to vote or to direct the vote:</w:t>
      </w:r>
    </w:p>
    <w:p>
      <w:pPr>
        <w:spacing w:after="0" w:line="133"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AQR Capital Management, LLC - 206,000</w:t>
      </w:r>
    </w:p>
    <w:p>
      <w:pPr>
        <w:ind w:left="1460"/>
        <w:spacing w:after="0" w:line="237" w:lineRule="auto"/>
        <w:rPr>
          <w:sz w:val="20"/>
          <w:szCs w:val="20"/>
          <w:color w:val="auto"/>
        </w:rPr>
      </w:pPr>
      <w:r>
        <w:rPr>
          <w:rFonts w:ascii="Georgia" w:cs="Georgia" w:eastAsia="Georgia" w:hAnsi="Georgia"/>
          <w:sz w:val="18"/>
          <w:szCs w:val="18"/>
          <w:color w:val="auto"/>
        </w:rPr>
        <w:t>AQR Capital Management Holdings, LLC - 206,000</w:t>
      </w:r>
    </w:p>
    <w:p>
      <w:pPr>
        <w:ind w:left="1460"/>
        <w:spacing w:after="0"/>
        <w:rPr>
          <w:sz w:val="20"/>
          <w:szCs w:val="20"/>
          <w:color w:val="auto"/>
        </w:rPr>
      </w:pPr>
      <w:r>
        <w:rPr>
          <w:rFonts w:ascii="Georgia" w:cs="Georgia" w:eastAsia="Georgia" w:hAnsi="Georgia"/>
          <w:sz w:val="18"/>
          <w:szCs w:val="18"/>
          <w:color w:val="auto"/>
        </w:rPr>
        <w:t>CNH Partners, LLC - 206,000</w:t>
      </w:r>
    </w:p>
    <w:p>
      <w:pPr>
        <w:spacing w:after="0" w:line="132" w:lineRule="exact"/>
        <w:rPr>
          <w:sz w:val="20"/>
          <w:szCs w:val="20"/>
          <w:color w:val="auto"/>
        </w:rPr>
      </w:pPr>
    </w:p>
    <w:p>
      <w:pPr>
        <w:ind w:left="1800" w:hanging="331"/>
        <w:spacing w:after="0"/>
        <w:tabs>
          <w:tab w:leader="none" w:pos="1800" w:val="left"/>
        </w:tabs>
        <w:numPr>
          <w:ilvl w:val="0"/>
          <w:numId w:val="29"/>
        </w:numPr>
        <w:rPr>
          <w:rFonts w:ascii="Georgia" w:cs="Georgia" w:eastAsia="Georgia" w:hAnsi="Georgia"/>
          <w:sz w:val="18"/>
          <w:szCs w:val="18"/>
          <w:color w:val="auto"/>
        </w:rPr>
      </w:pPr>
      <w:r>
        <w:rPr>
          <w:rFonts w:ascii="Georgia" w:cs="Georgia" w:eastAsia="Georgia" w:hAnsi="Georgia"/>
          <w:sz w:val="18"/>
          <w:szCs w:val="18"/>
          <w:color w:val="auto"/>
        </w:rPr>
        <w:t>sole power to dispose or direct the disposition of:</w:t>
      </w:r>
    </w:p>
    <w:p>
      <w:pPr>
        <w:spacing w:after="0" w:line="268" w:lineRule="exact"/>
        <w:rPr>
          <w:rFonts w:ascii="Georgia" w:cs="Georgia" w:eastAsia="Georgia" w:hAnsi="Georgia"/>
          <w:sz w:val="18"/>
          <w:szCs w:val="18"/>
          <w:color w:val="auto"/>
        </w:rPr>
      </w:pPr>
    </w:p>
    <w:p>
      <w:pPr>
        <w:ind w:left="1780" w:hanging="311"/>
        <w:spacing w:after="0"/>
        <w:tabs>
          <w:tab w:leader="none" w:pos="1780" w:val="left"/>
        </w:tabs>
        <w:numPr>
          <w:ilvl w:val="0"/>
          <w:numId w:val="29"/>
        </w:numPr>
        <w:rPr>
          <w:rFonts w:ascii="Georgia" w:cs="Georgia" w:eastAsia="Georgia" w:hAnsi="Georgia"/>
          <w:sz w:val="18"/>
          <w:szCs w:val="18"/>
          <w:color w:val="auto"/>
        </w:rPr>
      </w:pPr>
      <w:r>
        <w:rPr>
          <w:rFonts w:ascii="Georgia" w:cs="Georgia" w:eastAsia="Georgia" w:hAnsi="Georgia"/>
          <w:sz w:val="18"/>
          <w:szCs w:val="18"/>
          <w:color w:val="auto"/>
        </w:rPr>
        <w:t>shared power to dispose or to direct the disposition of:</w:t>
      </w:r>
    </w:p>
    <w:p>
      <w:pPr>
        <w:spacing w:after="0" w:line="133"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AQR Capital Management, LLC - 206,000</w:t>
      </w:r>
    </w:p>
    <w:p>
      <w:pPr>
        <w:ind w:left="1460"/>
        <w:spacing w:after="0" w:line="237" w:lineRule="auto"/>
        <w:rPr>
          <w:sz w:val="20"/>
          <w:szCs w:val="20"/>
          <w:color w:val="auto"/>
        </w:rPr>
      </w:pPr>
      <w:r>
        <w:rPr>
          <w:rFonts w:ascii="Georgia" w:cs="Georgia" w:eastAsia="Georgia" w:hAnsi="Georgia"/>
          <w:sz w:val="18"/>
          <w:szCs w:val="18"/>
          <w:color w:val="auto"/>
        </w:rPr>
        <w:t>AQR Capital Management Holdings, LLC - 206,000</w:t>
      </w:r>
    </w:p>
    <w:p>
      <w:pPr>
        <w:ind w:left="1460"/>
        <w:spacing w:after="0"/>
        <w:rPr>
          <w:sz w:val="20"/>
          <w:szCs w:val="20"/>
          <w:color w:val="auto"/>
        </w:rPr>
      </w:pPr>
      <w:r>
        <w:rPr>
          <w:rFonts w:ascii="Georgia" w:cs="Georgia" w:eastAsia="Georgia" w:hAnsi="Georgia"/>
          <w:sz w:val="18"/>
          <w:szCs w:val="18"/>
          <w:color w:val="auto"/>
        </w:rPr>
        <w:t>CNH Partners, LLC - 206,000</w:t>
      </w:r>
    </w:p>
    <w:p>
      <w:pPr>
        <w:spacing w:after="0" w:line="13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5.</w:t>
      </w:r>
      <w:r>
        <w:rPr>
          <w:sz w:val="20"/>
          <w:szCs w:val="20"/>
          <w:color w:val="auto"/>
        </w:rPr>
        <w:tab/>
      </w:r>
      <w:r>
        <w:rPr>
          <w:rFonts w:ascii="Georgia" w:cs="Georgia" w:eastAsia="Georgia" w:hAnsi="Georgia"/>
          <w:sz w:val="17"/>
          <w:szCs w:val="17"/>
          <w:b w:val="1"/>
          <w:bCs w:val="1"/>
          <w:color w:val="auto"/>
        </w:rPr>
        <w:t>OWNERSHIP OF FIVE PERCENT OR LESS OF A CLASS:</w:t>
      </w:r>
    </w:p>
    <w:p>
      <w:pPr>
        <w:spacing w:after="0" w:line="94" w:lineRule="exact"/>
        <w:rPr>
          <w:sz w:val="20"/>
          <w:szCs w:val="20"/>
          <w:color w:val="auto"/>
        </w:rPr>
      </w:pPr>
    </w:p>
    <w:p>
      <w:pPr>
        <w:ind w:left="1160" w:right="180"/>
        <w:spacing w:after="0" w:line="238" w:lineRule="auto"/>
        <w:rPr>
          <w:sz w:val="20"/>
          <w:szCs w:val="20"/>
          <w:color w:val="auto"/>
        </w:rPr>
      </w:pPr>
      <w:r>
        <w:rPr>
          <w:rFonts w:ascii="Georgia" w:cs="Georgia" w:eastAsia="Georgia" w:hAnsi="Georgia"/>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28"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6.</w:t>
      </w:r>
      <w:r>
        <w:rPr>
          <w:sz w:val="20"/>
          <w:szCs w:val="20"/>
          <w:color w:val="auto"/>
        </w:rPr>
        <w:tab/>
      </w:r>
      <w:r>
        <w:rPr>
          <w:rFonts w:ascii="Georgia" w:cs="Georgia" w:eastAsia="Georgia" w:hAnsi="Georgia"/>
          <w:sz w:val="17"/>
          <w:szCs w:val="17"/>
          <w:b w:val="1"/>
          <w:bCs w:val="1"/>
          <w:color w:val="auto"/>
        </w:rPr>
        <w:t>OWNERSHIP OF MORE THAN FIVE PERCENT ON BEHALF OF ANOTHER PERSON:</w:t>
      </w:r>
    </w:p>
    <w:p>
      <w:pPr>
        <w:spacing w:after="0" w:line="9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This Item [6] is not applicable.</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7.</w:t>
      </w:r>
      <w:r>
        <w:rPr>
          <w:sz w:val="20"/>
          <w:szCs w:val="20"/>
          <w:color w:val="auto"/>
        </w:rPr>
        <w:tab/>
      </w:r>
      <w:r>
        <w:rPr>
          <w:rFonts w:ascii="Georgia" w:cs="Georgia" w:eastAsia="Georgia" w:hAnsi="Georgia"/>
          <w:sz w:val="17"/>
          <w:szCs w:val="17"/>
          <w:b w:val="1"/>
          <w:bCs w:val="1"/>
          <w:color w:val="auto"/>
        </w:rPr>
        <w:t>IDENTIFICATION AND CLASSIFICATION OF THE SUBSIDIARY WHICH ACQUIRED THE</w:t>
      </w:r>
    </w:p>
    <w:p>
      <w:pPr>
        <w:ind w:left="1160"/>
        <w:spacing w:after="0" w:line="238" w:lineRule="auto"/>
        <w:rPr>
          <w:sz w:val="20"/>
          <w:szCs w:val="20"/>
          <w:color w:val="auto"/>
        </w:rPr>
      </w:pPr>
      <w:r>
        <w:rPr>
          <w:rFonts w:ascii="Georgia" w:cs="Georgia" w:eastAsia="Georgia" w:hAnsi="Georgia"/>
          <w:sz w:val="18"/>
          <w:szCs w:val="18"/>
          <w:b w:val="1"/>
          <w:bCs w:val="1"/>
          <w:color w:val="auto"/>
        </w:rPr>
        <w:t>SECURITY BEING REPORTED ON BY THE PARENT HOLDING COMPANY:</w:t>
      </w:r>
    </w:p>
    <w:p>
      <w:pPr>
        <w:spacing w:after="0" w:line="9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See Item 2(a) above.</w:t>
      </w:r>
    </w:p>
    <w:p>
      <w:pPr>
        <w:spacing w:after="0" w:line="228"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8.</w:t>
      </w:r>
      <w:r>
        <w:rPr>
          <w:sz w:val="20"/>
          <w:szCs w:val="20"/>
          <w:color w:val="auto"/>
        </w:rPr>
        <w:tab/>
      </w:r>
      <w:r>
        <w:rPr>
          <w:rFonts w:ascii="Georgia" w:cs="Georgia" w:eastAsia="Georgia" w:hAnsi="Georgia"/>
          <w:sz w:val="17"/>
          <w:szCs w:val="17"/>
          <w:b w:val="1"/>
          <w:bCs w:val="1"/>
          <w:color w:val="auto"/>
        </w:rPr>
        <w:t>IDENTIFICATION AND CLASSIFICATION OF MEMBERS OF THE GROUP:</w:t>
      </w:r>
    </w:p>
    <w:p>
      <w:pPr>
        <w:spacing w:after="0" w:line="9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This Item [8] is not applicable.</w:t>
      </w:r>
    </w:p>
    <w:p>
      <w:pPr>
        <w:spacing w:after="0" w:line="228" w:lineRule="exact"/>
        <w:rPr>
          <w:sz w:val="20"/>
          <w:szCs w:val="20"/>
          <w:color w:val="auto"/>
        </w:rPr>
      </w:pPr>
    </w:p>
    <w:p>
      <w:pPr>
        <w:jc w:val="center"/>
        <w:ind w:right="5580"/>
        <w:spacing w:after="0"/>
        <w:tabs>
          <w:tab w:leader="none" w:pos="400" w:val="left"/>
        </w:tabs>
        <w:rPr>
          <w:sz w:val="20"/>
          <w:szCs w:val="20"/>
          <w:color w:val="auto"/>
        </w:rPr>
      </w:pPr>
      <w:r>
        <w:rPr>
          <w:rFonts w:ascii="Georgia" w:cs="Georgia" w:eastAsia="Georgia" w:hAnsi="Georgia"/>
          <w:sz w:val="18"/>
          <w:szCs w:val="18"/>
          <w:b w:val="1"/>
          <w:bCs w:val="1"/>
          <w:color w:val="auto"/>
        </w:rPr>
        <w:t>ITEM 9.</w:t>
      </w:r>
      <w:r>
        <w:rPr>
          <w:sz w:val="20"/>
          <w:szCs w:val="20"/>
          <w:color w:val="auto"/>
        </w:rPr>
        <w:tab/>
      </w:r>
      <w:r>
        <w:rPr>
          <w:rFonts w:ascii="Georgia" w:cs="Georgia" w:eastAsia="Georgia" w:hAnsi="Georgia"/>
          <w:sz w:val="17"/>
          <w:szCs w:val="17"/>
          <w:b w:val="1"/>
          <w:bCs w:val="1"/>
          <w:color w:val="auto"/>
        </w:rPr>
        <w:t>NOTICE OF DISSOLUTION OF GROUP:</w:t>
      </w:r>
    </w:p>
    <w:p>
      <w:pPr>
        <w:spacing w:after="0" w:line="9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This Item [9] is not applicable.</w:t>
      </w:r>
    </w:p>
    <w:p>
      <w:pPr>
        <w:spacing w:after="0" w:line="228"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10.</w:t>
        <w:tab/>
        <w:t>CERTIFICATION:</w:t>
      </w:r>
    </w:p>
    <w:p>
      <w:pPr>
        <w:spacing w:after="0" w:line="94" w:lineRule="exact"/>
        <w:rPr>
          <w:sz w:val="20"/>
          <w:szCs w:val="20"/>
          <w:color w:val="auto"/>
        </w:rPr>
      </w:pPr>
    </w:p>
    <w:p>
      <w:pPr>
        <w:jc w:val="both"/>
        <w:ind w:left="1160"/>
        <w:spacing w:after="0" w:line="237" w:lineRule="auto"/>
        <w:rPr>
          <w:sz w:val="20"/>
          <w:szCs w:val="20"/>
          <w:color w:val="auto"/>
        </w:rPr>
      </w:pPr>
      <w:r>
        <w:rPr>
          <w:rFonts w:ascii="Georgia" w:cs="Georgia" w:eastAsia="Georgia" w:hAnsi="Georgia"/>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380"/>
          </w:cols>
          <w:pgMar w:left="320" w:top="135" w:right="1199" w:bottom="1440" w:gutter="0" w:footer="0" w:header="0"/>
        </w:sectPr>
      </w:pPr>
    </w:p>
    <w:bookmarkStart w:id="6" w:name="page7"/>
    <w:bookmarkEnd w:id="6"/>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55304A104</w:t>
      </w:r>
    </w:p>
    <w:p>
      <w:pPr>
        <w:spacing w:after="0" w:line="200" w:lineRule="exact"/>
        <w:rPr>
          <w:sz w:val="20"/>
          <w:szCs w:val="20"/>
          <w:color w:val="auto"/>
        </w:rPr>
      </w:pPr>
    </w:p>
    <w:p>
      <w:pPr>
        <w:spacing w:after="0" w:line="220" w:lineRule="exact"/>
        <w:rPr>
          <w:sz w:val="20"/>
          <w:szCs w:val="20"/>
          <w:color w:val="auto"/>
        </w:rPr>
      </w:pPr>
    </w:p>
    <w:p>
      <w:pPr>
        <w:jc w:val="center"/>
        <w:ind w:right="-440"/>
        <w:spacing w:after="0"/>
        <w:rPr>
          <w:sz w:val="20"/>
          <w:szCs w:val="20"/>
          <w:color w:val="auto"/>
        </w:rPr>
      </w:pPr>
      <w:r>
        <w:rPr>
          <w:rFonts w:ascii="Georgia" w:cs="Georgia" w:eastAsia="Georgia" w:hAnsi="Georgia"/>
          <w:sz w:val="22"/>
          <w:szCs w:val="22"/>
          <w:b w:val="1"/>
          <w:bCs w:val="1"/>
          <w:color w:val="auto"/>
        </w:rPr>
        <w:t>SIGNATURE</w:t>
      </w:r>
    </w:p>
    <w:p>
      <w:pPr>
        <w:spacing w:after="0" w:line="376" w:lineRule="exact"/>
        <w:rPr>
          <w:sz w:val="20"/>
          <w:szCs w:val="20"/>
          <w:color w:val="auto"/>
        </w:rPr>
      </w:pPr>
    </w:p>
    <w:p>
      <w:pPr>
        <w:ind w:left="460"/>
        <w:spacing w:after="0"/>
        <w:rPr>
          <w:sz w:val="20"/>
          <w:szCs w:val="20"/>
          <w:color w:val="auto"/>
        </w:rPr>
      </w:pPr>
      <w:r>
        <w:rPr>
          <w:rFonts w:ascii="Georgia" w:cs="Georgia" w:eastAsia="Georgia" w:hAnsi="Georgia"/>
          <w:sz w:val="14"/>
          <w:szCs w:val="14"/>
          <w:color w:val="auto"/>
        </w:rPr>
        <w:t>After reasonable inquiry and to the best of my knowledge and belief, I certify that the information set forth in this statement is true, complete and correct.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220" w:type="dxa"/>
            <w:vAlign w:val="bottom"/>
          </w:tcPr>
          <w:p>
            <w:pPr>
              <w:spacing w:after="0"/>
              <w:rPr>
                <w:sz w:val="20"/>
                <w:szCs w:val="20"/>
                <w:color w:val="auto"/>
              </w:rPr>
            </w:pPr>
            <w:r>
              <w:rPr>
                <w:rFonts w:ascii="Georgia" w:cs="Georgia" w:eastAsia="Georgia" w:hAnsi="Georgia"/>
                <w:sz w:val="16"/>
                <w:szCs w:val="16"/>
                <w:color w:val="auto"/>
              </w:rPr>
              <w:t>February 13 2018</w:t>
            </w:r>
          </w:p>
        </w:tc>
        <w:tc>
          <w:tcPr>
            <w:tcW w:w="6120" w:type="dxa"/>
            <w:vAlign w:val="bottom"/>
            <w:gridSpan w:val="2"/>
          </w:tcPr>
          <w:p>
            <w:pPr>
              <w:ind w:left="980"/>
              <w:spacing w:after="0"/>
              <w:rPr>
                <w:sz w:val="20"/>
                <w:szCs w:val="20"/>
                <w:color w:val="auto"/>
              </w:rPr>
            </w:pPr>
            <w:r>
              <w:rPr>
                <w:rFonts w:ascii="Georgia" w:cs="Georgia" w:eastAsia="Georgia" w:hAnsi="Georgia"/>
                <w:sz w:val="16"/>
                <w:szCs w:val="16"/>
                <w:color w:val="auto"/>
              </w:rPr>
              <w:t>AQR Capital Management, LLC</w:t>
            </w:r>
          </w:p>
        </w:tc>
      </w:tr>
      <w:tr>
        <w:trPr>
          <w:trHeight w:val="284"/>
        </w:trPr>
        <w:tc>
          <w:tcPr>
            <w:tcW w:w="2220" w:type="dxa"/>
            <w:vAlign w:val="bottom"/>
          </w:tcPr>
          <w:p>
            <w:pPr>
              <w:spacing w:after="0"/>
              <w:rPr>
                <w:sz w:val="24"/>
                <w:szCs w:val="24"/>
                <w:color w:val="auto"/>
              </w:rPr>
            </w:pPr>
          </w:p>
        </w:tc>
        <w:tc>
          <w:tcPr>
            <w:tcW w:w="1640" w:type="dxa"/>
            <w:vAlign w:val="bottom"/>
          </w:tcPr>
          <w:p>
            <w:pPr>
              <w:ind w:left="980"/>
              <w:spacing w:after="0"/>
              <w:rPr>
                <w:sz w:val="20"/>
                <w:szCs w:val="20"/>
                <w:color w:val="auto"/>
              </w:rPr>
            </w:pPr>
            <w:r>
              <w:rPr>
                <w:rFonts w:ascii="Georgia" w:cs="Georgia" w:eastAsia="Georgia" w:hAnsi="Georgia"/>
                <w:sz w:val="16"/>
                <w:szCs w:val="16"/>
                <w:color w:val="auto"/>
              </w:rPr>
              <w:t>By:</w:t>
            </w:r>
          </w:p>
        </w:tc>
        <w:tc>
          <w:tcPr>
            <w:tcW w:w="4480" w:type="dxa"/>
            <w:vAlign w:val="bottom"/>
            <w:tcBorders>
              <w:bottom w:val="single" w:sz="8" w:color="auto"/>
            </w:tcBorders>
          </w:tcPr>
          <w:p>
            <w:pPr>
              <w:spacing w:after="0"/>
              <w:rPr>
                <w:sz w:val="20"/>
                <w:szCs w:val="20"/>
                <w:color w:val="auto"/>
              </w:rPr>
            </w:pPr>
            <w:r>
              <w:rPr>
                <w:rFonts w:ascii="Georgia" w:cs="Georgia" w:eastAsia="Georgia" w:hAnsi="Georgia"/>
                <w:sz w:val="16"/>
                <w:szCs w:val="16"/>
                <w:color w:val="auto"/>
              </w:rPr>
              <w:t>/s/ Henry Parkin</w:t>
            </w:r>
          </w:p>
        </w:tc>
      </w:tr>
      <w:tr>
        <w:trPr>
          <w:trHeight w:val="264"/>
        </w:trPr>
        <w:tc>
          <w:tcPr>
            <w:tcW w:w="2220" w:type="dxa"/>
            <w:vAlign w:val="bottom"/>
          </w:tcPr>
          <w:p>
            <w:pPr>
              <w:spacing w:after="0"/>
              <w:rPr>
                <w:sz w:val="22"/>
                <w:szCs w:val="22"/>
                <w:color w:val="auto"/>
              </w:rPr>
            </w:pPr>
          </w:p>
        </w:tc>
        <w:tc>
          <w:tcPr>
            <w:tcW w:w="1640" w:type="dxa"/>
            <w:vAlign w:val="bottom"/>
          </w:tcPr>
          <w:p>
            <w:pPr>
              <w:ind w:left="980"/>
              <w:spacing w:after="0"/>
              <w:rPr>
                <w:sz w:val="20"/>
                <w:szCs w:val="20"/>
                <w:color w:val="auto"/>
              </w:rPr>
            </w:pPr>
            <w:r>
              <w:rPr>
                <w:rFonts w:ascii="Georgia" w:cs="Georgia" w:eastAsia="Georgia" w:hAnsi="Georgia"/>
                <w:sz w:val="16"/>
                <w:szCs w:val="16"/>
                <w:color w:val="auto"/>
              </w:rPr>
              <w:t>Name:</w:t>
            </w:r>
          </w:p>
        </w:tc>
        <w:tc>
          <w:tcPr>
            <w:tcW w:w="4480" w:type="dxa"/>
            <w:vAlign w:val="bottom"/>
          </w:tcPr>
          <w:p>
            <w:pPr>
              <w:spacing w:after="0"/>
              <w:rPr>
                <w:sz w:val="20"/>
                <w:szCs w:val="20"/>
                <w:color w:val="auto"/>
              </w:rPr>
            </w:pPr>
            <w:r>
              <w:rPr>
                <w:rFonts w:ascii="Georgia" w:cs="Georgia" w:eastAsia="Georgia" w:hAnsi="Georgia"/>
                <w:sz w:val="16"/>
                <w:szCs w:val="16"/>
                <w:color w:val="auto"/>
              </w:rPr>
              <w:t>Henry Parkin</w:t>
            </w:r>
          </w:p>
        </w:tc>
      </w:tr>
      <w:tr>
        <w:trPr>
          <w:trHeight w:val="270"/>
        </w:trPr>
        <w:tc>
          <w:tcPr>
            <w:tcW w:w="2220" w:type="dxa"/>
            <w:vAlign w:val="bottom"/>
          </w:tcPr>
          <w:p>
            <w:pPr>
              <w:spacing w:after="0"/>
              <w:rPr>
                <w:sz w:val="23"/>
                <w:szCs w:val="23"/>
                <w:color w:val="auto"/>
              </w:rPr>
            </w:pPr>
          </w:p>
        </w:tc>
        <w:tc>
          <w:tcPr>
            <w:tcW w:w="1640" w:type="dxa"/>
            <w:vAlign w:val="bottom"/>
          </w:tcPr>
          <w:p>
            <w:pPr>
              <w:ind w:left="980"/>
              <w:spacing w:after="0"/>
              <w:rPr>
                <w:sz w:val="20"/>
                <w:szCs w:val="20"/>
                <w:color w:val="auto"/>
              </w:rPr>
            </w:pPr>
            <w:r>
              <w:rPr>
                <w:rFonts w:ascii="Georgia" w:cs="Georgia" w:eastAsia="Georgia" w:hAnsi="Georgia"/>
                <w:sz w:val="16"/>
                <w:szCs w:val="16"/>
                <w:color w:val="auto"/>
              </w:rPr>
              <w:t>Title:</w:t>
            </w:r>
          </w:p>
        </w:tc>
        <w:tc>
          <w:tcPr>
            <w:tcW w:w="4480" w:type="dxa"/>
            <w:vAlign w:val="bottom"/>
          </w:tcPr>
          <w:p>
            <w:pPr>
              <w:spacing w:after="0"/>
              <w:rPr>
                <w:sz w:val="20"/>
                <w:szCs w:val="20"/>
                <w:color w:val="auto"/>
              </w:rPr>
            </w:pPr>
            <w:r>
              <w:rPr>
                <w:rFonts w:ascii="Georgia" w:cs="Georgia" w:eastAsia="Georgia" w:hAnsi="Georgia"/>
                <w:sz w:val="16"/>
                <w:szCs w:val="16"/>
                <w:color w:val="auto"/>
              </w:rPr>
              <w:t>Authorized Signatory</w:t>
            </w:r>
          </w:p>
        </w:tc>
      </w:tr>
      <w:tr>
        <w:trPr>
          <w:trHeight w:val="459"/>
        </w:trPr>
        <w:tc>
          <w:tcPr>
            <w:tcW w:w="2220" w:type="dxa"/>
            <w:vAlign w:val="bottom"/>
          </w:tcPr>
          <w:p>
            <w:pPr>
              <w:spacing w:after="0"/>
              <w:rPr>
                <w:sz w:val="20"/>
                <w:szCs w:val="20"/>
                <w:color w:val="auto"/>
              </w:rPr>
            </w:pPr>
            <w:r>
              <w:rPr>
                <w:rFonts w:ascii="Georgia" w:cs="Georgia" w:eastAsia="Georgia" w:hAnsi="Georgia"/>
                <w:sz w:val="16"/>
                <w:szCs w:val="16"/>
                <w:color w:val="auto"/>
              </w:rPr>
              <w:t>February 13 2018</w:t>
            </w:r>
          </w:p>
        </w:tc>
        <w:tc>
          <w:tcPr>
            <w:tcW w:w="6120" w:type="dxa"/>
            <w:vAlign w:val="bottom"/>
            <w:gridSpan w:val="2"/>
          </w:tcPr>
          <w:p>
            <w:pPr>
              <w:ind w:left="980"/>
              <w:spacing w:after="0"/>
              <w:rPr>
                <w:sz w:val="20"/>
                <w:szCs w:val="20"/>
                <w:color w:val="auto"/>
              </w:rPr>
            </w:pPr>
            <w:r>
              <w:rPr>
                <w:rFonts w:ascii="Georgia" w:cs="Georgia" w:eastAsia="Georgia" w:hAnsi="Georgia"/>
                <w:sz w:val="16"/>
                <w:szCs w:val="16"/>
                <w:color w:val="auto"/>
              </w:rPr>
              <w:t>AQR Capital Management Holdings, LLC</w:t>
            </w:r>
          </w:p>
        </w:tc>
      </w:tr>
      <w:tr>
        <w:trPr>
          <w:trHeight w:val="284"/>
        </w:trPr>
        <w:tc>
          <w:tcPr>
            <w:tcW w:w="2220" w:type="dxa"/>
            <w:vAlign w:val="bottom"/>
          </w:tcPr>
          <w:p>
            <w:pPr>
              <w:spacing w:after="0"/>
              <w:rPr>
                <w:sz w:val="24"/>
                <w:szCs w:val="24"/>
                <w:color w:val="auto"/>
              </w:rPr>
            </w:pPr>
          </w:p>
        </w:tc>
        <w:tc>
          <w:tcPr>
            <w:tcW w:w="1640" w:type="dxa"/>
            <w:vAlign w:val="bottom"/>
          </w:tcPr>
          <w:p>
            <w:pPr>
              <w:ind w:left="980"/>
              <w:spacing w:after="0"/>
              <w:rPr>
                <w:sz w:val="20"/>
                <w:szCs w:val="20"/>
                <w:color w:val="auto"/>
              </w:rPr>
            </w:pPr>
            <w:r>
              <w:rPr>
                <w:rFonts w:ascii="Georgia" w:cs="Georgia" w:eastAsia="Georgia" w:hAnsi="Georgia"/>
                <w:sz w:val="16"/>
                <w:szCs w:val="16"/>
                <w:color w:val="auto"/>
              </w:rPr>
              <w:t>By:</w:t>
            </w:r>
          </w:p>
        </w:tc>
        <w:tc>
          <w:tcPr>
            <w:tcW w:w="4480" w:type="dxa"/>
            <w:vAlign w:val="bottom"/>
            <w:tcBorders>
              <w:bottom w:val="single" w:sz="8" w:color="auto"/>
            </w:tcBorders>
          </w:tcPr>
          <w:p>
            <w:pPr>
              <w:spacing w:after="0"/>
              <w:rPr>
                <w:sz w:val="20"/>
                <w:szCs w:val="20"/>
                <w:color w:val="auto"/>
              </w:rPr>
            </w:pPr>
            <w:r>
              <w:rPr>
                <w:rFonts w:ascii="Georgia" w:cs="Georgia" w:eastAsia="Georgia" w:hAnsi="Georgia"/>
                <w:sz w:val="16"/>
                <w:szCs w:val="16"/>
                <w:color w:val="auto"/>
              </w:rPr>
              <w:t>/s/ Henry Parkin</w:t>
            </w:r>
          </w:p>
        </w:tc>
      </w:tr>
      <w:tr>
        <w:trPr>
          <w:trHeight w:val="264"/>
        </w:trPr>
        <w:tc>
          <w:tcPr>
            <w:tcW w:w="2220" w:type="dxa"/>
            <w:vAlign w:val="bottom"/>
          </w:tcPr>
          <w:p>
            <w:pPr>
              <w:spacing w:after="0"/>
              <w:rPr>
                <w:sz w:val="22"/>
                <w:szCs w:val="22"/>
                <w:color w:val="auto"/>
              </w:rPr>
            </w:pPr>
          </w:p>
        </w:tc>
        <w:tc>
          <w:tcPr>
            <w:tcW w:w="1640" w:type="dxa"/>
            <w:vAlign w:val="bottom"/>
          </w:tcPr>
          <w:p>
            <w:pPr>
              <w:ind w:left="980"/>
              <w:spacing w:after="0"/>
              <w:rPr>
                <w:sz w:val="20"/>
                <w:szCs w:val="20"/>
                <w:color w:val="auto"/>
              </w:rPr>
            </w:pPr>
            <w:r>
              <w:rPr>
                <w:rFonts w:ascii="Georgia" w:cs="Georgia" w:eastAsia="Georgia" w:hAnsi="Georgia"/>
                <w:sz w:val="16"/>
                <w:szCs w:val="16"/>
                <w:color w:val="auto"/>
              </w:rPr>
              <w:t>Name:</w:t>
            </w:r>
          </w:p>
        </w:tc>
        <w:tc>
          <w:tcPr>
            <w:tcW w:w="4480" w:type="dxa"/>
            <w:vAlign w:val="bottom"/>
          </w:tcPr>
          <w:p>
            <w:pPr>
              <w:spacing w:after="0"/>
              <w:rPr>
                <w:sz w:val="20"/>
                <w:szCs w:val="20"/>
                <w:color w:val="auto"/>
              </w:rPr>
            </w:pPr>
            <w:r>
              <w:rPr>
                <w:rFonts w:ascii="Georgia" w:cs="Georgia" w:eastAsia="Georgia" w:hAnsi="Georgia"/>
                <w:sz w:val="16"/>
                <w:szCs w:val="16"/>
                <w:color w:val="auto"/>
              </w:rPr>
              <w:t>Henry Parkin</w:t>
            </w:r>
          </w:p>
        </w:tc>
      </w:tr>
      <w:tr>
        <w:trPr>
          <w:trHeight w:val="270"/>
        </w:trPr>
        <w:tc>
          <w:tcPr>
            <w:tcW w:w="2220" w:type="dxa"/>
            <w:vAlign w:val="bottom"/>
          </w:tcPr>
          <w:p>
            <w:pPr>
              <w:spacing w:after="0"/>
              <w:rPr>
                <w:sz w:val="23"/>
                <w:szCs w:val="23"/>
                <w:color w:val="auto"/>
              </w:rPr>
            </w:pPr>
          </w:p>
        </w:tc>
        <w:tc>
          <w:tcPr>
            <w:tcW w:w="1640" w:type="dxa"/>
            <w:vAlign w:val="bottom"/>
          </w:tcPr>
          <w:p>
            <w:pPr>
              <w:ind w:left="980"/>
              <w:spacing w:after="0"/>
              <w:rPr>
                <w:sz w:val="20"/>
                <w:szCs w:val="20"/>
                <w:color w:val="auto"/>
              </w:rPr>
            </w:pPr>
            <w:r>
              <w:rPr>
                <w:rFonts w:ascii="Georgia" w:cs="Georgia" w:eastAsia="Georgia" w:hAnsi="Georgia"/>
                <w:sz w:val="16"/>
                <w:szCs w:val="16"/>
                <w:color w:val="auto"/>
              </w:rPr>
              <w:t>Title:</w:t>
            </w:r>
          </w:p>
        </w:tc>
        <w:tc>
          <w:tcPr>
            <w:tcW w:w="4480" w:type="dxa"/>
            <w:vAlign w:val="bottom"/>
          </w:tcPr>
          <w:p>
            <w:pPr>
              <w:spacing w:after="0"/>
              <w:rPr>
                <w:sz w:val="20"/>
                <w:szCs w:val="20"/>
                <w:color w:val="auto"/>
              </w:rPr>
            </w:pPr>
            <w:r>
              <w:rPr>
                <w:rFonts w:ascii="Georgia" w:cs="Georgia" w:eastAsia="Georgia" w:hAnsi="Georgia"/>
                <w:sz w:val="16"/>
                <w:szCs w:val="16"/>
                <w:color w:val="auto"/>
              </w:rPr>
              <w:t>Authorized Signatory</w:t>
            </w:r>
          </w:p>
        </w:tc>
      </w:tr>
      <w:tr>
        <w:trPr>
          <w:trHeight w:val="446"/>
        </w:trPr>
        <w:tc>
          <w:tcPr>
            <w:tcW w:w="2220" w:type="dxa"/>
            <w:vAlign w:val="bottom"/>
          </w:tcPr>
          <w:p>
            <w:pPr>
              <w:spacing w:after="0"/>
              <w:rPr>
                <w:sz w:val="20"/>
                <w:szCs w:val="20"/>
                <w:color w:val="auto"/>
              </w:rPr>
            </w:pPr>
            <w:r>
              <w:rPr>
                <w:rFonts w:ascii="Georgia" w:cs="Georgia" w:eastAsia="Georgia" w:hAnsi="Georgia"/>
                <w:sz w:val="16"/>
                <w:szCs w:val="16"/>
                <w:color w:val="auto"/>
              </w:rPr>
              <w:t>February 13 2018</w:t>
            </w:r>
          </w:p>
        </w:tc>
        <w:tc>
          <w:tcPr>
            <w:tcW w:w="6120" w:type="dxa"/>
            <w:vAlign w:val="bottom"/>
            <w:gridSpan w:val="2"/>
          </w:tcPr>
          <w:p>
            <w:pPr>
              <w:ind w:left="980"/>
              <w:spacing w:after="0"/>
              <w:rPr>
                <w:sz w:val="20"/>
                <w:szCs w:val="20"/>
                <w:color w:val="auto"/>
              </w:rPr>
            </w:pPr>
            <w:r>
              <w:rPr>
                <w:rFonts w:ascii="Georgia" w:cs="Georgia" w:eastAsia="Georgia" w:hAnsi="Georgia"/>
                <w:sz w:val="16"/>
                <w:szCs w:val="16"/>
                <w:color w:val="auto"/>
              </w:rPr>
              <w:t>CNH Partners, LLC</w:t>
            </w:r>
          </w:p>
        </w:tc>
      </w:tr>
      <w:tr>
        <w:trPr>
          <w:trHeight w:val="284"/>
        </w:trPr>
        <w:tc>
          <w:tcPr>
            <w:tcW w:w="2220" w:type="dxa"/>
            <w:vAlign w:val="bottom"/>
          </w:tcPr>
          <w:p>
            <w:pPr>
              <w:spacing w:after="0"/>
              <w:rPr>
                <w:sz w:val="24"/>
                <w:szCs w:val="24"/>
                <w:color w:val="auto"/>
              </w:rPr>
            </w:pPr>
          </w:p>
        </w:tc>
        <w:tc>
          <w:tcPr>
            <w:tcW w:w="1640" w:type="dxa"/>
            <w:vAlign w:val="bottom"/>
          </w:tcPr>
          <w:p>
            <w:pPr>
              <w:ind w:left="980"/>
              <w:spacing w:after="0"/>
              <w:rPr>
                <w:sz w:val="20"/>
                <w:szCs w:val="20"/>
                <w:color w:val="auto"/>
              </w:rPr>
            </w:pPr>
            <w:r>
              <w:rPr>
                <w:rFonts w:ascii="Georgia" w:cs="Georgia" w:eastAsia="Georgia" w:hAnsi="Georgia"/>
                <w:sz w:val="16"/>
                <w:szCs w:val="16"/>
                <w:color w:val="auto"/>
              </w:rPr>
              <w:t>By:</w:t>
            </w:r>
          </w:p>
        </w:tc>
        <w:tc>
          <w:tcPr>
            <w:tcW w:w="4480" w:type="dxa"/>
            <w:vAlign w:val="bottom"/>
            <w:tcBorders>
              <w:bottom w:val="single" w:sz="8" w:color="auto"/>
            </w:tcBorders>
          </w:tcPr>
          <w:p>
            <w:pPr>
              <w:spacing w:after="0"/>
              <w:rPr>
                <w:sz w:val="20"/>
                <w:szCs w:val="20"/>
                <w:color w:val="auto"/>
              </w:rPr>
            </w:pPr>
            <w:r>
              <w:rPr>
                <w:rFonts w:ascii="Georgia" w:cs="Georgia" w:eastAsia="Georgia" w:hAnsi="Georgia"/>
                <w:sz w:val="16"/>
                <w:szCs w:val="16"/>
                <w:color w:val="auto"/>
              </w:rPr>
              <w:t>/s/ Henry Parkin</w:t>
            </w:r>
          </w:p>
        </w:tc>
      </w:tr>
      <w:tr>
        <w:trPr>
          <w:trHeight w:val="264"/>
        </w:trPr>
        <w:tc>
          <w:tcPr>
            <w:tcW w:w="2220" w:type="dxa"/>
            <w:vAlign w:val="bottom"/>
          </w:tcPr>
          <w:p>
            <w:pPr>
              <w:spacing w:after="0"/>
              <w:rPr>
                <w:sz w:val="22"/>
                <w:szCs w:val="22"/>
                <w:color w:val="auto"/>
              </w:rPr>
            </w:pPr>
          </w:p>
        </w:tc>
        <w:tc>
          <w:tcPr>
            <w:tcW w:w="1640" w:type="dxa"/>
            <w:vAlign w:val="bottom"/>
          </w:tcPr>
          <w:p>
            <w:pPr>
              <w:ind w:left="980"/>
              <w:spacing w:after="0"/>
              <w:rPr>
                <w:sz w:val="20"/>
                <w:szCs w:val="20"/>
                <w:color w:val="auto"/>
              </w:rPr>
            </w:pPr>
            <w:r>
              <w:rPr>
                <w:rFonts w:ascii="Georgia" w:cs="Georgia" w:eastAsia="Georgia" w:hAnsi="Georgia"/>
                <w:sz w:val="16"/>
                <w:szCs w:val="16"/>
                <w:color w:val="auto"/>
              </w:rPr>
              <w:t>Name:</w:t>
            </w:r>
          </w:p>
        </w:tc>
        <w:tc>
          <w:tcPr>
            <w:tcW w:w="4480" w:type="dxa"/>
            <w:vAlign w:val="bottom"/>
          </w:tcPr>
          <w:p>
            <w:pPr>
              <w:spacing w:after="0"/>
              <w:rPr>
                <w:sz w:val="20"/>
                <w:szCs w:val="20"/>
                <w:color w:val="auto"/>
              </w:rPr>
            </w:pPr>
            <w:r>
              <w:rPr>
                <w:rFonts w:ascii="Georgia" w:cs="Georgia" w:eastAsia="Georgia" w:hAnsi="Georgia"/>
                <w:sz w:val="16"/>
                <w:szCs w:val="16"/>
                <w:color w:val="auto"/>
              </w:rPr>
              <w:t>Henry Parkin</w:t>
            </w:r>
          </w:p>
        </w:tc>
      </w:tr>
      <w:tr>
        <w:trPr>
          <w:trHeight w:val="270"/>
        </w:trPr>
        <w:tc>
          <w:tcPr>
            <w:tcW w:w="2220" w:type="dxa"/>
            <w:vAlign w:val="bottom"/>
          </w:tcPr>
          <w:p>
            <w:pPr>
              <w:spacing w:after="0"/>
              <w:rPr>
                <w:sz w:val="23"/>
                <w:szCs w:val="23"/>
                <w:color w:val="auto"/>
              </w:rPr>
            </w:pPr>
          </w:p>
        </w:tc>
        <w:tc>
          <w:tcPr>
            <w:tcW w:w="1640" w:type="dxa"/>
            <w:vAlign w:val="bottom"/>
          </w:tcPr>
          <w:p>
            <w:pPr>
              <w:ind w:left="980"/>
              <w:spacing w:after="0"/>
              <w:rPr>
                <w:sz w:val="20"/>
                <w:szCs w:val="20"/>
                <w:color w:val="auto"/>
              </w:rPr>
            </w:pPr>
            <w:r>
              <w:rPr>
                <w:rFonts w:ascii="Georgia" w:cs="Georgia" w:eastAsia="Georgia" w:hAnsi="Georgia"/>
                <w:sz w:val="16"/>
                <w:szCs w:val="16"/>
                <w:color w:val="auto"/>
              </w:rPr>
              <w:t>Title:</w:t>
            </w:r>
          </w:p>
        </w:tc>
        <w:tc>
          <w:tcPr>
            <w:tcW w:w="4480" w:type="dxa"/>
            <w:vAlign w:val="bottom"/>
          </w:tcPr>
          <w:p>
            <w:pPr>
              <w:spacing w:after="0"/>
              <w:rPr>
                <w:sz w:val="20"/>
                <w:szCs w:val="20"/>
                <w:color w:val="auto"/>
              </w:rPr>
            </w:pPr>
            <w:r>
              <w:rPr>
                <w:rFonts w:ascii="Georgia" w:cs="Georgia" w:eastAsia="Georgia" w:hAnsi="Georgia"/>
                <w:sz w:val="16"/>
                <w:szCs w:val="16"/>
                <w:color w:val="auto"/>
              </w:rPr>
              <w:t>Authorized Signatory</w:t>
            </w:r>
          </w:p>
        </w:tc>
      </w:tr>
    </w:tbl>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Georgia" w:cs="Georgia" w:eastAsia="Georgia" w:hAnsi="Georgia"/>
          <w:sz w:val="16"/>
          <w:szCs w:val="16"/>
          <w:color w:val="auto"/>
        </w:rPr>
        <w:t>Attention — Intentional misstatements or omissions of fact constitute Federal criminal violations (See 18 U.S.C. 1001).</w:t>
      </w:r>
    </w:p>
    <w:p>
      <w:pPr>
        <w:sectPr>
          <w:pgSz w:w="11900" w:h="16838" w:orient="portrait"/>
          <w:cols w:equalWidth="0" w:num="1">
            <w:col w:w="10219"/>
          </w:cols>
          <w:pgMar w:left="240" w:top="959" w:right="1440" w:bottom="1440" w:gutter="0" w:footer="0" w:header="0"/>
        </w:sectPr>
      </w:pPr>
    </w:p>
    <w:bookmarkStart w:id="7" w:name="page8"/>
    <w:bookmarkEnd w:id="7"/>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55304A104</w:t>
      </w:r>
    </w:p>
    <w:p>
      <w:pPr>
        <w:spacing w:after="0" w:line="297"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AQR Capital Management Holdings, LLC, AQR Capital Management, LLC, and CNH Partners, LLC hereby agree that this Schedule 13G is filed on behalf of each of the parties. AQR Capital Management, LLC is a wholly owned subsidiary of AQR Capital Management Holdings, LLC. CNH Partners, LLC is deemed to be controlled by AQR Capital Management, LLC.</w:t>
      </w:r>
    </w:p>
    <w:sectPr>
      <w:pgSz w:w="11900" w:h="16838" w:orient="portrait"/>
      <w:cols w:equalWidth="0" w:num="1">
        <w:col w:w="10600"/>
      </w:cols>
      <w:pgMar w:left="240" w:top="959"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lvl w:ilvl="1">
      <w:lvlJc w:val="left"/>
      <w:lvlText w:val="[%2]"/>
      <w:numFmt w:val="upperLetter"/>
      <w:start w:val="24"/>
    </w:lvl>
  </w:abstractNum>
  <w:abstractNum w:abstractNumId="1">
    <w:nsid w:val="41A7C4C9"/>
    <w:multiLevelType w:val="hybridMultilevel"/>
    <w:lvl w:ilvl="0">
      <w:lvlJc w:val="left"/>
      <w:lvlText w:val="1"/>
      <w:numFmt w:val="bullet"/>
      <w:start w:val="1"/>
    </w:lvl>
  </w:abstractNum>
  <w:abstractNum w:abstractNumId="2">
    <w:nsid w:val="6B68079A"/>
    <w:multiLevelType w:val="hybridMultilevel"/>
    <w:lvl w:ilvl="0">
      <w:lvlJc w:val="left"/>
      <w:lvlText w:val="2"/>
      <w:numFmt w:val="bullet"/>
      <w:start w:val="1"/>
    </w:lvl>
    <w:lvl w:ilvl="1">
      <w:lvlJc w:val="left"/>
      <w:lvlText w:val="(%2)"/>
      <w:numFmt w:val="lowerLetter"/>
      <w:start w:val="1"/>
    </w:lvl>
  </w:abstractNum>
  <w:abstractNum w:abstractNumId="3">
    <w:nsid w:val="4E6AFB66"/>
    <w:multiLevelType w:val="hybridMultilevel"/>
    <w:lvl w:ilvl="0">
      <w:lvlJc w:val="left"/>
      <w:lvlText w:val="3"/>
      <w:numFmt w:val="bullet"/>
      <w:start w:val="1"/>
    </w:lvl>
  </w:abstractNum>
  <w:abstractNum w:abstractNumId="4">
    <w:nsid w:val="25E45D32"/>
    <w:multiLevelType w:val="hybridMultilevel"/>
    <w:lvl w:ilvl="0">
      <w:lvlJc w:val="left"/>
      <w:lvlText w:val="4"/>
      <w:numFmt w:val="bullet"/>
      <w:start w:val="1"/>
    </w:lvl>
  </w:abstractNum>
  <w:abstractNum w:abstractNumId="5">
    <w:nsid w:val="519B500D"/>
    <w:multiLevelType w:val="hybridMultilevel"/>
    <w:lvl w:ilvl="0">
      <w:lvlJc w:val="left"/>
      <w:lvlText w:val="9"/>
      <w:numFmt w:val="bullet"/>
      <w:start w:val="1"/>
    </w:lvl>
  </w:abstractNum>
  <w:abstractNum w:abstractNumId="6">
    <w:nsid w:val="431BD7B7"/>
    <w:multiLevelType w:val="hybridMultilevel"/>
    <w:lvl w:ilvl="0">
      <w:lvlJc w:val="left"/>
      <w:lvlText w:val="%1"/>
      <w:numFmt w:val="decimal"/>
      <w:start w:val="10"/>
    </w:lvl>
  </w:abstractNum>
  <w:abstractNum w:abstractNumId="7">
    <w:nsid w:val="3F2DBA31"/>
    <w:multiLevelType w:val="hybridMultilevel"/>
    <w:lvl w:ilvl="0">
      <w:lvlJc w:val="left"/>
      <w:lvlText w:val="%1"/>
      <w:numFmt w:val="decimal"/>
      <w:start w:val="11"/>
    </w:lvl>
  </w:abstractNum>
  <w:abstractNum w:abstractNumId="8">
    <w:nsid w:val="7C83E458"/>
    <w:multiLevelType w:val="hybridMultilevel"/>
    <w:lvl w:ilvl="0">
      <w:lvlJc w:val="left"/>
      <w:lvlText w:val="%1"/>
      <w:numFmt w:val="decimal"/>
      <w:start w:val="12"/>
    </w:lvl>
  </w:abstractNum>
  <w:abstractNum w:abstractNumId="9">
    <w:nsid w:val="257130A3"/>
    <w:multiLevelType w:val="hybridMultilevel"/>
    <w:lvl w:ilvl="0">
      <w:lvlJc w:val="left"/>
      <w:lvlText w:val="1"/>
      <w:numFmt w:val="bullet"/>
      <w:start w:val="1"/>
    </w:lvl>
  </w:abstractNum>
  <w:abstractNum w:abstractNumId="10">
    <w:nsid w:val="62BBD95A"/>
    <w:multiLevelType w:val="hybridMultilevel"/>
    <w:lvl w:ilvl="0">
      <w:lvlJc w:val="left"/>
      <w:lvlText w:val="2"/>
      <w:numFmt w:val="bullet"/>
      <w:start w:val="1"/>
    </w:lvl>
    <w:lvl w:ilvl="1">
      <w:lvlJc w:val="left"/>
      <w:lvlText w:val="(%2)"/>
      <w:numFmt w:val="lowerLetter"/>
      <w:start w:val="1"/>
    </w:lvl>
  </w:abstractNum>
  <w:abstractNum w:abstractNumId="11">
    <w:nsid w:val="436C6125"/>
    <w:multiLevelType w:val="hybridMultilevel"/>
    <w:lvl w:ilvl="0">
      <w:lvlJc w:val="left"/>
      <w:lvlText w:val="3"/>
      <w:numFmt w:val="bullet"/>
      <w:start w:val="1"/>
    </w:lvl>
  </w:abstractNum>
  <w:abstractNum w:abstractNumId="12">
    <w:nsid w:val="628C895D"/>
    <w:multiLevelType w:val="hybridMultilevel"/>
    <w:lvl w:ilvl="0">
      <w:lvlJc w:val="left"/>
      <w:lvlText w:val="4"/>
      <w:numFmt w:val="bullet"/>
      <w:start w:val="1"/>
    </w:lvl>
  </w:abstractNum>
  <w:abstractNum w:abstractNumId="13">
    <w:nsid w:val="333AB105"/>
    <w:multiLevelType w:val="hybridMultilevel"/>
    <w:lvl w:ilvl="0">
      <w:lvlJc w:val="left"/>
      <w:lvlText w:val="9"/>
      <w:numFmt w:val="bullet"/>
      <w:start w:val="1"/>
    </w:lvl>
  </w:abstractNum>
  <w:abstractNum w:abstractNumId="14">
    <w:nsid w:val="721DA317"/>
    <w:multiLevelType w:val="hybridMultilevel"/>
    <w:lvl w:ilvl="0">
      <w:lvlJc w:val="left"/>
      <w:lvlText w:val="%1"/>
      <w:numFmt w:val="decimal"/>
      <w:start w:val="10"/>
    </w:lvl>
  </w:abstractNum>
  <w:abstractNum w:abstractNumId="15">
    <w:nsid w:val="2443A858"/>
    <w:multiLevelType w:val="hybridMultilevel"/>
    <w:lvl w:ilvl="0">
      <w:lvlJc w:val="left"/>
      <w:lvlText w:val="%1"/>
      <w:numFmt w:val="decimal"/>
      <w:start w:val="11"/>
    </w:lvl>
  </w:abstractNum>
  <w:abstractNum w:abstractNumId="16">
    <w:nsid w:val="2D1D5AE9"/>
    <w:multiLevelType w:val="hybridMultilevel"/>
    <w:lvl w:ilvl="0">
      <w:lvlJc w:val="left"/>
      <w:lvlText w:val="%1"/>
      <w:numFmt w:val="decimal"/>
      <w:start w:val="12"/>
    </w:lvl>
  </w:abstractNum>
  <w:abstractNum w:abstractNumId="17">
    <w:nsid w:val="6763845E"/>
    <w:multiLevelType w:val="hybridMultilevel"/>
    <w:lvl w:ilvl="0">
      <w:lvlJc w:val="left"/>
      <w:lvlText w:val="1"/>
      <w:numFmt w:val="bullet"/>
      <w:start w:val="1"/>
    </w:lvl>
  </w:abstractNum>
  <w:abstractNum w:abstractNumId="18">
    <w:nsid w:val="75A2A8D4"/>
    <w:multiLevelType w:val="hybridMultilevel"/>
    <w:lvl w:ilvl="0">
      <w:lvlJc w:val="left"/>
      <w:lvlText w:val="2"/>
      <w:numFmt w:val="bullet"/>
      <w:start w:val="1"/>
    </w:lvl>
    <w:lvl w:ilvl="1">
      <w:lvlJc w:val="left"/>
      <w:lvlText w:val="(%2)"/>
      <w:numFmt w:val="lowerLetter"/>
      <w:start w:val="1"/>
    </w:lvl>
  </w:abstractNum>
  <w:abstractNum w:abstractNumId="19">
    <w:nsid w:val="8EDBDAB"/>
    <w:multiLevelType w:val="hybridMultilevel"/>
    <w:lvl w:ilvl="0">
      <w:lvlJc w:val="left"/>
      <w:lvlText w:val="3"/>
      <w:numFmt w:val="bullet"/>
      <w:start w:val="1"/>
    </w:lvl>
  </w:abstractNum>
  <w:abstractNum w:abstractNumId="20">
    <w:nsid w:val="79838CB2"/>
    <w:multiLevelType w:val="hybridMultilevel"/>
    <w:lvl w:ilvl="0">
      <w:lvlJc w:val="left"/>
      <w:lvlText w:val="4"/>
      <w:numFmt w:val="bullet"/>
      <w:start w:val="1"/>
    </w:lvl>
  </w:abstractNum>
  <w:abstractNum w:abstractNumId="21">
    <w:nsid w:val="4353D0CD"/>
    <w:multiLevelType w:val="hybridMultilevel"/>
    <w:lvl w:ilvl="0">
      <w:lvlJc w:val="left"/>
      <w:lvlText w:val="9"/>
      <w:numFmt w:val="bullet"/>
      <w:start w:val="1"/>
    </w:lvl>
  </w:abstractNum>
  <w:abstractNum w:abstractNumId="22">
    <w:nsid w:val="B03E0C6"/>
    <w:multiLevelType w:val="hybridMultilevel"/>
    <w:lvl w:ilvl="0">
      <w:lvlJc w:val="left"/>
      <w:lvlText w:val="%1"/>
      <w:numFmt w:val="decimal"/>
      <w:start w:val="10"/>
    </w:lvl>
  </w:abstractNum>
  <w:abstractNum w:abstractNumId="23">
    <w:nsid w:val="189A769B"/>
    <w:multiLevelType w:val="hybridMultilevel"/>
    <w:lvl w:ilvl="0">
      <w:lvlJc w:val="left"/>
      <w:lvlText w:val="%1"/>
      <w:numFmt w:val="decimal"/>
      <w:start w:val="11"/>
    </w:lvl>
  </w:abstractNum>
  <w:abstractNum w:abstractNumId="24">
    <w:nsid w:val="54E49EB4"/>
    <w:multiLevelType w:val="hybridMultilevel"/>
    <w:lvl w:ilvl="0">
      <w:lvlJc w:val="left"/>
      <w:lvlText w:val="%1"/>
      <w:numFmt w:val="decimal"/>
      <w:start w:val="12"/>
    </w:lvl>
  </w:abstractNum>
  <w:abstractNum w:abstractNumId="25">
    <w:nsid w:val="71F32454"/>
    <w:multiLevelType w:val="hybridMultilevel"/>
    <w:lvl w:ilvl="0">
      <w:lvlJc w:val="left"/>
      <w:lvlText w:val="(%1)"/>
      <w:numFmt w:val="decimal"/>
      <w:start w:val="1"/>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lowerLetter"/>
      <w:start w:val="3"/>
    </w:lvl>
    <w:lvl w:ilvl="1">
      <w:lvlJc w:val="left"/>
      <w:lvlText w:val="(%2)"/>
      <w:numFmt w:val="lowerRoman"/>
      <w:start w:val="1"/>
    </w:lvl>
  </w:abstractNum>
  <w:abstractNum w:abstractNumId="28">
    <w:nsid w:val="2901D8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2020-01-14T09:01:49Z</dcterms:created>
  <dcterms:modified xsi:type="dcterms:W3CDTF">2020-01-14T09:01:49Z</dcterms:modified>
</cp:coreProperties>
</file>