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January 3, 2018</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Report (Date of earliest event reported)</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M I Acquisitions,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20" w:lineRule="exact"/>
        <w:rPr>
          <w:sz w:val="24"/>
          <w:szCs w:val="24"/>
          <w:color w:val="auto"/>
        </w:rPr>
      </w:pPr>
    </w:p>
    <w:tbl>
      <w:tblPr>
        <w:tblLayout w:type="fixed"/>
        <w:tblInd w:w="1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4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93"/>
              </w:rPr>
              <w:t>Delaware</w:t>
            </w:r>
          </w:p>
        </w:tc>
        <w:tc>
          <w:tcPr>
            <w:tcW w:w="3000" w:type="dxa"/>
            <w:vAlign w:val="bottom"/>
            <w:gridSpan w:val="3"/>
          </w:tcPr>
          <w:p>
            <w:pPr>
              <w:jc w:val="right"/>
              <w:ind w:right="1400"/>
              <w:spacing w:after="0"/>
              <w:rPr>
                <w:sz w:val="20"/>
                <w:szCs w:val="20"/>
                <w:color w:val="auto"/>
              </w:rPr>
            </w:pPr>
            <w:r>
              <w:rPr>
                <w:rFonts w:ascii="Arial" w:cs="Arial" w:eastAsia="Arial" w:hAnsi="Arial"/>
                <w:sz w:val="18"/>
                <w:szCs w:val="18"/>
                <w:b w:val="1"/>
                <w:bCs w:val="1"/>
                <w:color w:val="auto"/>
              </w:rPr>
              <w:t>001-37872</w:t>
            </w:r>
          </w:p>
        </w:tc>
        <w:tc>
          <w:tcPr>
            <w:tcW w:w="3760" w:type="dxa"/>
            <w:vAlign w:val="bottom"/>
            <w:gridSpan w:val="2"/>
            <w:vMerge w:val="restart"/>
          </w:tcPr>
          <w:p>
            <w:pPr>
              <w:jc w:val="right"/>
              <w:ind w:right="1250"/>
              <w:spacing w:after="0"/>
              <w:rPr>
                <w:sz w:val="20"/>
                <w:szCs w:val="20"/>
                <w:color w:val="auto"/>
              </w:rPr>
            </w:pPr>
            <w:r>
              <w:rPr>
                <w:rFonts w:ascii="Arial" w:cs="Arial" w:eastAsia="Arial" w:hAnsi="Arial"/>
                <w:sz w:val="18"/>
                <w:szCs w:val="18"/>
                <w:b w:val="1"/>
                <w:bCs w:val="1"/>
                <w:color w:val="auto"/>
              </w:rPr>
              <w:t>47-4257046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c>
          <w:tcPr>
            <w:tcW w:w="220" w:type="dxa"/>
            <w:vAlign w:val="bottom"/>
            <w:vMerge w:val="restart"/>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200" w:type="dxa"/>
            <w:vAlign w:val="bottom"/>
            <w:vMerge w:val="restart"/>
          </w:tcPr>
          <w:p>
            <w:pPr>
              <w:spacing w:after="0"/>
              <w:rPr>
                <w:sz w:val="17"/>
                <w:szCs w:val="17"/>
                <w:color w:val="auto"/>
              </w:rPr>
            </w:pPr>
          </w:p>
        </w:tc>
        <w:tc>
          <w:tcPr>
            <w:tcW w:w="3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2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3000" w:type="dxa"/>
            <w:vAlign w:val="bottom"/>
            <w:gridSpan w:val="3"/>
          </w:tcPr>
          <w:p>
            <w:pPr>
              <w:jc w:val="center"/>
              <w:ind w:right="580"/>
              <w:spacing w:after="0"/>
              <w:rPr>
                <w:sz w:val="20"/>
                <w:szCs w:val="20"/>
                <w:color w:val="auto"/>
              </w:rPr>
            </w:pPr>
            <w:r>
              <w:rPr>
                <w:rFonts w:ascii="Arial" w:cs="Arial" w:eastAsia="Arial" w:hAnsi="Arial"/>
                <w:sz w:val="18"/>
                <w:szCs w:val="18"/>
                <w:color w:val="auto"/>
                <w:w w:val="92"/>
              </w:rPr>
              <w:t>(Commission File Number)</w:t>
            </w:r>
          </w:p>
        </w:tc>
        <w:tc>
          <w:tcPr>
            <w:tcW w:w="200" w:type="dxa"/>
            <w:vAlign w:val="bottom"/>
            <w:vMerge w:val="continue"/>
          </w:tcPr>
          <w:p>
            <w:pPr>
              <w:spacing w:after="0"/>
              <w:rPr>
                <w:sz w:val="19"/>
                <w:szCs w:val="19"/>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508"/>
        </w:trPr>
        <w:tc>
          <w:tcPr>
            <w:tcW w:w="20" w:type="dxa"/>
            <w:vAlign w:val="bottom"/>
          </w:tcPr>
          <w:p>
            <w:pPr>
              <w:spacing w:after="0"/>
              <w:rPr>
                <w:sz w:val="24"/>
                <w:szCs w:val="24"/>
                <w:color w:val="auto"/>
              </w:rPr>
            </w:pPr>
          </w:p>
        </w:tc>
        <w:tc>
          <w:tcPr>
            <w:tcW w:w="444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93"/>
              </w:rPr>
              <w:t>c/o Magna Management LLC</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92"/>
              </w:rPr>
              <w:t>40 Wall Street, 58th Floor</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3"/>
          </w:tcPr>
          <w:p>
            <w:pPr>
              <w:jc w:val="center"/>
              <w:ind w:left="950"/>
              <w:spacing w:after="0"/>
              <w:rPr>
                <w:sz w:val="20"/>
                <w:szCs w:val="20"/>
                <w:color w:val="auto"/>
              </w:rPr>
            </w:pPr>
            <w:r>
              <w:rPr>
                <w:rFonts w:ascii="Arial" w:cs="Arial" w:eastAsia="Arial" w:hAnsi="Arial"/>
                <w:sz w:val="18"/>
                <w:szCs w:val="18"/>
                <w:b w:val="1"/>
                <w:bCs w:val="1"/>
                <w:color w:val="auto"/>
                <w:w w:val="95"/>
              </w:rPr>
              <w:t>New York, NY</w:t>
            </w:r>
          </w:p>
        </w:tc>
        <w:tc>
          <w:tcPr>
            <w:tcW w:w="10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2"/>
          </w:tcPr>
          <w:p>
            <w:pPr>
              <w:jc w:val="right"/>
              <w:ind w:right="2430"/>
              <w:spacing w:after="0"/>
              <w:rPr>
                <w:sz w:val="20"/>
                <w:szCs w:val="20"/>
                <w:color w:val="auto"/>
              </w:rPr>
            </w:pPr>
            <w:r>
              <w:rPr>
                <w:rFonts w:ascii="Arial" w:cs="Arial" w:eastAsia="Arial" w:hAnsi="Arial"/>
                <w:sz w:val="18"/>
                <w:szCs w:val="18"/>
                <w:b w:val="1"/>
                <w:bCs w:val="1"/>
                <w:color w:val="auto"/>
              </w:rPr>
              <w:t>10005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3"/>
          </w:tcPr>
          <w:p>
            <w:pPr>
              <w:jc w:val="center"/>
              <w:ind w:left="970"/>
              <w:spacing w:after="0"/>
              <w:rPr>
                <w:sz w:val="20"/>
                <w:szCs w:val="20"/>
                <w:color w:val="auto"/>
              </w:rPr>
            </w:pPr>
            <w:r>
              <w:rPr>
                <w:rFonts w:ascii="Arial" w:cs="Arial" w:eastAsia="Arial" w:hAnsi="Arial"/>
                <w:sz w:val="18"/>
                <w:szCs w:val="18"/>
                <w:color w:val="auto"/>
                <w:w w:val="92"/>
              </w:rPr>
              <w:t>(Address of Principal Executive Offices)</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60" w:type="dxa"/>
            <w:vAlign w:val="bottom"/>
          </w:tcPr>
          <w:p>
            <w:pPr>
              <w:jc w:val="center"/>
              <w:ind w:right="185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18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(347) 491-4240</w:t>
      </w:r>
    </w:p>
    <w:p>
      <w:pPr>
        <w:spacing w:after="0" w:line="22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firstLine="4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740" w:hanging="100"/>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w:t>
      </w:r>
    </w:p>
    <w:p>
      <w:pPr>
        <w:spacing w:after="0" w:line="117" w:lineRule="exact"/>
        <w:rPr>
          <w:rFonts w:ascii="Arial" w:cs="Arial" w:eastAsia="Arial" w:hAnsi="Arial"/>
          <w:sz w:val="18"/>
          <w:szCs w:val="18"/>
          <w:color w:val="auto"/>
        </w:rPr>
      </w:pPr>
    </w:p>
    <w:p>
      <w:pPr>
        <w:ind w:left="740" w:hanging="100"/>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w:t>
      </w:r>
    </w:p>
    <w:p>
      <w:pPr>
        <w:spacing w:after="0" w:line="117" w:lineRule="exact"/>
        <w:rPr>
          <w:rFonts w:ascii="Arial" w:cs="Arial" w:eastAsia="Arial" w:hAnsi="Arial"/>
          <w:sz w:val="18"/>
          <w:szCs w:val="18"/>
          <w:color w:val="auto"/>
        </w:rPr>
      </w:pPr>
    </w:p>
    <w:p>
      <w:pPr>
        <w:ind w:left="740" w:hanging="100"/>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w:t>
      </w:r>
    </w:p>
    <w:p>
      <w:pPr>
        <w:spacing w:after="0" w:line="117" w:lineRule="exact"/>
        <w:rPr>
          <w:rFonts w:ascii="Arial" w:cs="Arial" w:eastAsia="Arial" w:hAnsi="Arial"/>
          <w:sz w:val="18"/>
          <w:szCs w:val="18"/>
          <w:color w:val="auto"/>
        </w:rPr>
      </w:pPr>
    </w:p>
    <w:p>
      <w:pPr>
        <w:ind w:left="740" w:hanging="100"/>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512445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229"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January 3, 2018, M I Acquisitions, Inc. (the “Company”) received a letter from the Nasdaq Stock Market LLC (“Nasdaq”), which stated that the Company no longer complies with Nasdaq’s continued listing rules due to the Company not having held an annual meeting within 12 months of the Company’s fiscal year end, as required pursuant to rules 5620(a). In accordance with Nasdaq Rule 5810(c)(2)(G), the Company has 45 calendar days to submit a plan to regain compliance and, if Nasdaq accepts the plan, Nasdaq can grant the Company an exception of up to 180 calendar days from the fiscal year end, or until June 29, 2018, to regain compliance. The Company plans to submit a compliance plan within the specified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2" w:name="page3"/>
    <w:bookmarkEnd w:id="2"/>
    <w:p>
      <w:pPr>
        <w:jc w:val="center"/>
        <w:ind w:left="3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10985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85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Marc Manuel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4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2020-01-14T01:28:29Z</dcterms:created>
  <dcterms:modified xsi:type="dcterms:W3CDTF">2020-01-14T01:28:29Z</dcterms:modified>
</cp:coreProperties>
</file>