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23,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5715</wp:posOffset>
            </wp:positionV>
            <wp:extent cx="2537460" cy="1174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7460" cy="1174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20" w:type="dxa"/>
            <w:vAlign w:val="bottom"/>
          </w:tcPr>
          <w:p>
            <w:pPr>
              <w:spacing w:after="0"/>
              <w:rPr>
                <w:sz w:val="20"/>
                <w:szCs w:val="20"/>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648"/>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4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Alpharetta,</w:t>
            </w:r>
          </w:p>
        </w:tc>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56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30004</w:t>
            </w:r>
          </w:p>
        </w:tc>
        <w:tc>
          <w:tcPr>
            <w:tcW w:w="20" w:type="dxa"/>
            <w:vAlign w:val="bottom"/>
          </w:tcPr>
          <w:p>
            <w:pPr>
              <w:spacing w:after="0"/>
              <w:rPr>
                <w:sz w:val="20"/>
                <w:szCs w:val="20"/>
                <w:color w:val="auto"/>
              </w:rPr>
            </w:pPr>
          </w:p>
        </w:tc>
      </w:tr>
      <w:tr>
        <w:trPr>
          <w:trHeight w:val="228"/>
        </w:trPr>
        <w:tc>
          <w:tcPr>
            <w:tcW w:w="5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Borders>
              <w:top w:val="single" w:sz="8" w:color="auto"/>
            </w:tcBorders>
          </w:tcPr>
          <w:p>
            <w:pPr>
              <w:spacing w:after="0"/>
              <w:rPr>
                <w:sz w:val="19"/>
                <w:szCs w:val="19"/>
                <w:color w:val="auto"/>
              </w:rPr>
            </w:pPr>
          </w:p>
        </w:tc>
      </w:tr>
    </w:tbl>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5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560" w:type="dxa"/>
            <w:vAlign w:val="bottom"/>
          </w:tcPr>
          <w:p>
            <w:pPr>
              <w:spacing w:after="0"/>
              <w:rPr>
                <w:sz w:val="19"/>
                <w:szCs w:val="19"/>
                <w:color w:val="auto"/>
              </w:rPr>
            </w:pPr>
          </w:p>
        </w:tc>
      </w:tr>
      <w:tr>
        <w:trPr>
          <w:trHeight w:val="1217"/>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0"/>
          <w:szCs w:val="20"/>
          <w:color w:val="auto"/>
        </w:rPr>
      </w:pPr>
    </w:p>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October 31, 2023, Plaintiff Jeffrey Edelman (“</w:t>
      </w:r>
      <w:r>
        <w:rPr>
          <w:rFonts w:ascii="Times New Roman" w:cs="Times New Roman" w:eastAsia="Times New Roman" w:hAnsi="Times New Roman"/>
          <w:sz w:val="18"/>
          <w:szCs w:val="18"/>
          <w:u w:val="single" w:color="auto"/>
          <w:color w:val="auto"/>
        </w:rPr>
        <w:t>Plaintiff</w:t>
      </w:r>
      <w:r>
        <w:rPr>
          <w:rFonts w:ascii="Times New Roman" w:cs="Times New Roman" w:eastAsia="Times New Roman" w:hAnsi="Times New Roman"/>
          <w:sz w:val="18"/>
          <w:szCs w:val="18"/>
          <w:color w:val="auto"/>
        </w:rPr>
        <w:t>”), derivatively and on behalf of a putative class of stockholders of Priority Technology Holdings, Inc. (the “Company”), filed under seal a Verified Stockholder Derivative and Class Action Complaint in the Court of Chancery of the State of Delaware (the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(i) asserting that Thomas C. Priore and other members of the Company’s Board of Directors (collectively with the Company, “</w:t>
      </w:r>
      <w:r>
        <w:rPr>
          <w:rFonts w:ascii="Times New Roman" w:cs="Times New Roman" w:eastAsia="Times New Roman" w:hAnsi="Times New Roman"/>
          <w:sz w:val="18"/>
          <w:szCs w:val="18"/>
          <w:u w:val="single" w:color="auto"/>
          <w:color w:val="auto"/>
        </w:rPr>
        <w:t>Defendants</w:t>
      </w:r>
      <w:r>
        <w:rPr>
          <w:rFonts w:ascii="Times New Roman" w:cs="Times New Roman" w:eastAsia="Times New Roman" w:hAnsi="Times New Roman"/>
          <w:sz w:val="18"/>
          <w:szCs w:val="18"/>
          <w:color w:val="auto"/>
        </w:rPr>
        <w:t>”) breached their fiduciary duties by approving a transaction on November 12, 2020, pursuant to which the Company agreed to exchange 1,000 Preferred Units of a certain subsidiary of the Company (Priority Hospitality Technology, LLC), held by Mr. Priore and non-parties to the Action, for a mix of cash and 1,428,358 shares of common stock of the Company, which closed on or about May 26, 2021 (the “</w:t>
      </w:r>
      <w:r>
        <w:rPr>
          <w:rFonts w:ascii="Times New Roman" w:cs="Times New Roman" w:eastAsia="Times New Roman" w:hAnsi="Times New Roman"/>
          <w:sz w:val="18"/>
          <w:szCs w:val="18"/>
          <w:u w:val="single" w:color="auto"/>
          <w:color w:val="auto"/>
        </w:rPr>
        <w:t>Exchange Transaction</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18"/>
          <w:szCs w:val="18"/>
          <w:color w:val="auto"/>
        </w:rPr>
        <w:t>On January 30, 2024, the Company agreed to unwind the Exchange Transaction and return, as best as reasonably practicable, the Company and the other parties to the Exchange Transaction to the positions they would have been in had the Exchange Transaction never taken place (the “</w:t>
      </w:r>
      <w:r>
        <w:rPr>
          <w:rFonts w:ascii="Times New Roman" w:cs="Times New Roman" w:eastAsia="Times New Roman" w:hAnsi="Times New Roman"/>
          <w:sz w:val="18"/>
          <w:szCs w:val="18"/>
          <w:u w:val="single" w:color="auto"/>
          <w:color w:val="auto"/>
        </w:rPr>
        <w:t>Unwind</w:t>
      </w:r>
      <w:r>
        <w:rPr>
          <w:rFonts w:ascii="Times New Roman" w:cs="Times New Roman" w:eastAsia="Times New Roman" w:hAnsi="Times New Roman"/>
          <w:sz w:val="18"/>
          <w:szCs w:val="18"/>
          <w:color w:val="auto"/>
        </w:rPr>
        <w:t>”). The Company denies and continues to deny the allegations of wrongdoing in the Action. The Plaintiff and the Company agreed that the Unwind rendered Plaintiff’s claims moot. The Company subsequently agreed to pay $400,000.00 in attorneys’ fees and expenses in full satisfaction of any and all claims by Plaintiff and his counsel for fees and expenses in the Action.</w:t>
      </w:r>
    </w:p>
    <w:p>
      <w:pPr>
        <w:spacing w:after="0" w:line="212"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18"/>
          <w:szCs w:val="18"/>
          <w:color w:val="auto"/>
        </w:rPr>
        <w:t>On February 20, 2024, the Court entered an order dismissing the Action as moot, approving the form of notice concerning attorneys’ fees payable to Plaintiff in connection with the Unwind and the Action, and closing the Action, subject to the Company filing an affidavit with the Court confirming that such notice has been issued.</w:t>
      </w:r>
    </w:p>
    <w:p>
      <w:pPr>
        <w:spacing w:after="0" w:line="211"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18"/>
          <w:szCs w:val="18"/>
          <w:color w:val="auto"/>
        </w:rPr>
        <w:t>In entering the order, the Court was not asked to review, and did not pass judgment on, the payment of the attorneys’ fees and expenses or their reasonableness. Plaintiff’s counsel are Stephen E. Jenkins and Samuel F. Gross of Ashby &amp; Geddes, P.A., (302) 654-1888, and Gregory Mark Nespole, Daniel Tepper, Correy A. Suk, and Cinar Oney of Levi &amp; Korsinsky, LLP, (212) 363-7500. Defendants’ counsel are William M. Lafferty, Ryan D. Stottmann, and Lauren K. Neal of Morris Nichols Arsht &amp; Tunnell LLP, (302) 351-9211, and Jason C. Rubinstein, Stan Chiueh, and Jamuna D. Kelley of Friedman Kaplan Seiler Adelman &amp; Robbins LLP, (212) 833-1100.</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 – The following exhibit is furnished as part of this Current Report on Form 8-K.</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23, 2024</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By: /s/ Timothy O'Leary</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Timothy O'Leary</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2024-02-23T06:03:30Z</dcterms:created>
  <dcterms:modified xsi:type="dcterms:W3CDTF">2024-02-23T06:03:30Z</dcterms:modified>
</cp:coreProperties>
</file>