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3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208,768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208,768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208,768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continued employment with the Issuer, the restricted stock units vest 50% on February 18, 2021, 25% on February 18, 2022 and 25% on February 18, 2023.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597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2020-02-21T11:45:37Z</dcterms:created>
  <dcterms:modified xsi:type="dcterms:W3CDTF">2020-02-21T11:45:37Z</dcterms:modified>
</cp:coreProperties>
</file>