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80"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spacing w:after="0" w:line="9"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3">
        <w:r>
          <w:rPr>
            <w:rFonts w:ascii="Times New Roman" w:cs="Times New Roman" w:eastAsia="Times New Roman" w:hAnsi="Times New Roman"/>
            <w:sz w:val="16"/>
            <w:szCs w:val="16"/>
            <w:u w:val="single" w:color="auto"/>
            <w:color w:val="0000EE"/>
          </w:rPr>
          <w:t>Gahan William</w:t>
        </w:r>
      </w:hyperlink>
    </w:p>
    <w:p>
      <w:pPr>
        <w:spacing w:after="0" w:line="22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18"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8" w:lineRule="exact"/>
        <w:rPr>
          <w:sz w:val="24"/>
          <w:szCs w:val="24"/>
          <w:color w:val="auto"/>
        </w:rPr>
      </w:pPr>
    </w:p>
    <w:p>
      <w:pPr>
        <w:ind w:left="100"/>
        <w:spacing w:after="0"/>
        <w:tabs>
          <w:tab w:leader="none" w:pos="1320" w:val="left"/>
          <w:tab w:leader="none" w:pos="2560" w:val="left"/>
        </w:tabs>
        <w:rPr>
          <w:sz w:val="20"/>
          <w:szCs w:val="20"/>
          <w:color w:val="auto"/>
        </w:rPr>
      </w:pPr>
      <w:r>
        <w:rPr>
          <w:rFonts w:ascii="Times New Roman" w:cs="Times New Roman" w:eastAsia="Times New Roman" w:hAnsi="Times New Roman"/>
          <w:sz w:val="13"/>
          <w:szCs w:val="13"/>
          <w:color w:val="0000FF"/>
        </w:rPr>
        <w:t>ALPHARETTA</w:t>
      </w:r>
      <w:r>
        <w:rPr>
          <w:sz w:val="20"/>
          <w:szCs w:val="20"/>
          <w:color w:val="auto"/>
        </w:rPr>
        <w:tab/>
      </w:r>
      <w:r>
        <w:rPr>
          <w:rFonts w:ascii="Times New Roman" w:cs="Times New Roman" w:eastAsia="Times New Roman" w:hAnsi="Times New Roman"/>
          <w:sz w:val="13"/>
          <w:szCs w:val="13"/>
          <w:color w:val="0000FF"/>
        </w:rPr>
        <w:t>GA</w:t>
      </w:r>
      <w:r>
        <w:rPr>
          <w:sz w:val="20"/>
          <w:szCs w:val="20"/>
          <w:color w:val="auto"/>
        </w:rPr>
        <w:tab/>
      </w:r>
      <w:r>
        <w:rPr>
          <w:rFonts w:ascii="Times New Roman" w:cs="Times New Roman" w:eastAsia="Times New Roman" w:hAnsi="Times New Roman"/>
          <w:sz w:val="12"/>
          <w:szCs w:val="12"/>
          <w:color w:val="0000FF"/>
        </w:rPr>
        <w:t>30004</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40" w:type="dxa"/>
            <w:vAlign w:val="bottom"/>
          </w:tcPr>
          <w:p>
            <w:pPr>
              <w:ind w:left="40"/>
              <w:spacing w:after="0"/>
              <w:rPr>
                <w:sz w:val="20"/>
                <w:szCs w:val="20"/>
                <w:color w:val="auto"/>
              </w:rPr>
            </w:pPr>
            <w:r>
              <w:rPr>
                <w:rFonts w:ascii="Arial" w:cs="Arial" w:eastAsia="Arial" w:hAnsi="Arial"/>
                <w:sz w:val="10"/>
                <w:szCs w:val="10"/>
                <w:color w:val="auto"/>
                <w:w w:val="95"/>
              </w:rPr>
              <w:t>5.</w:t>
            </w:r>
          </w:p>
        </w:tc>
        <w:tc>
          <w:tcPr>
            <w:tcW w:w="2020" w:type="dxa"/>
            <w:vAlign w:val="bottom"/>
            <w:gridSpan w:val="2"/>
          </w:tcPr>
          <w:p>
            <w:pPr>
              <w:ind w:left="20"/>
              <w:spacing w:after="0"/>
              <w:rPr>
                <w:sz w:val="20"/>
                <w:szCs w:val="20"/>
                <w:color w:val="auto"/>
              </w:rPr>
            </w:pPr>
            <w:r>
              <w:rPr>
                <w:rFonts w:ascii="Arial" w:cs="Arial" w:eastAsia="Arial" w:hAnsi="Arial"/>
                <w:sz w:val="10"/>
                <w:szCs w:val="10"/>
                <w:color w:val="auto"/>
                <w:w w:val="99"/>
              </w:rPr>
              <w:t>Relationship of Reporting Person(s) to Issuer</w:t>
            </w:r>
          </w:p>
        </w:tc>
        <w:tc>
          <w:tcPr>
            <w:tcW w:w="1140" w:type="dxa"/>
            <w:vAlign w:val="bottom"/>
          </w:tcPr>
          <w:p>
            <w:pPr>
              <w:spacing w:after="0"/>
              <w:rPr>
                <w:sz w:val="10"/>
                <w:szCs w:val="10"/>
                <w:color w:val="auto"/>
              </w:rPr>
            </w:pPr>
          </w:p>
        </w:tc>
      </w:tr>
      <w:tr>
        <w:trPr>
          <w:trHeight w:val="160"/>
        </w:trPr>
        <w:tc>
          <w:tcPr>
            <w:tcW w:w="3840" w:type="dxa"/>
            <w:vAlign w:val="bottom"/>
            <w:gridSpan w:val="2"/>
          </w:tcPr>
          <w:p>
            <w:pPr>
              <w:ind w:left="40"/>
              <w:spacing w:after="0" w:line="16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Priority Technology Holdings,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PRTH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6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13"/>
                <w:szCs w:val="13"/>
                <w:color w:val="auto"/>
              </w:rPr>
            </w:pPr>
          </w:p>
        </w:tc>
      </w:tr>
      <w:tr>
        <w:trPr>
          <w:trHeight w:val="168"/>
        </w:trPr>
        <w:tc>
          <w:tcPr>
            <w:tcW w:w="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X</w:t>
            </w:r>
          </w:p>
        </w:tc>
        <w:tc>
          <w:tcPr>
            <w:tcW w:w="1700" w:type="dxa"/>
            <w:vAlign w:val="bottom"/>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tcPr>
          <w:p>
            <w:pPr>
              <w:spacing w:after="0"/>
              <w:rPr>
                <w:sz w:val="20"/>
                <w:szCs w:val="20"/>
                <w:color w:val="auto"/>
              </w:rPr>
            </w:pPr>
            <w:r>
              <w:rPr>
                <w:rFonts w:ascii="Arial" w:cs="Arial" w:eastAsia="Arial" w:hAnsi="Arial"/>
                <w:sz w:val="10"/>
                <w:szCs w:val="10"/>
                <w:color w:val="auto"/>
              </w:rPr>
              <w:t>10% Owner</w:t>
            </w:r>
          </w:p>
        </w:tc>
      </w:tr>
      <w:tr>
        <w:trPr>
          <w:trHeight w:val="132"/>
        </w:trPr>
        <w:tc>
          <w:tcPr>
            <w:tcW w:w="14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r>
      <w:tr>
        <w:trPr>
          <w:trHeight w:val="140"/>
        </w:trPr>
        <w:tc>
          <w:tcPr>
            <w:tcW w:w="140" w:type="dxa"/>
            <w:vAlign w:val="bottom"/>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8"/>
        </w:trPr>
        <w:tc>
          <w:tcPr>
            <w:tcW w:w="38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01/01/2021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52"/>
        </w:trPr>
        <w:tc>
          <w:tcPr>
            <w:tcW w:w="140" w:type="dxa"/>
            <w:vAlign w:val="bottom"/>
            <w:tcBorders>
              <w:bottom w:val="single" w:sz="8" w:color="2C2C2C"/>
            </w:tcBorders>
          </w:tcPr>
          <w:p>
            <w:pPr>
              <w:spacing w:after="0"/>
              <w:rPr>
                <w:sz w:val="21"/>
                <w:szCs w:val="21"/>
                <w:color w:val="auto"/>
              </w:rPr>
            </w:pPr>
          </w:p>
        </w:tc>
        <w:tc>
          <w:tcPr>
            <w:tcW w:w="37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3160" w:type="dxa"/>
            <w:vAlign w:val="bottom"/>
            <w:tcBorders>
              <w:bottom w:val="single" w:sz="8" w:color="2C2C2C"/>
            </w:tcBorders>
            <w:gridSpan w:val="3"/>
          </w:tcPr>
          <w:p>
            <w:pPr>
              <w:spacing w:after="0"/>
              <w:rPr>
                <w:sz w:val="21"/>
                <w:szCs w:val="21"/>
                <w:color w:val="auto"/>
              </w:rPr>
            </w:pPr>
          </w:p>
        </w:tc>
      </w:tr>
      <w:tr>
        <w:trPr>
          <w:trHeight w:val="162"/>
        </w:trPr>
        <w:tc>
          <w:tcPr>
            <w:tcW w:w="140" w:type="dxa"/>
            <w:vAlign w:val="bottom"/>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140" w:type="dxa"/>
            <w:vAlign w:val="bottom"/>
          </w:tcPr>
          <w:p>
            <w:pPr>
              <w:ind w:left="40"/>
              <w:spacing w:after="0"/>
              <w:rPr>
                <w:sz w:val="20"/>
                <w:szCs w:val="20"/>
                <w:color w:val="auto"/>
              </w:rPr>
            </w:pPr>
            <w:r>
              <w:rPr>
                <w:rFonts w:ascii="Arial" w:cs="Arial" w:eastAsia="Arial" w:hAnsi="Arial"/>
                <w:sz w:val="10"/>
                <w:szCs w:val="10"/>
                <w:color w:val="auto"/>
                <w:w w:val="95"/>
              </w:rPr>
              <w:t>6.</w:t>
            </w:r>
          </w:p>
        </w:tc>
        <w:tc>
          <w:tcPr>
            <w:tcW w:w="3160" w:type="dxa"/>
            <w:vAlign w:val="bottom"/>
            <w:gridSpan w:val="3"/>
          </w:tcPr>
          <w:p>
            <w:pPr>
              <w:ind w:left="20"/>
              <w:spacing w:after="0"/>
              <w:rPr>
                <w:sz w:val="20"/>
                <w:szCs w:val="20"/>
                <w:color w:val="auto"/>
              </w:rPr>
            </w:pPr>
            <w:r>
              <w:rPr>
                <w:rFonts w:ascii="Arial" w:cs="Arial" w:eastAsia="Arial" w:hAnsi="Arial"/>
                <w:sz w:val="10"/>
                <w:szCs w:val="10"/>
                <w:color w:val="auto"/>
              </w:rPr>
              <w:t>Individual or Joint/Group Filing (Check Applicable Line)</w:t>
            </w:r>
          </w:p>
        </w:tc>
      </w:tr>
      <w:tr>
        <w:trPr>
          <w:trHeight w:val="176"/>
        </w:trPr>
        <w:tc>
          <w:tcPr>
            <w:tcW w:w="1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r>
      <w:tr>
        <w:trPr>
          <w:trHeight w:val="164"/>
        </w:trPr>
        <w:tc>
          <w:tcPr>
            <w:tcW w:w="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r>
    </w:tbl>
    <w:p>
      <w:pPr>
        <w:spacing w:after="0" w:line="200" w:lineRule="exact"/>
        <w:rPr>
          <w:sz w:val="24"/>
          <w:szCs w:val="24"/>
          <w:color w:val="auto"/>
        </w:rPr>
      </w:pPr>
    </w:p>
    <w:p>
      <w:pPr>
        <w:sectPr>
          <w:pgSz w:w="11900" w:h="16838" w:orient="portrait"/>
          <w:cols w:equalWidth="0" w:num="2">
            <w:col w:w="3140" w:space="720"/>
            <w:col w:w="7160"/>
          </w:cols>
          <w:pgMar w:left="440" w:top="199" w:right="439" w:bottom="1440" w:gutter="0" w:footer="0" w:header="0"/>
          <w:type w:val="continuous"/>
        </w:sectPr>
      </w:pPr>
    </w:p>
    <w:p>
      <w:pPr>
        <w:spacing w:after="0" w:line="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6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7"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line="97"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97"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7"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line="57" w:lineRule="exact"/>
              <w:rPr>
                <w:sz w:val="20"/>
                <w:szCs w:val="20"/>
                <w:color w:val="auto"/>
              </w:rPr>
            </w:pPr>
            <w:r>
              <w:rPr>
                <w:rFonts w:ascii="Arial" w:cs="Arial" w:eastAsia="Arial" w:hAnsi="Arial"/>
                <w:sz w:val="6"/>
                <w:szCs w:val="6"/>
                <w:b w:val="1"/>
                <w:bCs w:val="1"/>
                <w:color w:val="auto"/>
              </w:rPr>
              <w:t>(Month/Day/Year)</w:t>
            </w:r>
          </w:p>
        </w:tc>
        <w:tc>
          <w:tcPr>
            <w:tcW w:w="2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380" w:type="dxa"/>
            <w:vAlign w:val="bottom"/>
            <w:tcBorders>
              <w:top w:val="single" w:sz="8" w:color="2C2C2C"/>
            </w:tcBorders>
            <w:vMerge w:val="restart"/>
          </w:tcPr>
          <w:p>
            <w:pPr>
              <w:jc w:val="right"/>
              <w:ind w:right="79"/>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4"/>
                <w:szCs w:val="4"/>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7"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3"/>
                <w:szCs w:val="13"/>
                <w:color w:val="0000FF"/>
                <w:w w:val="97"/>
              </w:rPr>
              <w:t>01/01/2021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3"/>
                <w:szCs w:val="13"/>
                <w:color w:val="0000FF"/>
              </w:rPr>
              <w:t>13,298</w:t>
            </w: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right"/>
              <w:ind w:right="152"/>
              <w:spacing w:after="0" w:line="241"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8"/>
                <w:szCs w:val="8"/>
                <w:color w:val="008000"/>
              </w:rPr>
              <w:t>(1)</w:t>
            </w:r>
          </w:p>
        </w:tc>
        <w:tc>
          <w:tcPr>
            <w:tcW w:w="8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3"/>
                <w:szCs w:val="13"/>
                <w:color w:val="0000FF"/>
                <w:w w:val="99"/>
              </w:rPr>
              <w:t>117,501</w:t>
            </w: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2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6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40" w:type="dxa"/>
            <w:vAlign w:val="bottom"/>
          </w:tcPr>
          <w:p>
            <w:pPr>
              <w:ind w:left="20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vMerge w:val="restart"/>
          </w:tcPr>
          <w:p>
            <w:pPr>
              <w:ind w:left="20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vMerge w:val="restart"/>
          </w:tcPr>
          <w:p>
            <w:pPr>
              <w:ind w:left="60"/>
              <w:spacing w:after="0"/>
              <w:rPr>
                <w:sz w:val="20"/>
                <w:szCs w:val="20"/>
                <w:color w:val="auto"/>
              </w:rPr>
            </w:pPr>
            <w:r>
              <w:rPr>
                <w:rFonts w:ascii="Arial" w:cs="Arial" w:eastAsia="Arial" w:hAnsi="Arial"/>
                <w:sz w:val="9"/>
                <w:szCs w:val="9"/>
                <w:b w:val="1"/>
                <w:bCs w:val="1"/>
                <w:color w:val="auto"/>
              </w:rPr>
              <w:t>Date</w:t>
            </w:r>
          </w:p>
        </w:tc>
        <w:tc>
          <w:tcPr>
            <w:tcW w:w="380" w:type="dxa"/>
            <w:vAlign w:val="bottom"/>
          </w:tcPr>
          <w:p>
            <w:pPr>
              <w:spacing w:after="0"/>
              <w:rPr>
                <w:sz w:val="8"/>
                <w:szCs w:val="8"/>
                <w:color w:val="auto"/>
              </w:rPr>
            </w:pPr>
          </w:p>
        </w:tc>
        <w:tc>
          <w:tcPr>
            <w:tcW w:w="520" w:type="dxa"/>
            <w:vAlign w:val="bottom"/>
            <w:vMerge w:val="restart"/>
          </w:tcPr>
          <w:p>
            <w:pPr>
              <w:ind w:left="20"/>
              <w:spacing w:after="0"/>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160" w:type="dxa"/>
            <w:vAlign w:val="bottom"/>
            <w:vMerge w:val="restart"/>
          </w:tcPr>
          <w:p>
            <w:pPr>
              <w:ind w:left="20"/>
              <w:spacing w:after="0"/>
              <w:rPr>
                <w:sz w:val="20"/>
                <w:szCs w:val="20"/>
                <w:color w:val="auto"/>
              </w:rPr>
            </w:pPr>
            <w:r>
              <w:rPr>
                <w:rFonts w:ascii="Arial" w:cs="Arial" w:eastAsia="Arial" w:hAnsi="Arial"/>
                <w:sz w:val="9"/>
                <w:szCs w:val="9"/>
                <w:b w:val="1"/>
                <w:bCs w:val="1"/>
                <w:color w:val="auto"/>
                <w:w w:val="95"/>
              </w:rPr>
              <w:t>(A)</w:t>
            </w:r>
          </w:p>
        </w:tc>
        <w:tc>
          <w:tcPr>
            <w:tcW w:w="800" w:type="dxa"/>
            <w:vAlign w:val="bottom"/>
            <w:vMerge w:val="restart"/>
          </w:tcPr>
          <w:p>
            <w:pPr>
              <w:ind w:left="340"/>
              <w:spacing w:after="0"/>
              <w:rPr>
                <w:sz w:val="20"/>
                <w:szCs w:val="20"/>
                <w:color w:val="auto"/>
              </w:rPr>
            </w:pPr>
            <w:r>
              <w:rPr>
                <w:rFonts w:ascii="Arial" w:cs="Arial" w:eastAsia="Arial" w:hAnsi="Arial"/>
                <w:sz w:val="9"/>
                <w:szCs w:val="9"/>
                <w:b w:val="1"/>
                <w:bCs w:val="1"/>
                <w:color w:val="auto"/>
              </w:rPr>
              <w:t>(D)</w:t>
            </w:r>
          </w:p>
        </w:tc>
        <w:tc>
          <w:tcPr>
            <w:tcW w:w="2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40" w:type="dxa"/>
            <w:vAlign w:val="bottom"/>
          </w:tcPr>
          <w:p>
            <w:pPr>
              <w:ind w:left="400"/>
              <w:spacing w:after="0"/>
              <w:rPr>
                <w:sz w:val="20"/>
                <w:szCs w:val="20"/>
                <w:color w:val="auto"/>
              </w:rPr>
            </w:pPr>
            <w:r>
              <w:rPr>
                <w:rFonts w:ascii="Times New Roman" w:cs="Times New Roman" w:eastAsia="Times New Roman" w:hAnsi="Times New Roman"/>
                <w:sz w:val="8"/>
                <w:szCs w:val="8"/>
                <w:color w:val="008000"/>
              </w:rPr>
              <w:t>(1)</w:t>
            </w:r>
          </w:p>
        </w:tc>
        <w:tc>
          <w:tcPr>
            <w:tcW w:w="860" w:type="dxa"/>
            <w:vAlign w:val="bottom"/>
          </w:tcPr>
          <w:p>
            <w:pPr>
              <w:jc w:val="right"/>
              <w:ind w:right="154"/>
              <w:spacing w:after="0"/>
              <w:rPr>
                <w:sz w:val="20"/>
                <w:szCs w:val="20"/>
                <w:color w:val="auto"/>
              </w:rPr>
            </w:pPr>
            <w:r>
              <w:rPr>
                <w:rFonts w:ascii="Times New Roman" w:cs="Times New Roman" w:eastAsia="Times New Roman" w:hAnsi="Times New Roman"/>
                <w:sz w:val="10"/>
                <w:szCs w:val="10"/>
                <w:color w:val="0000FF"/>
              </w:rPr>
              <w:t>01/01/2021</w:t>
            </w:r>
          </w:p>
        </w:tc>
        <w:tc>
          <w:tcPr>
            <w:tcW w:w="840" w:type="dxa"/>
            <w:vAlign w:val="bottom"/>
          </w:tcPr>
          <w:p>
            <w:pPr>
              <w:spacing w:after="0"/>
              <w:rPr>
                <w:sz w:val="22"/>
                <w:szCs w:val="22"/>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0"/>
                <w:szCs w:val="10"/>
                <w:color w:val="0000FF"/>
              </w:rPr>
              <w:t>13,298</w:t>
            </w:r>
          </w:p>
        </w:tc>
        <w:tc>
          <w:tcPr>
            <w:tcW w:w="280" w:type="dxa"/>
            <w:vAlign w:val="bottom"/>
          </w:tcPr>
          <w:p>
            <w:pPr>
              <w:spacing w:after="0"/>
              <w:rPr>
                <w:sz w:val="22"/>
                <w:szCs w:val="22"/>
                <w:color w:val="auto"/>
              </w:rPr>
            </w:pPr>
          </w:p>
        </w:tc>
        <w:tc>
          <w:tcPr>
            <w:tcW w:w="380" w:type="dxa"/>
            <w:vAlign w:val="bottom"/>
          </w:tcPr>
          <w:p>
            <w:pPr>
              <w:jc w:val="right"/>
              <w:ind w:right="259"/>
              <w:spacing w:after="0"/>
              <w:rPr>
                <w:sz w:val="20"/>
                <w:szCs w:val="20"/>
                <w:color w:val="auto"/>
              </w:rPr>
            </w:pPr>
            <w:r>
              <w:rPr>
                <w:rFonts w:ascii="Times New Roman" w:cs="Times New Roman" w:eastAsia="Times New Roman" w:hAnsi="Times New Roman"/>
                <w:sz w:val="7"/>
                <w:szCs w:val="7"/>
                <w:color w:val="008000"/>
                <w:w w:val="72"/>
              </w:rPr>
              <w:t>(2)</w:t>
            </w:r>
          </w:p>
        </w:tc>
        <w:tc>
          <w:tcPr>
            <w:tcW w:w="520" w:type="dxa"/>
            <w:vAlign w:val="bottom"/>
          </w:tcPr>
          <w:p>
            <w:pPr>
              <w:ind w:left="200"/>
              <w:spacing w:after="0"/>
              <w:rPr>
                <w:sz w:val="20"/>
                <w:szCs w:val="20"/>
                <w:color w:val="auto"/>
              </w:rPr>
            </w:pPr>
            <w:r>
              <w:rPr>
                <w:rFonts w:ascii="Times New Roman" w:cs="Times New Roman" w:eastAsia="Times New Roman" w:hAnsi="Times New Roman"/>
                <w:sz w:val="8"/>
                <w:szCs w:val="8"/>
                <w:color w:val="008000"/>
              </w:rPr>
              <w:t>(2)</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13,298</w:t>
            </w:r>
          </w:p>
        </w:tc>
        <w:tc>
          <w:tcPr>
            <w:tcW w:w="820" w:type="dxa"/>
            <w:vAlign w:val="bottom"/>
            <w:gridSpan w:val="2"/>
          </w:tcPr>
          <w:p>
            <w:pPr>
              <w:ind w:left="42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0000FF"/>
              </w:rPr>
              <w:t>157,992</w:t>
            </w:r>
            <w:r>
              <w:rPr>
                <w:rFonts w:ascii="Times New Roman" w:cs="Times New Roman" w:eastAsia="Times New Roman" w:hAnsi="Times New Roman"/>
                <w:sz w:val="16"/>
                <w:szCs w:val="16"/>
                <w:color w:val="008000"/>
                <w:vertAlign w:val="superscript"/>
              </w:rPr>
              <w:t>(3)</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-1064260</wp:posOffset>
            </wp:positionV>
            <wp:extent cx="6997700" cy="1068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68070"/>
                    </a:xfrm>
                    <a:prstGeom prst="rect">
                      <a:avLst/>
                    </a:prstGeom>
                    <a:noFill/>
                  </pic:spPr>
                </pic:pic>
              </a:graphicData>
            </a:graphic>
          </wp:anchor>
        </w:drawing>
      </w: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represents a contingent right to receive one share of the Issuer's common stock.</w:t>
      </w:r>
    </w:p>
    <w:p>
      <w:pPr>
        <w:spacing w:after="0" w:line="35" w:lineRule="exact"/>
        <w:rPr>
          <w:rFonts w:ascii="Times New Roman" w:cs="Times New Roman" w:eastAsia="Times New Roman" w:hAnsi="Times New Roman"/>
          <w:sz w:val="10"/>
          <w:szCs w:val="10"/>
          <w:color w:val="008000"/>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April 1, 2020, the Reporting Person was granted 53,192 restricted stock units which vest 25% on April 1, 2020, 25% on July 1, 2020, 25% on October 1, 2020, and 25% on January 1, 2021 subject to the Reporting Person's continued service as a director of the Issuer.</w:t>
      </w:r>
    </w:p>
    <w:p>
      <w:pPr>
        <w:spacing w:after="0" w:line="35" w:lineRule="exact"/>
        <w:rPr>
          <w:rFonts w:ascii="Times New Roman" w:cs="Times New Roman" w:eastAsia="Times New Roman" w:hAnsi="Times New Roman"/>
          <w:sz w:val="10"/>
          <w:szCs w:val="10"/>
          <w:color w:val="008000"/>
        </w:rPr>
      </w:pPr>
    </w:p>
    <w:p>
      <w:pPr>
        <w:ind w:left="40" w:right="220" w:hanging="10"/>
        <w:spacing w:after="0" w:line="244"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November 12, 2020, the Reporting Person was granted 209,003 restricted stock units. 136,656 vest subject to the Reporting Person's continued service as an employee of the Issuer as follows: 64,309 on November 12, 2020; 24,117 on October 14, 2021; 24,115 on October 14, 2022; and 24,115 on October 14, 2023. 72,347 vest subject to the Reporting Person's continued service as an employee of the Issuer and achievement of certain performance goals established by the Issuer as follows: 24,117 on October 14, 2021; 24,115 on October 24, 2022; and 24,115 on October 24, 2023.</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William Gahan</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01/04/2021</w:t>
            </w:r>
          </w:p>
        </w:tc>
      </w:tr>
      <w:tr>
        <w:trPr>
          <w:trHeight w:val="20"/>
        </w:trPr>
        <w:tc>
          <w:tcPr>
            <w:tcW w:w="9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01/04/2021</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William Gahan</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118"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2021-01-04T16:37:40Z</dcterms:created>
  <dcterms:modified xsi:type="dcterms:W3CDTF">2021-01-04T16:37:40Z</dcterms:modified>
</cp:coreProperties>
</file>