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Bonventre Anthony Martin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 w:line="169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9"/>
                  <w:szCs w:val="19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66675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35" w:hanging="335"/>
        <w:spacing w:after="0"/>
        <w:tabs>
          <w:tab w:leader="none" w:pos="335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35" w:right="560"/>
        <w:spacing w:after="0" w:line="239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5" w:space="720"/>
            <w:col w:w="3155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93,120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-2002155</wp:posOffset>
            </wp:positionV>
            <wp:extent cx="7033260" cy="2014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12, 2021, the Reporting Person was granted 1,870 restricted stock units which vest 50% on February 12, 2022 and 50% on February 12, 2023 subject to the Reporting Person's continued employment with the Issuer.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Anthony Bonventre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943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2021-03-01T16:41:51Z</dcterms:created>
  <dcterms:modified xsi:type="dcterms:W3CDTF">2021-03-01T16:41:51Z</dcterms:modified>
</cp:coreProperties>
</file>