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13,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gridSpan w:val="3"/>
          </w:tcPr>
          <w:p>
            <w:pPr>
              <w:jc w:val="right"/>
              <w:ind w:right="1320"/>
              <w:spacing w:after="0"/>
              <w:rPr>
                <w:sz w:val="20"/>
                <w:szCs w:val="20"/>
                <w:color w:val="auto"/>
              </w:rPr>
            </w:pPr>
            <w:r>
              <w:rPr>
                <w:rFonts w:ascii="Arial" w:cs="Arial" w:eastAsia="Arial" w:hAnsi="Arial"/>
                <w:sz w:val="18"/>
                <w:szCs w:val="18"/>
                <w:b w:val="1"/>
                <w:bCs w:val="1"/>
                <w:color w:val="auto"/>
              </w:rPr>
              <w:t>001-37872</w:t>
            </w:r>
          </w:p>
        </w:tc>
        <w:tc>
          <w:tcPr>
            <w:tcW w:w="34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5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 incorporation)</w:t>
            </w:r>
          </w:p>
        </w:tc>
        <w:tc>
          <w:tcPr>
            <w:tcW w:w="3280" w:type="dxa"/>
            <w:vAlign w:val="bottom"/>
            <w:gridSpan w:val="4"/>
          </w:tcPr>
          <w:p>
            <w:pPr>
              <w:jc w:val="center"/>
              <w:ind w:right="86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03"/>
        </w:trPr>
        <w:tc>
          <w:tcPr>
            <w:tcW w:w="450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90"/>
              </w:rPr>
              <w:t>2001 Westside Parkway</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450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88"/>
              </w:rPr>
              <w:t>Suite 155</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4500" w:type="dxa"/>
            <w:vAlign w:val="bottom"/>
            <w:gridSpan w:val="3"/>
          </w:tcPr>
          <w:p>
            <w:pPr>
              <w:jc w:val="center"/>
              <w:ind w:left="1090"/>
              <w:spacing w:after="0"/>
              <w:rPr>
                <w:sz w:val="20"/>
                <w:szCs w:val="20"/>
                <w:color w:val="auto"/>
              </w:rPr>
            </w:pPr>
            <w:r>
              <w:rPr>
                <w:rFonts w:ascii="Arial" w:cs="Arial" w:eastAsia="Arial" w:hAnsi="Arial"/>
                <w:sz w:val="18"/>
                <w:szCs w:val="18"/>
                <w:b w:val="1"/>
                <w:bCs w:val="1"/>
                <w:color w:val="auto"/>
                <w:w w:val="93"/>
              </w:rPr>
              <w:t>Alpharetta, Georgia</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jc w:val="right"/>
              <w:ind w:right="2370"/>
              <w:spacing w:after="0"/>
              <w:rPr>
                <w:sz w:val="20"/>
                <w:szCs w:val="20"/>
                <w:color w:val="auto"/>
              </w:rPr>
            </w:pPr>
            <w:r>
              <w:rPr>
                <w:rFonts w:ascii="Arial" w:cs="Arial" w:eastAsia="Arial" w:hAnsi="Arial"/>
                <w:sz w:val="18"/>
                <w:szCs w:val="18"/>
                <w:b w:val="1"/>
                <w:bCs w:val="1"/>
                <w:color w:val="auto"/>
              </w:rPr>
              <w:t>30004</w:t>
            </w:r>
          </w:p>
        </w:tc>
      </w:tr>
      <w:tr>
        <w:trPr>
          <w:trHeight w:val="27"/>
        </w:trPr>
        <w:tc>
          <w:tcPr>
            <w:tcW w:w="45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500" w:type="dxa"/>
            <w:vAlign w:val="bottom"/>
            <w:gridSpan w:val="3"/>
          </w:tcPr>
          <w:p>
            <w:pPr>
              <w:jc w:val="center"/>
              <w:ind w:left="1090"/>
              <w:spacing w:after="0"/>
              <w:rPr>
                <w:sz w:val="20"/>
                <w:szCs w:val="20"/>
                <w:color w:val="auto"/>
              </w:rPr>
            </w:pPr>
            <w:r>
              <w:rPr>
                <w:rFonts w:ascii="Arial" w:cs="Arial" w:eastAsia="Arial" w:hAnsi="Arial"/>
                <w:sz w:val="18"/>
                <w:szCs w:val="18"/>
                <w:color w:val="auto"/>
                <w:w w:val="92"/>
              </w:rPr>
              <w:t>(Address of Principal Executive Offices)</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7300" w:type="dxa"/>
            <w:vAlign w:val="bottom"/>
            <w:gridSpan w:val="5"/>
          </w:tcPr>
          <w:p>
            <w:pPr>
              <w:ind w:left="8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78"/>
        </w:trPr>
        <w:tc>
          <w:tcPr>
            <w:tcW w:w="2980" w:type="dxa"/>
            <w:vAlign w:val="bottom"/>
          </w:tcPr>
          <w:p>
            <w:pPr>
              <w:jc w:val="center"/>
              <w:ind w:left="330"/>
              <w:spacing w:after="0"/>
              <w:rPr>
                <w:sz w:val="20"/>
                <w:szCs w:val="20"/>
                <w:color w:val="auto"/>
              </w:rPr>
            </w:pPr>
            <w:r>
              <w:rPr>
                <w:rFonts w:ascii="Arial" w:cs="Arial" w:eastAsia="Arial" w:hAnsi="Arial"/>
                <w:sz w:val="18"/>
                <w:szCs w:val="18"/>
                <w:b w:val="1"/>
                <w:bCs w:val="1"/>
                <w:color w:val="auto"/>
                <w:w w:val="87"/>
              </w:rPr>
              <w:t>Title of each class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2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jc w:val="center"/>
              <w:ind w:left="330"/>
              <w:spacing w:after="0"/>
              <w:rPr>
                <w:sz w:val="20"/>
                <w:szCs w:val="20"/>
                <w:color w:val="auto"/>
              </w:rPr>
            </w:pPr>
            <w:r>
              <w:rPr>
                <w:rFonts w:ascii="Arial" w:cs="Arial" w:eastAsia="Arial" w:hAnsi="Arial"/>
                <w:sz w:val="18"/>
                <w:szCs w:val="18"/>
                <w:color w:val="auto"/>
                <w:w w:val="90"/>
              </w:rPr>
              <w:t>Common stock, $0.001 par value</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PRTH</w:t>
            </w:r>
          </w:p>
        </w:tc>
        <w:tc>
          <w:tcPr>
            <w:tcW w:w="4400" w:type="dxa"/>
            <w:vAlign w:val="bottom"/>
          </w:tcPr>
          <w:p>
            <w:pPr>
              <w:ind w:left="1360"/>
              <w:spacing w:after="0"/>
              <w:rPr>
                <w:sz w:val="20"/>
                <w:szCs w:val="20"/>
                <w:color w:val="auto"/>
              </w:rPr>
            </w:pPr>
            <w:r>
              <w:rPr>
                <w:rFonts w:ascii="Arial" w:cs="Arial" w:eastAsia="Arial" w:hAnsi="Arial"/>
                <w:sz w:val="18"/>
                <w:szCs w:val="18"/>
                <w:color w:val="auto"/>
              </w:rPr>
              <w:t>Nasdaq Global Market</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500"/>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688"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13, 2019, Priority Technology Holdings, Inc. issued a press release announcing its financial results for the quarter ended June 30, 2019. A copy of that press release is attached as Exhibit 99.1 to this Current Report on Form 8-K.</w:t>
      </w:r>
    </w:p>
    <w:p>
      <w:pPr>
        <w:spacing w:after="0" w:line="3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200" w:lineRule="exact"/>
        <w:rPr>
          <w:sz w:val="20"/>
          <w:szCs w:val="20"/>
          <w:color w:val="auto"/>
        </w:rPr>
      </w:pPr>
    </w:p>
    <w:p>
      <w:pPr>
        <w:spacing w:after="0" w:line="3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 – The following exhibit is furnished as part of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268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6845" cy="8890"/>
                    </a:xfrm>
                    <a:prstGeom prst="rect">
                      <a:avLst/>
                    </a:prstGeom>
                    <a:noFill/>
                  </pic:spPr>
                </pic:pic>
              </a:graphicData>
            </a:graphic>
          </wp:anchor>
        </w:drawing>
      </w:r>
    </w:p>
    <w:p>
      <w:pPr>
        <w:spacing w:after="0" w:line="19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6"/>
          <w:szCs w:val="16"/>
          <w:u w:val="single" w:color="auto"/>
          <w:color w:val="0000FF"/>
        </w:rPr>
        <w:t>Press Release of Priority Technology Holdings, Inc. dated August 13,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13, 2019</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u w:val="single" w:color="auto"/>
          <w:color w:val="auto"/>
        </w:rPr>
        <w:t>By: /s/ Michael Vollkommer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Michael Vollkommer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58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14605</wp:posOffset>
            </wp:positionV>
            <wp:extent cx="176657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657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Investor and 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773-497-7575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ckettmann@lincolnchurchilladvisors.com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Priority Technology Holdings, Inc. Announces Second Quarter 2019 Financial Results</w:t>
      </w:r>
    </w:p>
    <w:p>
      <w:pPr>
        <w:spacing w:after="0" w:line="340"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ALPHARETTA, GA - August 13, 2019 -- Priority Technology Holdings, Inc. (NASDAQ: PRTH) (“Priority” or the “Company”), a leading fintech enterprise with strong core payments technology, today announced its second quarter 2019 financial results.</w:t>
      </w:r>
    </w:p>
    <w:p>
      <w:pPr>
        <w:spacing w:after="0" w:line="191" w:lineRule="exact"/>
        <w:rPr>
          <w:sz w:val="20"/>
          <w:szCs w:val="20"/>
          <w:color w:val="auto"/>
        </w:rPr>
      </w:pPr>
    </w:p>
    <w:p>
      <w:pPr>
        <w:ind w:left="5240"/>
        <w:spacing w:after="0"/>
        <w:rPr>
          <w:sz w:val="20"/>
          <w:szCs w:val="20"/>
          <w:color w:val="auto"/>
        </w:rPr>
      </w:pPr>
      <w:r>
        <w:rPr>
          <w:rFonts w:ascii="Arial" w:cs="Arial" w:eastAsia="Arial" w:hAnsi="Arial"/>
          <w:sz w:val="20"/>
          <w:szCs w:val="20"/>
          <w:b w:val="1"/>
          <w:bCs w:val="1"/>
          <w:u w:val="single" w:color="auto"/>
          <w:color w:val="auto"/>
        </w:rPr>
        <w:t>Highlights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Highlights of the second quarter 2019 financial results as compared with the second quarter of 2018 include:</w:t>
      </w:r>
    </w:p>
    <w:p>
      <w:pPr>
        <w:spacing w:after="0" w:line="205" w:lineRule="exact"/>
        <w:rPr>
          <w:sz w:val="20"/>
          <w:szCs w:val="20"/>
          <w:color w:val="auto"/>
        </w:rPr>
      </w:pPr>
    </w:p>
    <w:p>
      <w:pPr>
        <w:ind w:left="660" w:right="260" w:hanging="328"/>
        <w:spacing w:after="0" w:line="230"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20"/>
          <w:szCs w:val="20"/>
          <w:color w:val="auto"/>
        </w:rPr>
        <w:t xml:space="preserve">Consolidated revenue of $107.4 million increased 2.5%. Adjusted consolidated revenue </w:t>
      </w:r>
      <w:r>
        <w:rPr>
          <w:rFonts w:ascii="Arial" w:cs="Arial" w:eastAsia="Arial" w:hAnsi="Arial"/>
          <w:sz w:val="25"/>
          <w:szCs w:val="25"/>
          <w:color w:val="auto"/>
          <w:vertAlign w:val="superscript"/>
        </w:rPr>
        <w:t>(1)</w:t>
      </w:r>
      <w:r>
        <w:rPr>
          <w:rFonts w:ascii="Arial" w:cs="Arial" w:eastAsia="Arial" w:hAnsi="Arial"/>
          <w:sz w:val="20"/>
          <w:szCs w:val="20"/>
          <w:color w:val="auto"/>
        </w:rPr>
        <w:t>, a non- GAAP measure which excludes the impact of subscription-billing e-commerce merchants, of $105.8 million increased 17.0%.</w:t>
      </w: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20"/>
          <w:szCs w:val="20"/>
          <w:color w:val="auto"/>
        </w:rPr>
        <w:t>Total merchant bankcard processing dollar value grew 10.9% to $11.0 billion from $9.9 billion.</w:t>
      </w: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20"/>
          <w:szCs w:val="20"/>
          <w:color w:val="auto"/>
        </w:rPr>
        <w:t>Gross profit of $30.1 million increased $5.6 million, and gross profit margin increased 470 basis points from 23.4% to</w:t>
      </w:r>
    </w:p>
    <w:p>
      <w:pPr>
        <w:ind w:left="660" w:right="80"/>
        <w:spacing w:after="0" w:line="225" w:lineRule="auto"/>
        <w:rPr>
          <w:rFonts w:ascii="Arial" w:cs="Arial" w:eastAsia="Arial" w:hAnsi="Arial"/>
          <w:sz w:val="18"/>
          <w:szCs w:val="18"/>
          <w:color w:val="auto"/>
        </w:rPr>
      </w:pPr>
      <w:r>
        <w:rPr>
          <w:rFonts w:ascii="Arial" w:cs="Arial" w:eastAsia="Arial" w:hAnsi="Arial"/>
          <w:sz w:val="20"/>
          <w:szCs w:val="20"/>
          <w:color w:val="auto"/>
        </w:rPr>
        <w:t xml:space="preserve">28.1%. The Company’s non-GAAP gross profit metric </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represents consolidated revenue less costs of merchant card fees and other costs of services.</w:t>
      </w:r>
    </w:p>
    <w:p>
      <w:pPr>
        <w:spacing w:after="0" w:line="1" w:lineRule="exact"/>
        <w:rPr>
          <w:rFonts w:ascii="Arial" w:cs="Arial" w:eastAsia="Arial" w:hAnsi="Arial"/>
          <w:sz w:val="18"/>
          <w:szCs w:val="18"/>
          <w:color w:val="auto"/>
        </w:rPr>
      </w:pPr>
    </w:p>
    <w:p>
      <w:pPr>
        <w:ind w:left="660" w:right="60" w:hanging="328"/>
        <w:spacing w:after="0" w:line="232"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20"/>
          <w:szCs w:val="20"/>
          <w:color w:val="auto"/>
        </w:rPr>
        <w:t xml:space="preserve">Consolidated adjusted EBITDA of $14.9 million increased $4.3 million. The Company’s non- GAAP Consolidated adjusted EBITDA measure is earnings before interest, taxes, depreciation and amortization (EBITDA), further adjusted for non-cash compensation and certain other expenses considered non-recurring. Consolidated adjusted EBITDA </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$14.3 million, excluding the impact of subscription-billing e-commerce merchants, increased $7.8 million.</w:t>
      </w:r>
    </w:p>
    <w:p>
      <w:pPr>
        <w:ind w:left="660" w:right="620" w:hanging="328"/>
        <w:spacing w:after="0" w:line="24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20"/>
          <w:szCs w:val="20"/>
          <w:color w:val="auto"/>
        </w:rPr>
        <w:t>The Company repurchased 451,224 shares of its common stock in off-market transactions for a total amount of $2.4 million, an average of $5.29 per share.</w:t>
      </w:r>
    </w:p>
    <w:p>
      <w:pPr>
        <w:spacing w:after="0" w:line="386"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23"/>
          <w:szCs w:val="23"/>
          <w:color w:val="auto"/>
          <w:vertAlign w:val="superscript"/>
        </w:rPr>
      </w:pPr>
      <w:r>
        <w:rPr>
          <w:rFonts w:ascii="Arial" w:cs="Arial" w:eastAsia="Arial" w:hAnsi="Arial"/>
          <w:sz w:val="17"/>
          <w:szCs w:val="17"/>
          <w:color w:val="auto"/>
        </w:rPr>
        <w:t>See “Reconciliations of Non-GAAP Financial Measures” at the end of this earnings release for details regarding these measures.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rPr>
          <w:sz w:val="20"/>
          <w:szCs w:val="20"/>
          <w:color w:val="auto"/>
        </w:rPr>
      </w:pPr>
      <w:r>
        <w:rPr>
          <w:rFonts w:ascii="Arial" w:cs="Arial" w:eastAsia="Arial" w:hAnsi="Arial"/>
          <w:sz w:val="20"/>
          <w:szCs w:val="20"/>
          <w:color w:val="auto"/>
        </w:rPr>
        <w:t>"Our second quarter results reflected broad-based demand for Priority’s full suite of electronic payment solutions. Underlying growth in the Consumer Payments segment was fueled by strong growth in merchant bankcard volume, and we delivered steady improvement in Commercial Payments. Our Integrated Partners business group performed well in all industry verticals, including Healthcare, Hospitality and Real Estate, which has been supported by the successful business integration of the YapStone rent, dues, and storage payment assets. In addition, we are pleased that the re-boarding trend of subscription-billing e-commerce merchants is accelerating as part of our specialized merchant acquiring initiatives. We expect this portion of the business to become a year-over-year tailwind by the end of 2019,” said Tom Priore, Executive Chairman and CEO of Priority.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Discussion of Second Quarter Results</w:t>
      </w:r>
    </w:p>
    <w:p>
      <w:pPr>
        <w:spacing w:after="0" w:line="105"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comparative revenue and gross profit for the second quarter was negatively affected by the wind-down of high-margin accounts with certain subscription-billing e-commerce merchants. The wind-down of merchants in this channel was due to industry-wide changes for enhanced card association compliance. This revenue, which is included entirely within the Consumer Payments reportable segment, was $1.7 million and $14.4 million in the second quarters of 2019 and 2018, respectively. The corresponding gross profit and income from operations associated with this revenue was $0.7 million and $4.2 million in the second quarters of 2019 and 2018, respectively. References to adjusted revenue and adjusted income from operations exclude these amounts from the comparable results.</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Income from operations included certain operating expenses that the Company considers non-recurring in nature (“non-recurring expenses”). In the second quarter of 2019, non-recurring expenses were associated with allocation of purchase price to temporary free transition services from YapStone, Inc. related to the integration of the March 2019 asset acquisition, and certain litigation and advisory costs. In the second quarter of 2018, non-recurring expenses such as legal, accounting, advisory and consulting, were largely associated with conversion to a public company, and certain litigation costs. These operating expenses were $1.6 million and $ 3.4 million in the second quarters of 2019 and 2018, respectively. References to adjusted income from operations exclude these amounts from the comparable results.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w:t>
      </w:r>
    </w:p>
    <w:p>
      <w:pPr>
        <w:spacing w:after="0" w:line="1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Consolidated revenue in the second quarter of 2019 amounted to $107.4 million, an increase of $2.7 million, or 2.5% compared with the 2018 second quarter. Revenue growth rate was significantly restrained by the previously discussed wind-down of the subscription-billing e-commerce merchants. Consolidated adjusted revenue of $105.8 million increased $15.4 million, or 17.0%.</w:t>
      </w:r>
    </w:p>
    <w:p>
      <w:pPr>
        <w:spacing w:after="0" w:line="15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Total merchant bankcard volume processed in the second quarter of 2019 of $11.0 billion grew by 10.9%, as compared with $9.9 billion in the second quarter of 2018. Merchant bankcard transactions of 130.5 million in the second quarter of 2019 grew by 8.7%, as compared with 120.1 million in the second quarter of 2018. Average ticket (calculated by dividing bankcard volume processed by the associated number of transactions processed) of $83.92 grew 1.9% in the second quarter of 2019, as compared with $82.32 in the second quarter of 2018.</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Consumer Payments Reportable Segment</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Consumer Payments revenue in the second quarter of 2019 was $92.2 million, a decline of $5.5 million compared with the 2018 second quarter. Revenue from the subscription-billing e-commerce merchants declined $12.7 million. Consumer Payments adjusted revenue of $90.6 million increased $7.2 million, or 8.7%.</w:t>
      </w:r>
    </w:p>
    <w:p>
      <w:pPr>
        <w:spacing w:after="0" w:line="13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Merchant bankcard volume processed in the second quarter of 2019 of $ 10.8 billion grew by 9.7%, as compared with $ 9.8 billion in the second quarter of 2018. Merchant bankcard transactions of 130.1 million in the second quarter of 2019 grew by 8.4%, as compared with 120.0 million in the second quarter of 2018. Average ticket of $82.79 grew 1.2% in the second quarter of 2019, as compared with $81.82 in the second quarter of 2018.</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Commercial Payments Reportable Segment</w:t>
      </w:r>
    </w:p>
    <w:p>
      <w:pPr>
        <w:spacing w:after="0" w:line="1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Commercial Payments revenue in the second quarter of 2019 amounted to $7.1 million, a 3.1% increase over $ 6.9 million in the 2018 second quarter. Revenue from CPX accounts payable automated solutions of $1.8 million in the second quarter of 2019 increased 58.5% compared with the 2018 second quarter. Revenue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0" w:right="239" w:bottom="1440" w:gutter="0" w:footer="0" w:header="0"/>
        </w:sectPr>
      </w:pPr>
    </w:p>
    <w:bookmarkStart w:id="4" w:name="page5"/>
    <w:bookmarkEnd w:id="4"/>
    <w:p>
      <w:pPr>
        <w:jc w:val="both"/>
        <w:spacing w:after="0" w:line="272" w:lineRule="auto"/>
        <w:rPr>
          <w:sz w:val="20"/>
          <w:szCs w:val="20"/>
          <w:color w:val="auto"/>
        </w:rPr>
      </w:pPr>
      <w:r>
        <w:rPr>
          <w:rFonts w:ascii="Arial" w:cs="Arial" w:eastAsia="Arial" w:hAnsi="Arial"/>
          <w:sz w:val="19"/>
          <w:szCs w:val="19"/>
          <w:color w:val="auto"/>
        </w:rPr>
        <w:t>from curated managed services programs of $5.3 million in the second quarter of 2019 declined by $0.5 million compared with the 2018 second quarter. The managed services decline was largely driven by lower incentive revenue in the second quarter of 2019.</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Integrated Partners Reportable Segment</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Integrated Partners revenue in the second quarter of 2019 amounted to $8.1 million compared with $0.1 million in the second quarter of 2018. Priority Real Estate Technology (“PRET”) comprised $7.6 million of this reportable segment’s revenue in the second quarter of 2019. PRET is comprised of the assets acquired from YapStone, Inc. in March 2019 and the net assets acquired from RadPad Holdings, Inc. in July 2018. These acquisitions formed our real estate services business which provides a single platform for rent, dues and storage that meets the needs of all landlord constituents, spanning from integrated enterprise property managers to middle market partners and small/local landlords. Revenue from Priority PayRight Health Solutions and Priority Hospitality Technology, which commenced operations in April 2018 and February 2019, respectively, comprised the remainder of this reportable segment’s revenue.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from Operations: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Consolidated income from operations in the second quarter of 2019 was $2.4 million, compared with $3.2 million in the second quarter of 2018. Gross profit of $30.1 million increased $5.6 million. Depreciation and amortization of $ 9.8 million increased $5.7 million, and other operating expenses of $17.9 million increased $0.7 million. Other operating expenses included non-cash equity-based compensation of $1.0 million, an increase of $0.4 million, and included non-recurring operating expenses of $1.6 million, a decrease of $1.9 million. Consolidated adjusted income from operations of $3.4 million increased $0.9 million, or 37.2%.</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Consumer Payments Reportable Segment</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Consumer Payments income from operations in the second quarter of 2019 was $7.4 million, compared with $10.3 million in the second quarter of 2018. Gross profit of $23.4 million increased $1.9 million. Depreciation and amortization of $8.1 million increased $4.5 million, and other operating expenses of $8.0 million increased $0.4 million. Higher depreciation and amortization are related to acquisitions of affiliate assets and Direct Connect subsequent to the second quarter of 2018. Consumer Payments adjusted income from operations increased $0.6 million, or 9.0%.</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Commercial Payments Reportable Segment</w:t>
      </w:r>
    </w:p>
    <w:p>
      <w:pPr>
        <w:spacing w:after="0" w:line="1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Commercial Payments loss from operations in the second quarter of 2019 was $0.3 million, compared with $0.4 million in the second quarter of 2018. Gross profit of $3.1 million increased $0.2 million. Operating expenses of $3.4 million, including depreciation and amortization, increased $0.1 million.</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Integrated Partners Reportable Segment</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Integrated Partners income from operations in the second quarter of 2019 was $0.6 million, compared with a loss from operations of $0.2 million in the second quarter of 2018. Gross profit of $3.6 million increased $3.6 million. Depreciation and amortization of $1.1 million increased $1.1 million, and other operating expenses of $2.0 million increased $1.7 million. Depreciation and amortization are related to assets acquired in forming these business operations. Other operating expenses include $0.7 million of purchase price allocated to temporary free transition services from YapStone, Inc. related to integration of the March 2019 asset acquisition. Integrated Partners adjusted income from operations in the second quarter of 2019, excluding these non-recurring transition services, was $1.3 million.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76"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i w:val="1"/>
          <w:iCs w:val="1"/>
          <w:color w:val="auto"/>
        </w:rPr>
        <w:t>Corporate</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Corporate expense in the second quarter of 2019 amounted to $ 5.2 million, compared with $6.6 million in the second quarter of 2018. Non-recurring operating expenses were $0.8 million in the second quarter of 2019 and $3.4 million in the second quarter</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2018. Excluding non-recurring operating expenses, Corporate expense increased $1.3 million due largely to the establishment of a public-company corporate office.</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1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Interest expense of $ 10.8 million in the second quarter of 2019 increased by $3.1 million from $7.6 million in the 2018 second quarter. The increase is due to higher outstanding borrowings driven by debt financing of acquisitions subsequent to the second quarter of 2018.</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(Expenses), Net:</w:t>
      </w:r>
    </w:p>
    <w:p>
      <w:pPr>
        <w:spacing w:after="0" w:line="1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Other income, net of $0.1 million in the second quarter of 2019, compares with other expense, net of $1.2 million in the second quarter of 2018. The 2018 second quarter includes $0.8 million equity investment loss and $0.6 million of non-recurring expense primarily related to debt modification costs.</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25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provision for income taxes of $4.2 million for the six months ended June 30, 2019 is primarily driven by the impact of recognizing a valuation allowance on the deferred tax asset related to Internal Revenue Code Section 163(j) limitation on the deduction of business interest. Section 163(j) limits the business interest deduction to 30% of adjusted taxable income (ATI). For taxable years through 2021, the calculation of ATI closely aligns with earnings before interest, taxes, depreciation and amortization (EBITDA). Commencing in 2022, the ATI limitation more closely aligns with earnings before interest and taxes (EBIT), without adjusting for depreciation and amortization. Any business interest in excess of the annual limitation is carried forward indefinitely.</w:t>
      </w: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With respect to recording a deferred tax benefit for the carryforward of business interest, GAAP applies a "more likely than not" threshold for assessing recoverability. Based on our assessment, we recorded a valuation allowance in the second quarter of 2019 of $7.9 million for our business interest carryover comprised of (i) a discrete provision of $2.7 million associated with our 2018 business interest deferred tax asset and (ii) a provision of $5.2 million associated with our 2019 excess business interest, which is reflected in the 2019 effective tax rate.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 Partnership Updates</w:t>
      </w:r>
    </w:p>
    <w:p>
      <w:pPr>
        <w:spacing w:after="0" w:line="25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Priore added, "Our acquisition strategy remains focused on identifying markets that complement our existing portfolio and are experiencing consumer preference from check to electronic payment, such as real estate, healthcare and consumer finance to name a few. We will continue to make accretive tuck-in purchases within existing and new acquiring channels designed to improve earnings and lock in long-term revenue, while diversifying our platform within defensively positioned integrated verticals."</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1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Working capital (defined as current assets less current liabilities) was $2.5 million at June 30, 2019, compared with $21.1 million at December 31, 2018. Unrestricted cash amounted to $5.5 million at June 30, 2019, compared with $15.6 million at December 31, 2018. The use of short-term borrowings under a revolving</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60" w:right="239" w:bottom="1440" w:gutter="0" w:footer="0" w:header="0"/>
        </w:sectPr>
      </w:pPr>
    </w:p>
    <w:bookmarkStart w:id="6" w:name="page7"/>
    <w:bookmarkEnd w:id="6"/>
    <w:p>
      <w:pPr>
        <w:jc w:val="both"/>
        <w:spacing w:after="0" w:line="243" w:lineRule="auto"/>
        <w:rPr>
          <w:sz w:val="20"/>
          <w:szCs w:val="20"/>
          <w:color w:val="auto"/>
        </w:rPr>
      </w:pPr>
      <w:r>
        <w:rPr>
          <w:rFonts w:ascii="Arial" w:cs="Arial" w:eastAsia="Arial" w:hAnsi="Arial"/>
          <w:sz w:val="20"/>
          <w:szCs w:val="20"/>
          <w:color w:val="auto"/>
        </w:rPr>
        <w:t>credit facility and cash in connection with investing activities and repurchases of common stock during the six months ended June 30, 2019 drove the reduction in unrestricted cash balance and working capital. The Company currently has availability of $11.0 million under a revolving credit facility.</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0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As of June 30, 2019, total term debt amounted to $483.3 million, reflecting a drawdown on our syndicated debt facility for YapStone and other tuck-in acquisitions, compared to $412.7 million at December 31, 2018. The debt balance consisted of outstanding term debt of $390.8 million under the Senior Credit Facility and $92.5 million in term debt under the subordinated Goldman Sachs Credit Agreement (including accrued payment-in-kind (“PIK”) interest through June 30, 2019).</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Outlook</w:t>
      </w:r>
    </w:p>
    <w:p>
      <w:pPr>
        <w:spacing w:after="0" w:line="10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Priore concluded, “We remain confident in our ability to deliver full year revenue growth in 2019, despite a previously forecasted $50 million year over year revenue decline from the subscription e-commerce business, and continue to target Earnout Adjusted EBITDA (a non-GAAP measure) of approximately $75 million for the full year 2019. We’re forecasting an acceleration of revenue growth and EBITDA in the second half of 2019. Our specialized merchant acquiring program is expected to accelerate growth in Consumer Payments as we add more direct high margin merchants, and we anticipate the boarding of volume under existing customer contracts in Commercial Payments and Integrated Partners.”</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070707"/>
        </w:rPr>
        <w:t>Priority Technology Holdings, Inc.’s leadership will host a conference call on Wednesday, August 14,</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070707"/>
        </w:rPr>
        <w:t xml:space="preserve">2019 at 8:30 a.m. ET to discuss its second quarter 2019 financial results. Participants can access the call by </w:t>
      </w:r>
      <w:r>
        <w:rPr>
          <w:rFonts w:ascii="Arial" w:cs="Arial" w:eastAsia="Arial" w:hAnsi="Arial"/>
          <w:sz w:val="20"/>
          <w:szCs w:val="20"/>
          <w:color w:val="000000"/>
        </w:rPr>
        <w:t>Phone: US/Canada:</w:t>
      </w:r>
    </w:p>
    <w:p>
      <w:pPr>
        <w:spacing w:after="0"/>
        <w:rPr>
          <w:sz w:val="20"/>
          <w:szCs w:val="20"/>
          <w:color w:val="auto"/>
        </w:rPr>
      </w:pPr>
      <w:r>
        <w:rPr>
          <w:rFonts w:ascii="Arial" w:cs="Arial" w:eastAsia="Arial" w:hAnsi="Arial"/>
          <w:sz w:val="20"/>
          <w:szCs w:val="20"/>
          <w:color w:val="auto"/>
        </w:rPr>
        <w:t>(877) 501-3161 or International: (786) 815-8443.</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Internet webcast link and accompanying slide presentation can be accessed at https://edge.media-server.com/mmc/p/yvfw8i35 and will also be posted in the “Investor Relations” section of the Company’s website at www.PRTH.com.</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An audio replay of the call will be available shortly after the conference call until August 17, 2019 at 11:30 am Eastern Time. To listen to the audio replay, dial (855) 859-2056 or (404) 537-3406 and enter conference ID number 5666519. Alternatively, you may access the webcast replay in the “Investor Relations” section of the Company’s website at www.PRTH.com.</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Non-GAAP Financial Measures</w:t>
      </w:r>
    </w:p>
    <w:p>
      <w:pPr>
        <w:spacing w:after="0" w:line="10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regularly review the following key non-GAAP measures to evaluate our business and trends, measure our performance, prepare financial projections, allocate resources, and make strategic decisions. We believe these non-GAAP measures help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Revenue</w:t>
      </w:r>
    </w:p>
    <w:p>
      <w:pPr>
        <w:spacing w:after="0" w:line="10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Revenue for the quarter ended June 30, 2019 has been negatively affected by the closure of high-margin accounts with certain subscription-billing e-commerce merchants. The closure of merchants in this channel was due to industry-wide changes for enhanced card association compliance. We refer to adjusted revenue, which excludes these revenue amounts from the periods presented. We review this non-GAAP measure to evaluate our underlying revenue and trends.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76"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i w:val="1"/>
          <w:iCs w:val="1"/>
          <w:color w:val="auto"/>
        </w:rPr>
        <w:t>Gross Profit and Adjusted Gross Profit</w:t>
      </w:r>
    </w:p>
    <w:p>
      <w:pPr>
        <w:spacing w:after="0" w:line="105"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The Company’s non-GAAP gross profit metric represents revenue less costs of merchant card fees and other costs of services. Gross profit margin is gross profit divided by revenue. We review these non-GAAP measures to evaluate our underlying profit trends.</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Income from Operations</w:t>
      </w:r>
    </w:p>
    <w:p>
      <w:pPr>
        <w:spacing w:after="0" w:line="10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Income from operations for the quarter ended June 30, 2019 has also been negatively affected by the closure of the high-margin accounts with certain subscription-billing e-commerce merchants, as well as the incurrence of non-recurring operating expenses largely associated with our July 2018 Business Combination and conversion to a public company, such as legal, accounting, advisory and consulting expenses plus certain litigation costs. We refer to adjusted income from operations, which excludes this income from operations and non-recurring operating expenses for the periods presented. We review this non-GAAP measure to evaluate our underlying profitability performance and trends.</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EBITDA, Adjusted EBITDA and Earnout Adjusted EBITDA</w:t>
      </w:r>
    </w:p>
    <w:p>
      <w:pPr>
        <w:spacing w:after="0" w:line="321" w:lineRule="exact"/>
        <w:rPr>
          <w:sz w:val="20"/>
          <w:szCs w:val="20"/>
          <w:color w:val="auto"/>
        </w:rPr>
      </w:pPr>
    </w:p>
    <w:p>
      <w:pPr>
        <w:jc w:val="both"/>
        <w:spacing w:after="0"/>
        <w:rPr>
          <w:sz w:val="20"/>
          <w:szCs w:val="20"/>
          <w:color w:val="auto"/>
        </w:rPr>
      </w:pPr>
      <w:r>
        <w:rPr>
          <w:rFonts w:ascii="Arial" w:cs="Arial" w:eastAsia="Arial" w:hAnsi="Arial"/>
          <w:sz w:val="20"/>
          <w:szCs w:val="20"/>
          <w:color w:val="auto"/>
        </w:rPr>
        <w:t>EBITDA is earnings before interest, income tax, depreciation and amortization expenses (“EBITDA”). Adjusted EBITDA begins with EBITDA but further excludes certain non-cash expenses such as equity-based compensation and fair value adjustments, debt modification costs and non-recurring expenses such as Business Combination costs, litigation settlement costs, certain legal services costs, and professional, accounting and consulting fees. The calculation of Earnout Adjusted EBITDA includes adjustments for the pro-forma impact of acquisitions, as well as adjustments to exclude other professional and consulting fees and certain tax expenses and other adjustments. We review these non-GAAP EBITDA measures to evaluate our business and trends, measure our performance, prepare financial projections, allocate resources, and make strategic decisions.</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reconciliations of Adjusted Revenue, Gross Profit, Adjusted Gross Profit, Adjusted Income from Operations, Adjusted Consumer Payments Revenue, Adjusted Consumer Payments Income from Operations, EBITDA, Adjusted EBITDA and Earnout Adjusted EBITDA to the most directly comparable financial measures calculated and presented in accordance with GAAP, are shown in the attached schedules to this press release.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equity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Priority Technology Holdings, Inc.</w:t>
      </w:r>
    </w:p>
    <w:p>
      <w:pPr>
        <w:spacing w:after="0" w:line="10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Priority is a fintech enterprise with a leading core payments technology, offering unique product and service capabilities to its merchant network and distribution partners. Priority’s enterprise operates from a purpose- built business platform that includes tailored customer service offerings and bespoke technology development, allowing the Company to provide end-to-end solutions for payment and payment-adjacent opportunities. Additional information can be found at www.PRTH.com.</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30"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0A0A0A"/>
        </w:rPr>
        <w:t>Forward-Looking Statements</w:t>
      </w:r>
    </w:p>
    <w:p>
      <w:pPr>
        <w:spacing w:after="0" w:line="10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press release contains forward-looking statements that are subject to certain risks, trends and uncertainties that could cause actual results to differ materially from those projected, expressed, or implied by such forward-looking statements. In some cases, you can identify forward-looking statements by use of words such as “may,” “will,” “should,” “anticipates,” “believes,” “expects,” “plans,” “future,” “intends,” “could,” “estimate,” “predict,” “projects,” “targeting,” “potential” or “contingent,” the negative of these terms or other similar expressions. Our actual results could differ materially from those discussed or implied herein.</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for 2018 filed with the SEC on March 29, 2019. These filings are available online at www.sec.gov or www.PRTH.com.</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shd w:val="clear" w:color="auto" w:fill="CCEEFF"/>
          </w:tcPr>
          <w:p>
            <w:pPr>
              <w:spacing w:after="0"/>
              <w:rPr>
                <w:sz w:val="22"/>
                <w:szCs w:val="22"/>
                <w:color w:val="auto"/>
              </w:rPr>
            </w:pPr>
          </w:p>
        </w:tc>
        <w:tc>
          <w:tcPr>
            <w:tcW w:w="266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Quarter Ended June 30,</w:t>
            </w:r>
          </w:p>
        </w:tc>
        <w:tc>
          <w:tcPr>
            <w:tcW w:w="260" w:type="dxa"/>
            <w:vAlign w:val="bottom"/>
            <w:shd w:val="clear" w:color="auto" w:fill="CCEEFF"/>
          </w:tcPr>
          <w:p>
            <w:pPr>
              <w:spacing w:after="0"/>
              <w:rPr>
                <w:sz w:val="22"/>
                <w:szCs w:val="22"/>
                <w:color w:val="auto"/>
              </w:rPr>
            </w:pPr>
          </w:p>
        </w:tc>
        <w:tc>
          <w:tcPr>
            <w:tcW w:w="2580" w:type="dxa"/>
            <w:vAlign w:val="bottom"/>
            <w:gridSpan w:val="4"/>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43"/>
        </w:trPr>
        <w:tc>
          <w:tcPr>
            <w:tcW w:w="56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Merchant card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99,145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96,736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190,974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204,746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Outsourced services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15,612</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107,425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104,762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207,402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220,358</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of merchant card fees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140,480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158,400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Costs of outsourced services and other</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9,243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9,043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Salary and employee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18,414</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9,761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18,686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7,780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15,638</w:t>
            </w: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104,989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101,557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204,000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209,275</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6"/>
        </w:trPr>
        <w:tc>
          <w:tcPr>
            <w:tcW w:w="5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11,083</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0"/>
        </w:trPr>
        <w:tc>
          <w:tcPr>
            <w:tcW w:w="5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(5,329)</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expenses, net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(19,888)</w:t>
            </w:r>
          </w:p>
        </w:tc>
      </w:tr>
      <w:tr>
        <w:trPr>
          <w:trHeight w:val="169"/>
        </w:trPr>
        <w:tc>
          <w:tcPr>
            <w:tcW w:w="56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(8,805)</w:t>
            </w:r>
          </w:p>
        </w:tc>
      </w:tr>
      <w:tr>
        <w:trPr>
          <w:trHeight w:val="176"/>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56"/>
        </w:trPr>
        <w:tc>
          <w:tcPr>
            <w:tcW w:w="56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(8,805)</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6"/>
        </w:trPr>
        <w:tc>
          <w:tcPr>
            <w:tcW w:w="5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70"/>
        </w:trPr>
        <w:tc>
          <w:tcPr>
            <w:tcW w:w="5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 FORMA (C-corporation basis)</w:t>
            </w: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 forma income tax benefit</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(1,443)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 forma net loss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(7,362)</w:t>
            </w:r>
          </w:p>
        </w:tc>
      </w:tr>
      <w:tr>
        <w:trPr>
          <w:trHeight w:val="135"/>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 forma loss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0"/>
              <w:spacing w:after="0"/>
              <w:rPr>
                <w:sz w:val="20"/>
                <w:szCs w:val="20"/>
                <w:color w:val="auto"/>
              </w:rPr>
            </w:pPr>
            <w:r>
              <w:rPr>
                <w:rFonts w:ascii="Arial" w:cs="Arial" w:eastAsia="Arial" w:hAnsi="Arial"/>
                <w:sz w:val="18"/>
                <w:szCs w:val="18"/>
                <w:color w:val="auto"/>
              </w:rPr>
              <w:t>Basic and diluted</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June 30, 2019</w:t>
            </w: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Cash</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15,631</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49,564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45,651</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Current portion of notes receivable</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979</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82,882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85,145</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97"/>
        </w:trPr>
        <w:tc>
          <w:tcPr>
            <w:tcW w:w="7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Notes receivable, less current portion</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3,812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852</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 net</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109,515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109,515</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124,637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45,470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49,692</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r>
      <w:tr>
        <w:trPr>
          <w:trHeight w:val="297"/>
        </w:trPr>
        <w:tc>
          <w:tcPr>
            <w:tcW w:w="720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460,314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388,618</w:t>
            </w:r>
          </w:p>
        </w:tc>
      </w:tr>
      <w:tr>
        <w:trPr>
          <w:trHeight w:val="230"/>
        </w:trPr>
        <w:tc>
          <w:tcPr>
            <w:tcW w:w="7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DEFICIT</w:t>
            </w: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23,509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27,638</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residual commissions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18,715</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Customer deposits and advance payments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3,282</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outstanding on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3,293</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11,132</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80,381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64,060</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debt, net of current portion, discounts and debt issuance costs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472,503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402,095</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7,936</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480,533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410,031</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69"/>
        </w:trPr>
        <w:tc>
          <w:tcPr>
            <w:tcW w:w="7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560,914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474,091</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Stockholders' deficit:</w:t>
            </w: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at cost</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(106,116)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(85,540)</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Priority Technology Holdings, Inc. stockholders' deficit</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(85,473)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Non-controlling interest in a subsidiary</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stockholders' deficit</w:t>
            </w: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(85,473)</w:t>
            </w:r>
          </w:p>
        </w:tc>
      </w:tr>
      <w:tr>
        <w:trPr>
          <w:trHeight w:val="223"/>
        </w:trPr>
        <w:tc>
          <w:tcPr>
            <w:tcW w:w="7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r>
      <w:tr>
        <w:trPr>
          <w:trHeight w:val="264"/>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stockholders' deficit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460,314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388,618</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1440" w:gutter="0" w:footer="0" w:header="0"/>
          <w:type w:val="continuous"/>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shd w:val="clear" w:color="auto" w:fill="CCEEFF"/>
          </w:tcPr>
          <w:p>
            <w:pPr>
              <w:spacing w:after="0"/>
              <w:rPr>
                <w:sz w:val="22"/>
                <w:szCs w:val="22"/>
                <w:color w:val="auto"/>
              </w:rPr>
            </w:pPr>
          </w:p>
        </w:tc>
        <w:tc>
          <w:tcPr>
            <w:tcW w:w="2920" w:type="dxa"/>
            <w:vAlign w:val="bottom"/>
            <w:tcBorders>
              <w:bottom w:val="single" w:sz="8" w:color="auto"/>
            </w:tcBorders>
            <w:gridSpan w:val="3"/>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Six Months Ended June 30,</w:t>
            </w:r>
          </w:p>
        </w:tc>
      </w:tr>
      <w:tr>
        <w:trPr>
          <w:trHeight w:val="243"/>
        </w:trPr>
        <w:tc>
          <w:tcPr>
            <w:tcW w:w="8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(20,576)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(8,805)</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 to reconcile net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260"/>
              <w:spacing w:after="0"/>
              <w:rPr>
                <w:sz w:val="20"/>
                <w:szCs w:val="20"/>
                <w:color w:val="auto"/>
              </w:rPr>
            </w:pPr>
            <w:r>
              <w:rPr>
                <w:rFonts w:ascii="Arial" w:cs="Arial" w:eastAsia="Arial" w:hAnsi="Arial"/>
                <w:sz w:val="18"/>
                <w:szCs w:val="18"/>
                <w:color w:val="auto"/>
              </w:rPr>
              <w:t>Depreciation and amortization of assets</w:t>
            </w:r>
          </w:p>
        </w:tc>
        <w:tc>
          <w:tcPr>
            <w:tcW w:w="34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18,686</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7,780</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2,183</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r>
      <w:tr>
        <w:trPr>
          <w:trHeight w:val="243"/>
        </w:trPr>
        <w:tc>
          <w:tcPr>
            <w:tcW w:w="8020" w:type="dxa"/>
            <w:vAlign w:val="bottom"/>
          </w:tcPr>
          <w:p>
            <w:pPr>
              <w:ind w:left="260"/>
              <w:spacing w:after="0"/>
              <w:rPr>
                <w:sz w:val="20"/>
                <w:szCs w:val="20"/>
                <w:color w:val="auto"/>
              </w:rPr>
            </w:pPr>
            <w:r>
              <w:rPr>
                <w:rFonts w:ascii="Arial" w:cs="Arial" w:eastAsia="Arial" w:hAnsi="Arial"/>
                <w:sz w:val="18"/>
                <w:szCs w:val="18"/>
                <w:color w:val="auto"/>
              </w:rPr>
              <w:t>Amortization of debt issuance costs and discounts</w:t>
            </w:r>
          </w:p>
        </w:tc>
        <w:tc>
          <w:tcPr>
            <w:tcW w:w="34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819</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655</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 in loss and impairment of unconsolidated entities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r>
      <w:tr>
        <w:trPr>
          <w:trHeight w:val="243"/>
        </w:trPr>
        <w:tc>
          <w:tcPr>
            <w:tcW w:w="8020" w:type="dxa"/>
            <w:vAlign w:val="bottom"/>
          </w:tcPr>
          <w:p>
            <w:pPr>
              <w:ind w:left="260"/>
              <w:spacing w:after="0"/>
              <w:rPr>
                <w:sz w:val="20"/>
                <w:szCs w:val="20"/>
                <w:color w:val="auto"/>
              </w:rPr>
            </w:pPr>
            <w:r>
              <w:rPr>
                <w:rFonts w:ascii="Arial" w:cs="Arial" w:eastAsia="Arial" w:hAnsi="Arial"/>
                <w:sz w:val="18"/>
                <w:szCs w:val="18"/>
                <w:color w:val="auto"/>
              </w:rPr>
              <w:t>Provision for deferred income tax</w:t>
            </w:r>
          </w:p>
        </w:tc>
        <w:tc>
          <w:tcPr>
            <w:tcW w:w="34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4,222</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3,530</w:t>
            </w:r>
          </w:p>
        </w:tc>
      </w:tr>
      <w:tr>
        <w:trPr>
          <w:trHeight w:val="243"/>
        </w:trPr>
        <w:tc>
          <w:tcPr>
            <w:tcW w:w="8020" w:type="dxa"/>
            <w:vAlign w:val="bottom"/>
          </w:tcPr>
          <w:p>
            <w:pPr>
              <w:ind w:left="260"/>
              <w:spacing w:after="0"/>
              <w:rPr>
                <w:sz w:val="20"/>
                <w:szCs w:val="20"/>
                <w:color w:val="auto"/>
              </w:rPr>
            </w:pPr>
            <w:r>
              <w:rPr>
                <w:rFonts w:ascii="Arial" w:cs="Arial" w:eastAsia="Arial" w:hAnsi="Arial"/>
                <w:sz w:val="18"/>
                <w:szCs w:val="18"/>
                <w:color w:val="auto"/>
              </w:rPr>
              <w:t>Loss on debt extinguishment</w:t>
            </w:r>
          </w:p>
        </w:tc>
        <w:tc>
          <w:tcPr>
            <w:tcW w:w="34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541</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Payment-in-kind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2,479</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2,407</w:t>
            </w:r>
          </w:p>
        </w:tc>
      </w:tr>
      <w:tr>
        <w:trPr>
          <w:trHeight w:val="243"/>
        </w:trPr>
        <w:tc>
          <w:tcPr>
            <w:tcW w:w="8020" w:type="dxa"/>
            <w:vAlign w:val="bottom"/>
          </w:tcPr>
          <w:p>
            <w:pPr>
              <w:ind w:left="260"/>
              <w:spacing w:after="0"/>
              <w:rPr>
                <w:sz w:val="20"/>
                <w:szCs w:val="20"/>
                <w:color w:val="auto"/>
              </w:rPr>
            </w:pPr>
            <w:r>
              <w:rPr>
                <w:rFonts w:ascii="Arial" w:cs="Arial" w:eastAsia="Arial" w:hAnsi="Arial"/>
                <w:sz w:val="18"/>
                <w:szCs w:val="18"/>
                <w:color w:val="auto"/>
              </w:rPr>
              <w:t>Other non-cash</w:t>
            </w:r>
          </w:p>
        </w:tc>
        <w:tc>
          <w:tcPr>
            <w:tcW w:w="3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operating assets and liabilities, net of business combination: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(3,913)</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7,287</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Settlement assets and obligations, net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5,184</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2,583</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Notes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Accounts payable and other accrued liabilities</w:t>
            </w:r>
          </w:p>
        </w:tc>
        <w:tc>
          <w:tcPr>
            <w:tcW w:w="3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(4,909)</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 deposits and advance payments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343</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Other assets and liabilities</w:t>
            </w:r>
          </w:p>
        </w:tc>
        <w:tc>
          <w:tcPr>
            <w:tcW w:w="3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(1,136)</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3,720</w:t>
            </w:r>
          </w:p>
        </w:tc>
        <w:tc>
          <w:tcPr>
            <w:tcW w:w="4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14,920</w:t>
            </w:r>
          </w:p>
        </w:tc>
      </w:tr>
      <w:tr>
        <w:trPr>
          <w:trHeight w:val="210"/>
        </w:trPr>
        <w:tc>
          <w:tcPr>
            <w:tcW w:w="80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Payments for business acquisitions</w:t>
            </w:r>
          </w:p>
        </w:tc>
        <w:tc>
          <w:tcPr>
            <w:tcW w:w="3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Additions to property, equipment and software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(5,352)</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(5,721)</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Acquisitions of merchant portfolios and assets</w:t>
            </w:r>
          </w:p>
        </w:tc>
        <w:tc>
          <w:tcPr>
            <w:tcW w:w="3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(81,240)</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(8,225)</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Note receivable loan funding</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4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020" w:type="dxa"/>
            <w:vAlign w:val="bottom"/>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(89,776)</w:t>
            </w:r>
          </w:p>
        </w:tc>
        <w:tc>
          <w:tcPr>
            <w:tcW w:w="4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(14,258)</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issuance of long-term debt, net of issue discount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69,650</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67,113</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Repayment of long-term debt</w:t>
            </w:r>
          </w:p>
        </w:tc>
        <w:tc>
          <w:tcPr>
            <w:tcW w:w="3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(1,825)</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(1,341)</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Borrowings under revolving credit facility</w:t>
            </w:r>
          </w:p>
        </w:tc>
        <w:tc>
          <w:tcPr>
            <w:tcW w:w="34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14,000</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 to members prior to July 25, 2018 recapitalization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(6,337)</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Redemptions of membership interests prior to July 25, 2018 recapitalization</w:t>
            </w:r>
          </w:p>
        </w:tc>
        <w:tc>
          <w:tcPr>
            <w:tcW w:w="34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(74,093)</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Repurchases of 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(2,388)</w:t>
            </w:r>
          </w:p>
        </w:tc>
        <w:tc>
          <w:tcPr>
            <w:tcW w:w="4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020" w:type="dxa"/>
            <w:vAlign w:val="bottom"/>
          </w:tcPr>
          <w:p>
            <w:pPr>
              <w:ind w:left="2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79,437</w:t>
            </w:r>
          </w:p>
        </w:tc>
        <w:tc>
          <w:tcPr>
            <w:tcW w:w="4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(14,980)</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restricted cash:</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change in cash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(6,619)</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(14,318)</w:t>
            </w: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Cash and restricted cash at beginning of year</w:t>
            </w:r>
          </w:p>
        </w:tc>
        <w:tc>
          <w:tcPr>
            <w:tcW w:w="34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33,831</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44,159</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restricted cash at June 30</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27,212</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29,841</w:t>
            </w: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160"/>
              <w:spacing w:after="0"/>
              <w:rPr>
                <w:sz w:val="20"/>
                <w:szCs w:val="20"/>
                <w:color w:val="auto"/>
              </w:rPr>
            </w:pPr>
            <w:r>
              <w:rPr>
                <w:rFonts w:ascii="Arial" w:cs="Arial" w:eastAsia="Arial" w:hAnsi="Arial"/>
                <w:sz w:val="18"/>
                <w:szCs w:val="18"/>
                <w:color w:val="auto"/>
              </w:rPr>
              <w:t>Cash paid for interest, net of payment-in-kind 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16,595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11,926</w:t>
            </w:r>
          </w:p>
        </w:tc>
      </w:tr>
    </w:tbl>
    <w:p>
      <w:pPr>
        <w:spacing w:after="0" w:line="200" w:lineRule="exact"/>
        <w:rPr>
          <w:sz w:val="20"/>
          <w:szCs w:val="20"/>
          <w:color w:val="auto"/>
        </w:rPr>
      </w:pPr>
    </w:p>
    <w:p>
      <w:pPr>
        <w:sectPr>
          <w:pgSz w:w="11900" w:h="16838" w:orient="portrait"/>
          <w:cols w:equalWidth="0" w:num="1">
            <w:col w:w="11280"/>
          </w:cols>
          <w:pgMar w:left="320" w:top="580" w:right="299" w:bottom="1440" w:gutter="0" w:footer="0" w:header="0"/>
        </w:sectPr>
      </w:pP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20" w:top="580" w:right="299" w:bottom="1440" w:gutter="0" w:footer="0" w:header="0"/>
          <w:type w:val="continuous"/>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Reportable Segments' Results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22"/>
                <w:szCs w:val="22"/>
                <w:color w:val="auto"/>
              </w:rPr>
            </w:pPr>
          </w:p>
        </w:tc>
        <w:tc>
          <w:tcPr>
            <w:tcW w:w="2860" w:type="dxa"/>
            <w:vAlign w:val="bottom"/>
            <w:tcBorders>
              <w:bottom w:val="single" w:sz="8" w:color="auto"/>
            </w:tcBorders>
            <w:gridSpan w:val="4"/>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Quarter Ended June 30,</w:t>
            </w:r>
          </w:p>
        </w:tc>
        <w:tc>
          <w:tcPr>
            <w:tcW w:w="120" w:type="dxa"/>
            <w:vAlign w:val="bottom"/>
            <w:shd w:val="clear" w:color="auto" w:fill="CCEEFF"/>
          </w:tcPr>
          <w:p>
            <w:pPr>
              <w:spacing w:after="0"/>
              <w:rPr>
                <w:sz w:val="22"/>
                <w:szCs w:val="22"/>
                <w:color w:val="auto"/>
              </w:rPr>
            </w:pPr>
          </w:p>
        </w:tc>
        <w:tc>
          <w:tcPr>
            <w:tcW w:w="212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w w:val="89"/>
              </w:rPr>
              <w:t>Six Months Ended June 30,</w:t>
            </w:r>
          </w:p>
        </w:tc>
        <w:tc>
          <w:tcPr>
            <w:tcW w:w="1060" w:type="dxa"/>
            <w:vAlign w:val="bottom"/>
            <w:tcBorders>
              <w:bottom w:val="single" w:sz="8" w:color="auto"/>
            </w:tcBorders>
            <w:shd w:val="clear" w:color="auto" w:fill="CCEEFF"/>
          </w:tcPr>
          <w:p>
            <w:pPr>
              <w:spacing w:after="0"/>
              <w:rPr>
                <w:sz w:val="22"/>
                <w:szCs w:val="22"/>
                <w:color w:val="auto"/>
              </w:rPr>
            </w:pPr>
          </w:p>
        </w:tc>
      </w:tr>
      <w:tr>
        <w:trPr>
          <w:trHeight w:val="243"/>
        </w:trPr>
        <w:tc>
          <w:tcPr>
            <w:tcW w:w="4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Consumer Payments: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92,249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97,732</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182,071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206,713</w:t>
            </w: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84,886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87,386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166,989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181,152</w:t>
            </w:r>
          </w:p>
        </w:tc>
      </w:tr>
      <w:tr>
        <w:trPr>
          <w:trHeight w:val="27"/>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7,363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10,346</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15,082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25,561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580" w:type="dxa"/>
            <w:vAlign w:val="bottom"/>
          </w:tcPr>
          <w:p>
            <w:pPr>
              <w:ind w:left="160"/>
              <w:spacing w:after="0"/>
              <w:rPr>
                <w:sz w:val="20"/>
                <w:szCs w:val="20"/>
                <w:color w:val="auto"/>
              </w:rPr>
            </w:pPr>
            <w:r>
              <w:rPr>
                <w:rFonts w:ascii="Arial" w:cs="Arial" w:eastAsia="Arial" w:hAnsi="Arial"/>
                <w:sz w:val="18"/>
                <w:szCs w:val="18"/>
                <w:color w:val="auto"/>
              </w:rPr>
              <w:t>Operating margin</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12.4 %</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3,646</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15,913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7,082</w:t>
            </w:r>
          </w:p>
        </w:tc>
      </w:tr>
      <w:tr>
        <w:trPr>
          <w:trHeight w:val="243"/>
        </w:trPr>
        <w:tc>
          <w:tcPr>
            <w:tcW w:w="4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10,774,149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9,820,496</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20,984,904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88"/>
              </w:rPr>
              <w:t>18,904,723</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130,146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120,020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251,030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230,425</w:t>
            </w:r>
          </w:p>
        </w:tc>
      </w:tr>
      <w:tr>
        <w:trPr>
          <w:trHeight w:val="216"/>
        </w:trPr>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Commercial Payments: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6,883</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14,075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13,498</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7,381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14,808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14,202</w:t>
            </w:r>
          </w:p>
        </w:tc>
      </w:tr>
      <w:tr>
        <w:trPr>
          <w:trHeight w:val="297"/>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(704)</w:t>
            </w:r>
          </w:p>
        </w:tc>
      </w:tr>
      <w:tr>
        <w:trPr>
          <w:trHeight w:val="237"/>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margin</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144</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284</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4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74,528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61,867</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144,426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117,403</w:t>
            </w: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Merchant bankcard transaction volume</w:t>
            </w:r>
          </w:p>
        </w:tc>
        <w:tc>
          <w:tcPr>
            <w:tcW w:w="3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56</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4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Integrated Partners: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147</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11,256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147</w:t>
            </w: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7,505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10,917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349</w:t>
            </w:r>
          </w:p>
        </w:tc>
      </w:tr>
      <w:tr>
        <w:trPr>
          <w:trHeight w:val="27"/>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(202)</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580" w:type="dxa"/>
            <w:vAlign w:val="bottom"/>
          </w:tcPr>
          <w:p>
            <w:pPr>
              <w:ind w:left="160"/>
              <w:spacing w:after="0"/>
              <w:rPr>
                <w:sz w:val="20"/>
                <w:szCs w:val="20"/>
                <w:color w:val="auto"/>
              </w:rPr>
            </w:pPr>
            <w:r>
              <w:rPr>
                <w:rFonts w:ascii="Arial" w:cs="Arial" w:eastAsia="Arial" w:hAnsi="Arial"/>
                <w:sz w:val="18"/>
                <w:szCs w:val="18"/>
                <w:color w:val="auto"/>
              </w:rPr>
              <w:t>Operating margin</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(137.4)%</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106,162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140,147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97"/>
        </w:trPr>
        <w:tc>
          <w:tcPr>
            <w:tcW w:w="4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 of segments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7,653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9,767</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14,688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24,655</w:t>
            </w: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Less: Corporate expenses</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(5,217)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(6,562)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(11,286)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(13,572)</w:t>
            </w:r>
          </w:p>
        </w:tc>
      </w:tr>
      <w:tr>
        <w:trPr>
          <w:trHeight w:val="27"/>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from operations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3,205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3,402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11,083</w:t>
            </w: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Corporate depreciation and amortization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223</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414</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bankcard processing dollar value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10,954,839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9,882,363</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21,269,477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8"/>
              </w:rPr>
              <w:t>19,022,126</w:t>
            </w:r>
          </w:p>
        </w:tc>
      </w:tr>
      <w:tr>
        <w:trPr>
          <w:trHeight w:val="243"/>
        </w:trPr>
        <w:tc>
          <w:tcPr>
            <w:tcW w:w="4580" w:type="dxa"/>
            <w:vAlign w:val="bottom"/>
          </w:tcPr>
          <w:p>
            <w:pPr>
              <w:ind w:left="160"/>
              <w:spacing w:after="0"/>
              <w:rPr>
                <w:sz w:val="20"/>
                <w:szCs w:val="20"/>
                <w:color w:val="auto"/>
              </w:rPr>
            </w:pPr>
            <w:r>
              <w:rPr>
                <w:rFonts w:ascii="Arial" w:cs="Arial" w:eastAsia="Arial" w:hAnsi="Arial"/>
                <w:sz w:val="18"/>
                <w:szCs w:val="18"/>
                <w:color w:val="auto"/>
              </w:rPr>
              <w:t>Merchant bankcard transaction volume</w:t>
            </w:r>
          </w:p>
        </w:tc>
        <w:tc>
          <w:tcPr>
            <w:tcW w:w="3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130,538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120,050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251,580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230,481</w:t>
            </w:r>
          </w:p>
        </w:tc>
      </w:tr>
    </w:tbl>
    <w:p>
      <w:pPr>
        <w:spacing w:after="0" w:line="200" w:lineRule="exact"/>
        <w:rPr>
          <w:sz w:val="20"/>
          <w:szCs w:val="20"/>
          <w:color w:val="auto"/>
        </w:rPr>
      </w:pPr>
    </w:p>
    <w:p>
      <w:pPr>
        <w:sectPr>
          <w:pgSz w:w="11900" w:h="16838" w:orient="portrait"/>
          <w:cols w:equalWidth="0" w:num="1">
            <w:col w:w="11040"/>
          </w:cols>
          <w:pgMar w:left="440" w:top="580" w:right="419" w:bottom="1440" w:gutter="0" w:footer="0" w:header="0"/>
        </w:sect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40"/>
          </w:cols>
          <w:pgMar w:left="440" w:top="580" w:right="41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non-GAAP reconciliations of Adjusted Consolidated Revenue, Consolidated Gross Profit and Gross Profit Margin, Adjusted Consolidated Gross Profit and Gross Profit Margin, Adjusted Consolidated Income from Operations, Adjusted Consumer Payments Revenue, and Adjusted Consumer Payments Income from Operations to the most directly comparable financial measures calculated and presented in accordance with GAAP, are shown in the following tables: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w:t>
            </w:r>
          </w:p>
        </w:tc>
        <w:tc>
          <w:tcPr>
            <w:tcW w:w="10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6"/>
                <w:szCs w:val="16"/>
                <w:b w:val="1"/>
                <w:bCs w:val="1"/>
                <w:color w:val="auto"/>
              </w:rPr>
              <w:t>Quarter Ended June 30,</w:t>
            </w:r>
          </w:p>
        </w:tc>
        <w:tc>
          <w:tcPr>
            <w:tcW w:w="22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gridSpan w:val="4"/>
            <w:shd w:val="clear" w:color="auto" w:fill="CCEEFF"/>
          </w:tcPr>
          <w:p>
            <w:pPr>
              <w:jc w:val="right"/>
              <w:ind w:right="210"/>
              <w:spacing w:after="0"/>
              <w:rPr>
                <w:sz w:val="20"/>
                <w:szCs w:val="20"/>
                <w:color w:val="auto"/>
              </w:rPr>
            </w:pPr>
            <w:r>
              <w:rPr>
                <w:rFonts w:ascii="Arial" w:cs="Arial" w:eastAsia="Arial" w:hAnsi="Arial"/>
                <w:sz w:val="16"/>
                <w:szCs w:val="16"/>
                <w:b w:val="1"/>
                <w:bCs w:val="1"/>
                <w:color w:val="auto"/>
                <w:w w:val="95"/>
              </w:rPr>
              <w:t>Six Months Ended June 30,</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Consolidated revenue (GAAP)</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107,425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104,762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207,402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220,358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revenue from certain e-commerce merchants</w:t>
            </w:r>
          </w:p>
        </w:tc>
        <w:tc>
          <w:tcPr>
            <w:tcW w:w="10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(46,039)</w:t>
            </w:r>
          </w:p>
        </w:tc>
        <w:tc>
          <w:tcPr>
            <w:tcW w:w="0" w:type="dxa"/>
            <w:vAlign w:val="bottom"/>
          </w:tcPr>
          <w:p>
            <w:pPr>
              <w:spacing w:after="0"/>
              <w:rPr>
                <w:sz w:val="1"/>
                <w:szCs w:val="1"/>
                <w:color w:val="auto"/>
              </w:rPr>
            </w:pPr>
          </w:p>
        </w:tc>
      </w:tr>
      <w:tr>
        <w:trPr>
          <w:trHeight w:val="297"/>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Adjusted consolidated revenue (non-GAAP)</w:t>
            </w:r>
          </w:p>
        </w:tc>
        <w:tc>
          <w:tcPr>
            <w:tcW w:w="10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105,756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90,387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201,827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174,319</w:t>
            </w:r>
          </w:p>
        </w:tc>
        <w:tc>
          <w:tcPr>
            <w:tcW w:w="0" w:type="dxa"/>
            <w:vAlign w:val="bottom"/>
          </w:tcPr>
          <w:p>
            <w:pPr>
              <w:spacing w:after="0"/>
              <w:rPr>
                <w:sz w:val="1"/>
                <w:szCs w:val="1"/>
                <w:color w:val="auto"/>
              </w:rPr>
            </w:pPr>
          </w:p>
        </w:tc>
      </w:tr>
      <w:tr>
        <w:trPr>
          <w:trHeight w:val="311"/>
        </w:trPr>
        <w:tc>
          <w:tcPr>
            <w:tcW w:w="5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Consolidated costs of services</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costs of merchant card fees</w:t>
            </w: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72,609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75,587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140,480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158,400</w:t>
            </w: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Consolidated costs of outsourced services and other</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4,677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9,243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9,043</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77,286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80,254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149,723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167,443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gross profit (non-GAAP)</w:t>
            </w:r>
          </w:p>
        </w:tc>
        <w:tc>
          <w:tcPr>
            <w:tcW w:w="12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30,139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57,679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52,915</w:t>
            </w: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Less: gross profit of certain e-commerce merchants</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Adjusted consolidated gross profit (non-GAAP)</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29,478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20,312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55,396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38,684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gross profit margin (non-GAAP)</w:t>
            </w:r>
          </w:p>
        </w:tc>
        <w:tc>
          <w:tcPr>
            <w:tcW w:w="10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Adjusted consolidated gross profit margin (non-GAAP)</w:t>
            </w:r>
          </w:p>
        </w:tc>
        <w:tc>
          <w:tcPr>
            <w:tcW w:w="10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Consolidated income from operations (GAAP)</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rPr>
              <w:t>2,436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rPr>
              <w:t>3,205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3,402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11,083</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revenue from certain e-commerce merchants</w:t>
            </w: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(46,039)</w:t>
            </w: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Add: operating expenses of certain e-commerce merchants</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3,292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31,808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non-recurring operating expenses</w:t>
            </w:r>
          </w:p>
        </w:tc>
        <w:tc>
          <w:tcPr>
            <w:tcW w:w="10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97"/>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Adjusted consolidated income from operations (non-GAAP)</w:t>
            </w:r>
          </w:p>
        </w:tc>
        <w:tc>
          <w:tcPr>
            <w:tcW w:w="10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3,351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2,442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3,880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3,615</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Consumer Payments revenue (GAAP)</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rPr>
              <w:t>92,249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rPr>
              <w:t>97,732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rPr>
              <w:t>182,071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206,713</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revenue from certain e-commerce merchants</w:t>
            </w:r>
          </w:p>
        </w:tc>
        <w:tc>
          <w:tcPr>
            <w:tcW w:w="10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(46,039)</w:t>
            </w:r>
          </w:p>
        </w:tc>
        <w:tc>
          <w:tcPr>
            <w:tcW w:w="0" w:type="dxa"/>
            <w:vAlign w:val="bottom"/>
          </w:tcPr>
          <w:p>
            <w:pPr>
              <w:spacing w:after="0"/>
              <w:rPr>
                <w:sz w:val="1"/>
                <w:szCs w:val="1"/>
                <w:color w:val="auto"/>
              </w:rPr>
            </w:pPr>
          </w:p>
        </w:tc>
      </w:tr>
      <w:tr>
        <w:trPr>
          <w:trHeight w:val="297"/>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Adjusted Consumer Payments revenue (non-GAAP)</w:t>
            </w:r>
          </w:p>
        </w:tc>
        <w:tc>
          <w:tcPr>
            <w:tcW w:w="10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90,580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83,357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176,496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160,674</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Consumer Payments income from operations (GAAP)</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7,363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10,346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15,082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25,561</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revenue from certain e-commerce merchants</w:t>
            </w: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(46,039)</w:t>
            </w: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Add: operating expenses of certain e-commerce merchants</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3,292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31,808</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Adjusted Consumer Payments income from operations (non-GAAP)</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6,702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6,150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12,799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11,330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4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Reconciliations of Non-GAAP EBITDA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non-GAAP reconciliations of Consolidated EBITDA, Consolidated Adjusted EBITDA, Consolidated Earnout Adjusted EBITDA, and Consolidated Adjusted EBITDA excluding certain subscription-billing e-commerce merchants to consolidated net loss, the most directly comparable financial measures calculated and presented in accordance with GAAP, are shown in the tables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shd w:val="clear" w:color="auto" w:fill="CCEEFF"/>
          </w:tcPr>
          <w:p>
            <w:pPr>
              <w:spacing w:after="0"/>
              <w:rPr>
                <w:sz w:val="22"/>
                <w:szCs w:val="22"/>
                <w:color w:val="auto"/>
              </w:rPr>
            </w:pPr>
          </w:p>
        </w:tc>
        <w:tc>
          <w:tcPr>
            <w:tcW w:w="2440" w:type="dxa"/>
            <w:vAlign w:val="bottom"/>
            <w:gridSpan w:val="5"/>
            <w:shd w:val="clear" w:color="auto" w:fill="CCEEFF"/>
          </w:tcPr>
          <w:p>
            <w:pPr>
              <w:ind w:left="140"/>
              <w:spacing w:after="0"/>
              <w:rPr>
                <w:sz w:val="20"/>
                <w:szCs w:val="20"/>
                <w:color w:val="auto"/>
              </w:rPr>
            </w:pPr>
            <w:r>
              <w:rPr>
                <w:rFonts w:ascii="Arial" w:cs="Arial" w:eastAsia="Arial" w:hAnsi="Arial"/>
                <w:sz w:val="18"/>
                <w:szCs w:val="18"/>
                <w:b w:val="1"/>
                <w:bCs w:val="1"/>
                <w:color w:val="auto"/>
              </w:rPr>
              <w:t>Quarter Ended June 30,</w:t>
            </w:r>
          </w:p>
        </w:tc>
        <w:tc>
          <w:tcPr>
            <w:tcW w:w="240" w:type="dxa"/>
            <w:vAlign w:val="bottom"/>
            <w:shd w:val="clear" w:color="auto" w:fill="CCEEFF"/>
          </w:tcPr>
          <w:p>
            <w:pPr>
              <w:spacing w:after="0"/>
              <w:rPr>
                <w:sz w:val="22"/>
                <w:szCs w:val="22"/>
                <w:color w:val="auto"/>
              </w:rPr>
            </w:pPr>
          </w:p>
        </w:tc>
        <w:tc>
          <w:tcPr>
            <w:tcW w:w="256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43"/>
        </w:trPr>
        <w:tc>
          <w:tcPr>
            <w:tcW w:w="57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7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Consolidated net loss (GAAP)</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(14,130)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(5,628)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(20,576)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(8,805)</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 (1)</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14,559</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Add: Depreciation and amortization</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9,761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18,686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7,780</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Consolidated EBITDA (non-GAAP)</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12,335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22,453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13,534</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Further adjusted by:</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Add: Non-cash equity-based compensation</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795</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5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 Debt modification/extinguishment costs and warrant fair value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4,853</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Add: Certain legal expenses (2)</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3,182</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Professional, accounting and consulting fees (3)</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3,581</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Add: Transition services for acquisition (4)</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Adjusted EBITDA (non-GAAP)</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25,945</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Further adjusted by:</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Pro-forma impact of acquisitions (5)</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4,353</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Add: Other professional and consulting fees</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624</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Contracted revenue and savings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Add: Other tax expenses and other adjustments</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1,229</w:t>
            </w: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Earnout Adjusted EBITDA (non-GAAP) (6)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31,161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32,849</w:t>
            </w: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0057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0570" cy="17145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Consolidated Adjusted EBITDA (non-GAAP)</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5640" w:type="dxa"/>
            <w:vAlign w:val="bottom"/>
          </w:tcPr>
          <w:p>
            <w:pPr>
              <w:ind w:left="140"/>
              <w:spacing w:after="0"/>
              <w:rPr>
                <w:sz w:val="20"/>
                <w:szCs w:val="20"/>
                <w:color w:val="auto"/>
              </w:rPr>
            </w:pPr>
            <w:r>
              <w:rPr>
                <w:rFonts w:ascii="Arial" w:cs="Arial" w:eastAsia="Arial" w:hAnsi="Arial"/>
                <w:sz w:val="18"/>
                <w:szCs w:val="18"/>
                <w:color w:val="auto"/>
              </w:rPr>
              <w:t>Less: Gross profit from certain e-commerce merchants</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5640" w:type="dxa"/>
            <w:vAlign w:val="bottom"/>
          </w:tcPr>
          <w:p>
            <w:pPr>
              <w:spacing w:after="0"/>
              <w:rPr>
                <w:sz w:val="20"/>
                <w:szCs w:val="20"/>
                <w:color w:val="auto"/>
              </w:rPr>
            </w:pPr>
            <w:r>
              <w:rPr>
                <w:rFonts w:ascii="Arial" w:cs="Arial" w:eastAsia="Arial" w:hAnsi="Arial"/>
                <w:sz w:val="18"/>
                <w:szCs w:val="18"/>
                <w:b w:val="1"/>
                <w:bCs w:val="1"/>
                <w:color w:val="auto"/>
                <w:w w:val="91"/>
              </w:rPr>
              <w:t>Consolidated Adjusted EBITDA excluding certain subscription-billing e-</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commerce merchants (non-GAAP)</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0057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14,935</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10,645</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27,398</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25,945</w:t>
            </w:r>
          </w:p>
        </w:tc>
      </w:tr>
      <w:tr>
        <w:trPr>
          <w:trHeight w:val="270"/>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(661)</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(14,231)</w:t>
            </w:r>
          </w:p>
        </w:tc>
      </w:tr>
      <w:tr>
        <w:trPr>
          <w:trHeight w:val="27"/>
        </w:trPr>
        <w:tc>
          <w:tcPr>
            <w:tcW w:w="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26"/>
        </w:trPr>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14,274</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6,449</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25,115</w:t>
            </w:r>
          </w:p>
        </w:tc>
        <w:tc>
          <w:tcPr>
            <w:tcW w:w="1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11,714</w:t>
            </w:r>
          </w:p>
        </w:tc>
      </w:tr>
      <w:tr>
        <w:trPr>
          <w:trHeight w:val="27"/>
        </w:trPr>
        <w:tc>
          <w:tcPr>
            <w:tcW w:w="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-8255</wp:posOffset>
            </wp:positionV>
            <wp:extent cx="788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520"/>
            <w:col w:w="5060"/>
          </w:cols>
          <w:pgMar w:left="240" w:top="796" w:right="239" w:bottom="1440" w:gutter="0" w:footer="0" w:header="0"/>
          <w:type w:val="continuous"/>
        </w:sectPr>
      </w:pPr>
    </w:p>
    <w:p>
      <w:pPr>
        <w:spacing w:after="0" w:line="6"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Interest expense includes amortization of debt issuance costs and issue discounts.</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Legal expenses related to business and asset acquisition activity and settlement negotiation and other litigation expenses, as well as legal settlements.</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Primarily transaction-related, capital markets and accounting advisory services.</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Temporary transition services from YapStone related to integration of the March 2019 asset acquisition.</w:t>
      </w:r>
    </w:p>
    <w:p>
      <w:pPr>
        <w:spacing w:after="0" w:line="194" w:lineRule="exact"/>
        <w:rPr>
          <w:rFonts w:ascii="Arial" w:cs="Arial" w:eastAsia="Arial" w:hAnsi="Arial"/>
          <w:sz w:val="16"/>
          <w:szCs w:val="16"/>
          <w:color w:val="auto"/>
        </w:rPr>
      </w:pPr>
    </w:p>
    <w:p>
      <w:pPr>
        <w:ind w:firstLine="8"/>
        <w:spacing w:after="0" w:line="275" w:lineRule="auto"/>
        <w:tabs>
          <w:tab w:leader="none" w:pos="237" w:val="left"/>
        </w:tabs>
        <w:numPr>
          <w:ilvl w:val="0"/>
          <w:numId w:val="3"/>
        </w:numPr>
        <w:rPr>
          <w:rFonts w:ascii="Arial" w:cs="Arial" w:eastAsia="Arial" w:hAnsi="Arial"/>
          <w:sz w:val="16"/>
          <w:szCs w:val="16"/>
          <w:color w:val="auto"/>
        </w:rPr>
      </w:pPr>
      <w:r>
        <w:rPr>
          <w:rFonts w:ascii="Arial" w:cs="Arial" w:eastAsia="Arial" w:hAnsi="Arial"/>
          <w:sz w:val="16"/>
          <w:szCs w:val="16"/>
          <w:color w:val="auto"/>
        </w:rPr>
        <w:t>Each reporting period's year-to-date amounts are updated to reflect the pro forma impact of acquisitions as though they had taken place on January 1 of the year in which the acquisition occurred.</w:t>
      </w:r>
    </w:p>
    <w:p>
      <w:pPr>
        <w:spacing w:after="0" w:line="145" w:lineRule="exact"/>
        <w:rPr>
          <w:rFonts w:ascii="Arial" w:cs="Arial" w:eastAsia="Arial" w:hAnsi="Arial"/>
          <w:sz w:val="16"/>
          <w:szCs w:val="16"/>
          <w:color w:val="auto"/>
        </w:rPr>
      </w:pPr>
    </w:p>
    <w:p>
      <w:pPr>
        <w:jc w:val="both"/>
        <w:ind w:firstLine="8"/>
        <w:spacing w:after="0" w:line="315" w:lineRule="auto"/>
        <w:tabs>
          <w:tab w:leader="none" w:pos="244"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Reflects definition in debt agreements entered into in connection with the January 2017 debt financing. Subsequent to the Business Combination, the Earnout Adjusted EBITDA of the Borrowers under the credit agreements excludes expenses of the Company's parent entity, which is neither a borrower nor a guarantor under the credit agreements. Earnout Adjusted EBITDA of the Borrowers was approximately $18.9 million and $38.4 million for the quarter and six months ended June 30, 2019, respectively.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sectPr>
      <w:pgSz w:w="11900" w:h="16838" w:orient="portrait"/>
      <w:cols w:equalWidth="0" w:num="1">
        <w:col w:w="11420"/>
      </w:cols>
      <w:pgMar w:left="240" w:top="79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lvl>
    <w:lvl w:ilvl="1">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2020-02-27T01:49:23Z</dcterms:created>
  <dcterms:modified xsi:type="dcterms:W3CDTF">2020-02-27T01:49:23Z</dcterms:modified>
</cp:coreProperties>
</file>