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Priore John Vito</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31" w:lineRule="exact"/>
        <w:rPr>
          <w:sz w:val="24"/>
          <w:szCs w:val="24"/>
          <w:color w:val="auto"/>
        </w:rPr>
      </w:pPr>
    </w:p>
    <w:p>
      <w:pPr>
        <w:ind w:left="100"/>
        <w:spacing w:after="0"/>
        <w:tabs>
          <w:tab w:leader="none" w:pos="1300" w:val="left"/>
          <w:tab w:leader="none" w:pos="2560" w:val="left"/>
        </w:tabs>
        <w:rPr>
          <w:sz w:val="20"/>
          <w:szCs w:val="20"/>
          <w:color w:val="auto"/>
        </w:rPr>
      </w:pPr>
      <w:r>
        <w:rPr>
          <w:rFonts w:ascii="Times New Roman" w:cs="Times New Roman" w:eastAsia="Times New Roman" w:hAnsi="Times New Roman"/>
          <w:sz w:val="13"/>
          <w:szCs w:val="13"/>
          <w:color w:val="0000FF"/>
        </w:rPr>
        <w:t>ALPHARETTA</w:t>
      </w:r>
      <w:r>
        <w:rPr>
          <w:sz w:val="20"/>
          <w:szCs w:val="20"/>
          <w:color w:val="auto"/>
        </w:rPr>
        <w:tab/>
      </w:r>
      <w:r>
        <w:rPr>
          <w:rFonts w:ascii="Times New Roman" w:cs="Times New Roman" w:eastAsia="Times New Roman" w:hAnsi="Times New Roman"/>
          <w:sz w:val="13"/>
          <w:szCs w:val="13"/>
          <w:color w:val="0000FF"/>
        </w:rPr>
        <w:t>GA</w:t>
      </w:r>
      <w:r>
        <w:rPr>
          <w:sz w:val="20"/>
          <w:szCs w:val="20"/>
          <w:color w:val="auto"/>
        </w:rPr>
        <w:tab/>
      </w:r>
      <w:r>
        <w:rPr>
          <w:rFonts w:ascii="Times New Roman" w:cs="Times New Roman" w:eastAsia="Times New Roman" w:hAnsi="Times New Roman"/>
          <w:sz w:val="12"/>
          <w:szCs w:val="12"/>
          <w:color w:val="0000FF"/>
        </w:rPr>
        <w:t>30004</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40" w:type="dxa"/>
            <w:vAlign w:val="bottom"/>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32"/>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60" w:type="dxa"/>
            <w:vAlign w:val="bottom"/>
            <w:gridSpan w:val="2"/>
            <w:vMerge w:val="continue"/>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01/17/2025</w:t>
            </w:r>
          </w:p>
        </w:tc>
        <w:tc>
          <w:tcPr>
            <w:tcW w:w="1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5" w:lineRule="exact"/>
        <w:rPr>
          <w:sz w:val="24"/>
          <w:szCs w:val="24"/>
          <w:color w:val="auto"/>
        </w:rPr>
      </w:pPr>
    </w:p>
    <w:p>
      <w:pPr>
        <w:sectPr>
          <w:pgSz w:w="11900" w:h="16838" w:orient="portrait"/>
          <w:cols w:equalWidth="0" w:num="2">
            <w:col w:w="3140" w:space="720"/>
            <w:col w:w="7160"/>
          </w:cols>
          <w:pgMar w:left="440" w:top="202" w:right="439" w:bottom="1440" w:gutter="0" w:footer="0" w:header="0"/>
          <w:type w:val="continuous"/>
        </w:sect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01/17/2025</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73"/>
              <w:spacing w:after="0"/>
              <w:rPr>
                <w:sz w:val="20"/>
                <w:szCs w:val="20"/>
                <w:color w:val="auto"/>
              </w:rPr>
            </w:pPr>
            <w:r>
              <w:rPr>
                <w:rFonts w:ascii="Times New Roman" w:cs="Times New Roman" w:eastAsia="Times New Roman" w:hAnsi="Times New Roman"/>
                <w:sz w:val="13"/>
                <w:szCs w:val="13"/>
                <w:color w:val="0000FF"/>
              </w:rPr>
              <w:t>3,454,575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7.44</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5,314,430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(3)</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01/21/2025</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(4)</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73"/>
              <w:spacing w:after="0"/>
              <w:rPr>
                <w:sz w:val="20"/>
                <w:szCs w:val="20"/>
                <w:color w:val="auto"/>
              </w:rPr>
            </w:pPr>
            <w:r>
              <w:rPr>
                <w:rFonts w:ascii="Times New Roman" w:cs="Times New Roman" w:eastAsia="Times New Roman" w:hAnsi="Times New Roman"/>
                <w:sz w:val="13"/>
                <w:szCs w:val="13"/>
                <w:color w:val="0000FF"/>
              </w:rPr>
              <w:t>1,242,856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7.44</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4,071,574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(3)</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Shares sold on January 17, 2025, pursuant to underwritten public secondary offering as detailed in prospectus supplement filed with the SEC, dated January 15, 2025, pursuant to Rule 424(b)(5) and Registration No. 333-283519 (the Secondary Offering).</w:t>
      </w:r>
    </w:p>
    <w:p>
      <w:pPr>
        <w:spacing w:after="0" w:line="40" w:lineRule="exact"/>
        <w:rPr>
          <w:rFonts w:ascii="Times New Roman" w:cs="Times New Roman" w:eastAsia="Times New Roman" w:hAnsi="Times New Roman"/>
          <w:sz w:val="10"/>
          <w:szCs w:val="10"/>
          <w:color w:val="008000"/>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reported securities were sold by AESV CreditCard Consulting, LLC in the Secondary Offering. This amount represents the $7.75 secondary public offering price per share of Common Stock of the Issuer, less the underwriting discount of $0.31 per share sold in the Secondary Offering.</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the controlling person of AESV CreditCard Consulting, LLC (AESV). AESV directly held 4,697,431 shares of Common Stock of the Issuer sold in the Secondary Offering.</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Shares sold on January 21, 2025, pursuant to the underwriters exercise of an option to purchase additional shares in the Secondary Offering.</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01/22/2025</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139"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2025-01-22T13:25:59Z</dcterms:created>
  <dcterms:modified xsi:type="dcterms:W3CDTF">2025-01-22T13:25:59Z</dcterms:modified>
</cp:coreProperties>
</file>