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320" w:right="900" w:hanging="3419"/>
        <w:spacing w:after="0" w:line="484" w:lineRule="auto"/>
        <w:tabs>
          <w:tab w:leader="none" w:pos="138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June 30, 2017</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4"/>
          </w:tcPr>
          <w:p>
            <w:pPr>
              <w:ind w:left="3660"/>
              <w:spacing w:after="0"/>
              <w:rPr>
                <w:sz w:val="20"/>
                <w:szCs w:val="20"/>
                <w:color w:val="auto"/>
              </w:rPr>
            </w:pPr>
            <w:r>
              <w:rPr>
                <w:rFonts w:ascii="Arial" w:cs="Arial" w:eastAsia="Arial" w:hAnsi="Arial"/>
                <w:sz w:val="18"/>
                <w:szCs w:val="18"/>
                <w:b w:val="1"/>
                <w:bCs w:val="1"/>
                <w:color w:val="auto"/>
              </w:rPr>
              <w:t>For the transition period from</w:t>
            </w: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ind w:left="4320"/>
              <w:spacing w:after="0"/>
              <w:rPr>
                <w:sz w:val="20"/>
                <w:szCs w:val="20"/>
                <w:color w:val="auto"/>
              </w:rPr>
            </w:pPr>
            <w:r>
              <w:rPr>
                <w:rFonts w:ascii="Arial" w:cs="Arial" w:eastAsia="Arial" w:hAnsi="Arial"/>
                <w:sz w:val="18"/>
                <w:szCs w:val="18"/>
                <w:b w:val="1"/>
                <w:bCs w:val="1"/>
                <w:color w:val="auto"/>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780" w:type="dxa"/>
            <w:vAlign w:val="bottom"/>
            <w:gridSpan w:val="4"/>
          </w:tcPr>
          <w:p>
            <w:pPr>
              <w:jc w:val="center"/>
              <w:ind w:left="4510"/>
              <w:spacing w:after="0"/>
              <w:rPr>
                <w:sz w:val="20"/>
                <w:szCs w:val="20"/>
                <w:color w:val="auto"/>
              </w:rPr>
            </w:pPr>
            <w:r>
              <w:rPr>
                <w:rFonts w:ascii="Arial" w:cs="Arial" w:eastAsia="Arial" w:hAnsi="Arial"/>
                <w:sz w:val="18"/>
                <w:szCs w:val="18"/>
                <w:b w:val="1"/>
                <w:bCs w:val="1"/>
                <w:color w:val="auto"/>
              </w:rPr>
              <w:t>M I ACQUISITIONS, INC.</w:t>
            </w:r>
          </w:p>
        </w:tc>
        <w:tc>
          <w:tcPr>
            <w:tcW w:w="32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78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1"/>
              </w:rPr>
              <w:t>47-4257046</w:t>
            </w:r>
          </w:p>
        </w:tc>
      </w:tr>
      <w:tr>
        <w:trPr>
          <w:trHeight w:val="195"/>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6780" w:type="dxa"/>
            <w:vAlign w:val="bottom"/>
            <w:gridSpan w:val="4"/>
          </w:tcPr>
          <w:p>
            <w:pPr>
              <w:jc w:val="center"/>
              <w:ind w:right="1060"/>
              <w:spacing w:after="0"/>
              <w:rPr>
                <w:sz w:val="20"/>
                <w:szCs w:val="20"/>
                <w:color w:val="auto"/>
              </w:rPr>
            </w:pPr>
            <w:r>
              <w:rPr>
                <w:rFonts w:ascii="Arial" w:cs="Arial" w:eastAsia="Arial" w:hAnsi="Arial"/>
                <w:sz w:val="18"/>
                <w:szCs w:val="18"/>
                <w:color w:val="auto"/>
                <w:w w:val="92"/>
              </w:rPr>
              <w:t>incorporation or organization)</w:t>
            </w:r>
          </w:p>
        </w:tc>
        <w:tc>
          <w:tcPr>
            <w:tcW w:w="320" w:type="dxa"/>
            <w:vAlign w:val="bottom"/>
          </w:tcPr>
          <w:p>
            <w:pPr>
              <w:spacing w:after="0"/>
              <w:rPr>
                <w:sz w:val="20"/>
                <w:szCs w:val="20"/>
                <w:color w:val="auto"/>
              </w:rPr>
            </w:pPr>
          </w:p>
        </w:tc>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5"/>
              </w:rPr>
              <w:t>Identification No.)</w:t>
            </w:r>
          </w:p>
        </w:tc>
      </w:tr>
    </w:tbl>
    <w:p>
      <w:pPr>
        <w:ind w:left="4560"/>
        <w:spacing w:after="0"/>
        <w:rPr>
          <w:sz w:val="20"/>
          <w:szCs w:val="20"/>
          <w:color w:val="auto"/>
        </w:rPr>
      </w:pPr>
      <w:r>
        <w:rPr>
          <w:rFonts w:ascii="Arial" w:cs="Arial" w:eastAsia="Arial" w:hAnsi="Arial"/>
          <w:sz w:val="18"/>
          <w:szCs w:val="18"/>
          <w:b w:val="1"/>
          <w:bCs w:val="1"/>
          <w:color w:val="auto"/>
        </w:rPr>
        <w:t>c/o Magna Management LLC</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491-4240</w:t>
      </w:r>
    </w:p>
    <w:p>
      <w:pPr>
        <w:spacing w:after="0" w:line="27" w:lineRule="exact"/>
        <w:rPr>
          <w:rFonts w:ascii="Arial" w:cs="Arial" w:eastAsia="Arial" w:hAnsi="Arial"/>
          <w:sz w:val="18"/>
          <w:szCs w:val="18"/>
          <w:b w:val="1"/>
          <w:bCs w:val="1"/>
          <w:color w:val="auto"/>
        </w:rPr>
      </w:pPr>
    </w:p>
    <w:p>
      <w:pPr>
        <w:ind w:left="4720"/>
        <w:spacing w:after="0"/>
        <w:rPr>
          <w:rFonts w:ascii="Arial" w:cs="Arial" w:eastAsia="Arial" w:hAnsi="Arial"/>
          <w:sz w:val="18"/>
          <w:szCs w:val="18"/>
          <w:b w:val="1"/>
          <w:bCs w:val="1"/>
          <w:color w:val="auto"/>
        </w:rPr>
      </w:pPr>
      <w:r>
        <w:rPr>
          <w:rFonts w:ascii="Arial" w:cs="Arial" w:eastAsia="Arial" w:hAnsi="Arial"/>
          <w:sz w:val="18"/>
          <w:szCs w:val="18"/>
          <w:color w:val="auto"/>
        </w:rPr>
        <w:t>(Issuer’s telephone number)</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(Do not check if smaller reporting</w:t>
            </w:r>
          </w:p>
        </w:tc>
        <w:tc>
          <w:tcPr>
            <w:tcW w:w="1700" w:type="dxa"/>
            <w:vAlign w:val="bottom"/>
          </w:tcPr>
          <w:p>
            <w:pPr>
              <w:spacing w:after="0"/>
              <w:rPr>
                <w:sz w:val="18"/>
                <w:szCs w:val="18"/>
                <w:color w:val="auto"/>
              </w:rPr>
            </w:pPr>
          </w:p>
        </w:tc>
        <w:tc>
          <w:tcPr>
            <w:tcW w:w="3660" w:type="dxa"/>
            <w:vAlign w:val="bottom"/>
            <w:vMerge w:val="restart"/>
          </w:tcPr>
          <w:p>
            <w:pPr>
              <w:ind w:left="122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70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2017, 7,058,743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M I ACQUISITIONS,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4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w w:val="97"/>
              </w:rPr>
              <w:t>FORM 10-Q FOR THE QUARTER ENDED JUNE 30,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gridSpan w:val="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48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1040" w:type="dxa"/>
            <w:vAlign w:val="bottom"/>
            <w:gridSpan w:val="3"/>
            <w:vMerge w:val="continue"/>
          </w:tcPr>
          <w:p>
            <w:pPr>
              <w:spacing w:after="0"/>
              <w:rPr>
                <w:sz w:val="13"/>
                <w:szCs w:val="13"/>
                <w:color w:val="auto"/>
              </w:rPr>
            </w:pPr>
          </w:p>
        </w:tc>
        <w:tc>
          <w:tcPr>
            <w:tcW w:w="9480" w:type="dxa"/>
            <w:vAlign w:val="bottom"/>
            <w:gridSpan w:val="15"/>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65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w:t>
              </w:r>
            </w:hyperlink>
          </w:p>
        </w:tc>
        <w:tc>
          <w:tcPr>
            <w:tcW w:w="662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Quantitative and Qualitative Disclosures Regarding Market Risk</w:t>
              </w:r>
            </w:hyperlink>
          </w:p>
        </w:tc>
        <w:tc>
          <w:tcPr>
            <w:tcW w:w="2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Controls and Procedures</w:t>
              </w:r>
            </w:hyperlink>
          </w:p>
        </w:tc>
        <w:tc>
          <w:tcPr>
            <w:tcW w:w="2880" w:type="dxa"/>
            <w:vAlign w:val="bottom"/>
            <w:tcBorders>
              <w:top w:val="single" w:sz="8" w:color="0000EE"/>
            </w:tcBorders>
            <w:gridSpan w:val="6"/>
          </w:tcPr>
          <w:p>
            <w:pPr>
              <w:spacing w:after="0"/>
              <w:rPr>
                <w:sz w:val="17"/>
                <w:szCs w:val="17"/>
                <w:color w:val="auto"/>
              </w:rPr>
            </w:pPr>
          </w:p>
        </w:tc>
        <w:tc>
          <w:tcPr>
            <w:tcW w:w="42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948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438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Unregistered Sales of Equity Securities and Use of Proceeds</w:t>
              </w:r>
            </w:hyperlink>
          </w:p>
        </w:tc>
        <w:tc>
          <w:tcPr>
            <w:tcW w:w="45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6.</w:t>
              </w:r>
            </w:hyperlink>
          </w:p>
        </w:tc>
        <w:tc>
          <w:tcPr>
            <w:tcW w:w="8940" w:type="dxa"/>
            <w:vAlign w:val="bottom"/>
            <w:gridSpan w:val="13"/>
          </w:tcPr>
          <w:p>
            <w:pPr>
              <w:ind w:lef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716"/>
        </w:trPr>
        <w:tc>
          <w:tcPr>
            <w:tcW w:w="4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0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rPr>
              <w:t>PART I – FINANCIAL STATEMENTS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2"/>
              </w:rPr>
              <w:t>M I Acquisitions,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86"/>
              </w:rPr>
              <w:t>Condensed Balance Sheets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June 30, 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40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124,783</w:t>
            </w:r>
          </w:p>
        </w:tc>
        <w:tc>
          <w:tcPr>
            <w:tcW w:w="200" w:type="dxa"/>
            <w:vAlign w:val="bottom"/>
            <w:gridSpan w:val="2"/>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gridSpan w:val="5"/>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117,639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 held in trust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54,826,365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54,731,828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55,068,787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5"/>
          </w:tcPr>
          <w:p>
            <w:pPr>
              <w:ind w:left="294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263,063</w:t>
            </w:r>
          </w:p>
        </w:tc>
        <w:tc>
          <w:tcPr>
            <w:tcW w:w="200" w:type="dxa"/>
            <w:vAlign w:val="bottom"/>
            <w:gridSpan w:val="2"/>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Accrued offering costs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gridSpan w:val="5"/>
          </w:tcPr>
          <w:p>
            <w:pPr>
              <w:ind w:left="140"/>
              <w:spacing w:after="0"/>
              <w:rPr>
                <w:sz w:val="20"/>
                <w:szCs w:val="20"/>
                <w:color w:val="auto"/>
              </w:rPr>
            </w:pPr>
            <w:r>
              <w:rPr>
                <w:rFonts w:ascii="Arial" w:cs="Arial" w:eastAsia="Arial" w:hAnsi="Arial"/>
                <w:sz w:val="18"/>
                <w:szCs w:val="18"/>
                <w:color w:val="auto"/>
              </w:rPr>
              <w:t>Note payable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27,500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1,062,022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1,394,201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66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8"/>
              </w:rPr>
              <w:t>Common stock subject to possible conversion (4,714,289 and 4,748,033 shares at conversion value as of June 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2017 and December 31, 2016)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48,674,580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48,938,449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Common stock, $0.001 par value; 30,000,000 shares authorized; 2,344,454 and 2,310,710 shares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95"/>
              </w:rPr>
              <w:t>outstanding (excluding 4,714,289 and 4,748,033 shares subject to possible conversion) at June 30, 2017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December 31, 2016,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5"/>
          </w:tcPr>
          <w:p>
            <w:pPr>
              <w:ind w:left="14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5,379,751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5,115,916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(382,090)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55,068,787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-3729990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For the Three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the Three</w:t>
            </w: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June 30, 2017</w:t>
            </w:r>
          </w:p>
        </w:tc>
        <w:tc>
          <w:tcPr>
            <w:tcW w:w="1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June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EXPENSES</w:t>
            </w:r>
          </w:p>
        </w:tc>
        <w:tc>
          <w:tcPr>
            <w:tcW w:w="4260" w:type="dxa"/>
            <w:vAlign w:val="bottom"/>
            <w:tcBorders>
              <w:bottom w:val="single" w:sz="8" w:color="CCEEFF"/>
            </w:tcBorders>
            <w:gridSpan w:val="4"/>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132,035</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347,501</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162,035</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407,501</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OTHER INCOME</w:t>
            </w:r>
          </w:p>
        </w:tc>
        <w:tc>
          <w:tcPr>
            <w:tcW w:w="37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5"/>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87,011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143,632</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gridSpan w:val="5"/>
          </w:tcPr>
          <w:p>
            <w:pPr>
              <w:spacing w:after="0" w:line="156" w:lineRule="exact"/>
              <w:rPr>
                <w:sz w:val="20"/>
                <w:szCs w:val="20"/>
                <w:color w:val="auto"/>
              </w:rPr>
            </w:pPr>
            <w:r>
              <w:rPr>
                <w:rFonts w:ascii="Arial" w:cs="Arial" w:eastAsia="Arial" w:hAnsi="Arial"/>
                <w:sz w:val="18"/>
                <w:szCs w:val="18"/>
                <w:color w:val="auto"/>
              </w:rPr>
              <w:t>TOTAL OTHER INCOME</w:t>
            </w:r>
          </w:p>
        </w:tc>
        <w:tc>
          <w:tcPr>
            <w:tcW w:w="100" w:type="dxa"/>
            <w:vAlign w:val="bottom"/>
          </w:tcPr>
          <w:p>
            <w:pPr>
              <w:spacing w:after="0"/>
              <w:rPr>
                <w:sz w:val="15"/>
                <w:szCs w:val="15"/>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8"/>
                <w:szCs w:val="18"/>
                <w:color w:val="auto"/>
              </w:rPr>
              <w:t>87,011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143,632</w:t>
            </w:r>
          </w:p>
        </w:tc>
        <w:tc>
          <w:tcPr>
            <w:tcW w:w="120" w:type="dxa"/>
            <w:vAlign w:val="bottom"/>
          </w:tcPr>
          <w:p>
            <w:pPr>
              <w:spacing w:after="0"/>
              <w:rPr>
                <w:sz w:val="15"/>
                <w:szCs w:val="15"/>
                <w:color w:val="auto"/>
              </w:rPr>
            </w:pPr>
          </w:p>
        </w:tc>
        <w:tc>
          <w:tcPr>
            <w:tcW w:w="14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(75,024)</w:t>
            </w:r>
          </w:p>
        </w:tc>
        <w:tc>
          <w:tcPr>
            <w:tcW w:w="12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(263,869)</w:t>
            </w:r>
          </w:p>
        </w:tc>
        <w:tc>
          <w:tcPr>
            <w:tcW w:w="12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gridSpan w:val="5"/>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94"/>
              </w:rPr>
              <w:t>Weighted average shares of common stock outstanding - basic</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140" w:type="dxa"/>
            <w:vAlign w:val="bottom"/>
            <w:gridSpan w:val="5"/>
          </w:tcPr>
          <w:p>
            <w:pPr>
              <w:ind w:left="140"/>
              <w:spacing w:after="0"/>
              <w:rPr>
                <w:sz w:val="20"/>
                <w:szCs w:val="20"/>
                <w:color w:val="auto"/>
              </w:rPr>
            </w:pPr>
            <w:r>
              <w:rPr>
                <w:rFonts w:ascii="Arial" w:cs="Arial" w:eastAsia="Arial" w:hAnsi="Arial"/>
                <w:sz w:val="18"/>
                <w:szCs w:val="18"/>
                <w:b w:val="1"/>
                <w:bCs w:val="1"/>
                <w:color w:val="auto"/>
              </w:rPr>
              <w:t>and diluted (1)</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2,327,728</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2,319,266</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1,250,000(1)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number excludes an aggregate of 4,714,289 shares subject to possible conversion at June 30, 2017 and 187,500 shares of common stock that were subject to forfeiture if the over-allotment option is not exercised by the underwriters.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(263,869)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(143,632)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Formation and organization costs paid by related parties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(61,398)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 related party</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(286,847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0"/>
        <w:spacing w:after="0"/>
        <w:tabs>
          <w:tab w:leader="none" w:pos="1940" w:val="left"/>
        </w:tabs>
        <w:rPr>
          <w:sz w:val="20"/>
          <w:szCs w:val="20"/>
          <w:color w:val="auto"/>
        </w:rPr>
      </w:pPr>
      <w:r>
        <w:rPr>
          <w:rFonts w:ascii="Arial" w:cs="Arial" w:eastAsia="Arial" w:hAnsi="Arial"/>
          <w:sz w:val="18"/>
          <w:szCs w:val="18"/>
          <w:color w:val="auto"/>
        </w:rPr>
        <w:t>71,702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(22,607)</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0"/>
        <w:spacing w:after="0"/>
        <w:tabs>
          <w:tab w:leader="none" w:pos="1940" w:val="left"/>
        </w:tabs>
        <w:rPr>
          <w:sz w:val="20"/>
          <w:szCs w:val="20"/>
          <w:color w:val="auto"/>
        </w:rPr>
      </w:pPr>
      <w:r>
        <w:rPr>
          <w:rFonts w:ascii="Arial" w:cs="Arial" w:eastAsia="Arial" w:hAnsi="Arial"/>
          <w:sz w:val="18"/>
          <w:szCs w:val="18"/>
          <w:color w:val="auto"/>
        </w:rPr>
        <w:t>49,095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14605</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2240"/>
          </w:cols>
          <w:pgMar w:left="240" w:top="904"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(237,752)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362,535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124,783</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27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16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Change in common stock subject to possible conversion</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263,869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the Company had not yet commenced any operations. For the six months ended June 30,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June 30,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$54,694,127 placed into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Additionally,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its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financial statements have been prepared assuming the Company will continue as a going concern, which contemplates, among other things, the realization of assets and satisfaction of liabilities in the normal course of business. As of June 30, 2017, the Company had approximately $124,800 in cash and cash equivalents held outside Trust Account, approximately $143,600 in interest income available from the Company’s investments in the Trust Account to pay its tax obligations, and working capital deficit of approximately $89,800.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March 19, 2018 (if an extension is not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financial statements do not include any adjustments that might be necessary if the Company is unable to continue as a going concern.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June 30, 2017 are not necessarily indicative of the results that may be expected for the year ended December 31, 2017 or any future interim period. The accompanying unaudited condensed financial statements should be read in conjunction with the Company’s financial statements and notes thereto included in the Company’s Form 10-K filed with the Securities and Exchange Commission on March 13,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As of June 30, 2017, marketable securities held in the Trust Account consisted of $54,826,365 in United States Treasury Bills with an original maturity of six months or less. During the six months ended June 30, 2017, the Company withdrew interest income totaling $71,702 to be utilized for payment of tax obligations. Of this amount, $22,607 was returned to the Company for overpayment of its tax obligations and deposited into the Trust Account.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loss per common share is computed by dividing net loss applicable to common stockholders by the weighted average number of common shares outstanding during the period, plus, to the extent dilutive, the incremental number of shares of common stock to settle warrants, as calculated using the treasury stock method. An aggregate of 4,714,289 shares of common stock subject to possible redemption at June 30, 2017, have been excluded from the calculation of basic loss per ordinary share since such shares, if redeemed, only participate in their pro rata share of the trust earnings. At June 30, 2016, weighted average shares were reduced for the effect of an aggregate of 187,500 shares of common stock that were subject to forfeiture if the over-allotment option is not exercised by the underwriters. At June 30,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are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condensed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and 2016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June 30,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September 14, 2017,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Public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June 30, 2017 and 2016, the Company incurred administrative fees of $30,000 and $0, respectively. During the six months ended June 30, 2017 and 2016, the Company incurred administrative fees of $60,000 and $0,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April 2017, the Company and its Sponsor have agreed to defer payment of the monthly administrative service fee.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and December 31, 2016, there were 2,344,454 and 2,310,710 common shares issued and outstanding, which excludes 4,714,289 and 4,748,033 shares subject to possible conversion, respectively.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includes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 References to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August 10, 2017, a total of $54,866,042 of the net proceeds from the Offering and the Private Placement were held in the trust account established for the benefit of the Company’s public shareholders.</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Our expenses have increased substantially since closing the Offering.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months ended June 30, 2017, we had a net loss of $75,024 and $263,869, respectively. During the three and six months ended June 30, 2017, we incurred $132,035 and $347,501, respectively, of general and administrative expenses and $30,000 and $60,000, respectively, of administrative fees paid to a related party.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2016, we had a net loss of $0 and $7,264, respectively. During the three and six months ended June 30, 2016, we incurred $0 and $7,264, respectively, of general and administrative expenses.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cash outside our trust account of $124,783.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liquidity needs have been satisfied to date through the Offering, the receipt of $25,000 from the sale of the insider shares and loans from insiders and a related party and an unrelated party in an aggregate amount of $186,720 that are more fully described below. In addition, during the six months ended June 30, 2017, we withdrew interest income totaling $71,702 to be utilized for payment of tax obligations.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 approximately $125,000 outside of our trust account will be insufficient to allow us to operate until March 19, 2018 (if an extension is not completed), assuming that a business combination is not consummated during that time. We anticipate that we may need to raise additional capital through loans or additional investments from our shareholders, officers, directors, or third parties to allow us to operate March 19, 2018 (if an extension is not completed).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2017, we were not subject to any market or interest rate risk. Following the consummation of the Offering, the net proceeds of the Offering, including amounts in the trust account, may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2017,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486"/>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of 2017 covered by this Quarterly Report on Form 10-Q that has materially affected, or is reasonably likely to materially affect, our internal control over financial reporting.</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81"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paid a total of $1,500,000 in underwriting discounts and commissions and $1,687,451 for other costs and expenses related to our formation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1040" w:type="dxa"/>
            <w:vAlign w:val="bottom"/>
            <w:tcBorders>
              <w:top w:val="single" w:sz="8" w:color="auto"/>
            </w:tcBorders>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tcBorders>
              <w:top w:val="single" w:sz="8" w:color="auto"/>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Certification of Chief Executive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1934, as amended.</w:t>
              </w:r>
            </w:hyperlink>
          </w:p>
        </w:tc>
        <w:tc>
          <w:tcPr>
            <w:tcW w:w="878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04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 of Chief Financial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1934, as amended.</w:t>
              </w:r>
            </w:hyperlink>
          </w:p>
        </w:tc>
        <w:tc>
          <w:tcPr>
            <w:tcW w:w="8740" w:type="dxa"/>
            <w:vAlign w:val="bottom"/>
            <w:tcBorders>
              <w:top w:val="single" w:sz="8" w:color="0000EE"/>
            </w:tcBorders>
          </w:tcPr>
          <w:p>
            <w:pPr>
              <w:spacing w:after="0"/>
              <w:rPr>
                <w:sz w:val="17"/>
                <w:szCs w:val="17"/>
                <w:color w:val="auto"/>
              </w:rPr>
            </w:pPr>
          </w:p>
        </w:tc>
        <w:tc>
          <w:tcPr>
            <w:tcW w:w="180" w:type="dxa"/>
            <w:vAlign w:val="bottom"/>
            <w:gridSpan w:val="2"/>
          </w:tcPr>
          <w:p>
            <w:pPr>
              <w:spacing w:after="0"/>
              <w:rPr>
                <w:sz w:val="17"/>
                <w:szCs w:val="17"/>
                <w:color w:val="auto"/>
              </w:rPr>
            </w:pPr>
          </w:p>
        </w:tc>
      </w:tr>
    </w:tbl>
    <w:p>
      <w:pPr>
        <w:spacing w:after="0" w:line="229" w:lineRule="exact"/>
        <w:rPr>
          <w:sz w:val="20"/>
          <w:szCs w:val="20"/>
          <w:color w:val="auto"/>
        </w:rPr>
      </w:pPr>
    </w:p>
    <w:p>
      <w:pPr>
        <w:ind w:left="1160" w:right="160" w:hanging="1152"/>
        <w:spacing w:after="0" w:line="277" w:lineRule="auto"/>
        <w:tabs>
          <w:tab w:leader="none" w:pos="1160" w:val="left"/>
        </w:tabs>
        <w:numPr>
          <w:ilvl w:val="0"/>
          <w:numId w:val="4"/>
        </w:numPr>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of the Sarbanes-Oxley Act of 2002.</w:t>
        </w:r>
      </w:hyperlink>
    </w:p>
    <w:p>
      <w:pPr>
        <w:spacing w:after="0" w:line="170"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EE"/>
        </w:rPr>
      </w:pPr>
    </w:p>
    <w:p>
      <w:pPr>
        <w:spacing w:after="0" w:line="245" w:lineRule="exact"/>
        <w:rPr>
          <w:rFonts w:ascii="Arial" w:cs="Arial" w:eastAsia="Arial" w:hAnsi="Arial"/>
          <w:sz w:val="18"/>
          <w:szCs w:val="18"/>
          <w:u w:val="single" w:color="auto"/>
          <w:color w:val="0000EE"/>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August 10, 2017</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August 10, 2017</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June 30, 2017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right="340" w:hanging="341"/>
        <w:spacing w:after="0" w:line="50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August 10, 2017</w:t>
      </w:r>
    </w:p>
    <w:p>
      <w:pPr>
        <w:ind w:left="698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August 10, 2017</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347"/>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2020-01-18T01:26:41Z</dcterms:created>
  <dcterms:modified xsi:type="dcterms:W3CDTF">2020-01-18T01:26:41Z</dcterms:modified>
</cp:coreProperties>
</file>