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11, 2026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2583180</wp:posOffset>
            </wp:positionH>
            <wp:positionV relativeFrom="paragraph">
              <wp:posOffset>127000</wp:posOffset>
            </wp:positionV>
            <wp:extent cx="2000885" cy="633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0885" cy="633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Priority Technology Holdings, Inc.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0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001-37872</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80" w:type="dxa"/>
            <w:vAlign w:val="bottom"/>
          </w:tcPr>
          <w:p>
            <w:pPr>
              <w:jc w:val="right"/>
              <w:ind w:right="1369"/>
              <w:spacing w:after="0"/>
              <w:rPr>
                <w:sz w:val="20"/>
                <w:szCs w:val="20"/>
                <w:color w:val="auto"/>
              </w:rPr>
            </w:pPr>
            <w:r>
              <w:rPr>
                <w:rFonts w:ascii="Times New Roman" w:cs="Times New Roman" w:eastAsia="Times New Roman" w:hAnsi="Times New Roman"/>
                <w:sz w:val="14"/>
                <w:szCs w:val="14"/>
                <w:b w:val="1"/>
                <w:bCs w:val="1"/>
                <w:color w:val="auto"/>
              </w:rPr>
              <w:t>47-4257046</w:t>
            </w:r>
          </w:p>
        </w:tc>
        <w:tc>
          <w:tcPr>
            <w:tcW w:w="20" w:type="dxa"/>
            <w:vAlign w:val="bottom"/>
          </w:tcPr>
          <w:p>
            <w:pPr>
              <w:spacing w:after="0"/>
              <w:rPr>
                <w:sz w:val="16"/>
                <w:szCs w:val="16"/>
                <w:color w:val="auto"/>
              </w:rPr>
            </w:pPr>
          </w:p>
        </w:tc>
      </w:tr>
      <w:tr>
        <w:trPr>
          <w:trHeight w:val="175"/>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(Commission File Number)</w:t>
            </w:r>
          </w:p>
        </w:tc>
        <w:tc>
          <w:tcPr>
            <w:tcW w:w="320" w:type="dxa"/>
            <w:vAlign w:val="bottom"/>
          </w:tcPr>
          <w:p>
            <w:pPr>
              <w:spacing w:after="0"/>
              <w:rPr>
                <w:sz w:val="15"/>
                <w:szCs w:val="15"/>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20" w:type="dxa"/>
            <w:vAlign w:val="bottom"/>
          </w:tcPr>
          <w:p>
            <w:pPr>
              <w:spacing w:after="0"/>
              <w:rPr>
                <w:sz w:val="15"/>
                <w:szCs w:val="15"/>
                <w:color w:val="auto"/>
              </w:rPr>
            </w:pPr>
          </w:p>
        </w:tc>
      </w:tr>
      <w:tr>
        <w:trPr>
          <w:trHeight w:val="510"/>
        </w:trPr>
        <w:tc>
          <w:tcPr>
            <w:tcW w:w="4060" w:type="dxa"/>
            <w:vAlign w:val="bottom"/>
            <w:gridSpan w:val="3"/>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w w:val="99"/>
              </w:rPr>
              <w:t>2001 Westside Parkway</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4060" w:type="dxa"/>
            <w:vAlign w:val="bottom"/>
            <w:gridSpan w:val="3"/>
          </w:tcPr>
          <w:p>
            <w:pPr>
              <w:jc w:val="center"/>
              <w:ind w:left="1629"/>
              <w:spacing w:after="0"/>
              <w:rPr>
                <w:sz w:val="20"/>
                <w:szCs w:val="20"/>
                <w:color w:val="auto"/>
              </w:rPr>
            </w:pPr>
            <w:r>
              <w:rPr>
                <w:rFonts w:ascii="Times New Roman" w:cs="Times New Roman" w:eastAsia="Times New Roman" w:hAnsi="Times New Roman"/>
                <w:sz w:val="14"/>
                <w:szCs w:val="14"/>
                <w:b w:val="1"/>
                <w:bCs w:val="1"/>
                <w:color w:val="auto"/>
              </w:rPr>
              <w:t>Suite 155</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40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Alpharetta,</w:t>
            </w:r>
          </w:p>
        </w:tc>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Georgia</w:t>
            </w:r>
          </w:p>
        </w:tc>
        <w:tc>
          <w:tcPr>
            <w:tcW w:w="3580" w:type="dxa"/>
            <w:vAlign w:val="bottom"/>
          </w:tcPr>
          <w:p>
            <w:pPr>
              <w:jc w:val="right"/>
              <w:ind w:right="2329"/>
              <w:spacing w:after="0"/>
              <w:rPr>
                <w:sz w:val="20"/>
                <w:szCs w:val="20"/>
                <w:color w:val="auto"/>
              </w:rPr>
            </w:pPr>
            <w:r>
              <w:rPr>
                <w:rFonts w:ascii="Times New Roman" w:cs="Times New Roman" w:eastAsia="Times New Roman" w:hAnsi="Times New Roman"/>
                <w:sz w:val="14"/>
                <w:szCs w:val="14"/>
                <w:b w:val="1"/>
                <w:bCs w:val="1"/>
                <w:color w:val="auto"/>
              </w:rPr>
              <w:t>30004</w:t>
            </w:r>
          </w:p>
        </w:tc>
        <w:tc>
          <w:tcPr>
            <w:tcW w:w="20" w:type="dxa"/>
            <w:vAlign w:val="bottom"/>
          </w:tcPr>
          <w:p>
            <w:pPr>
              <w:spacing w:after="0"/>
              <w:rPr>
                <w:sz w:val="16"/>
                <w:szCs w:val="16"/>
                <w:color w:val="auto"/>
              </w:rPr>
            </w:pPr>
          </w:p>
        </w:tc>
      </w:tr>
      <w:tr>
        <w:trPr>
          <w:trHeight w:val="175"/>
        </w:trPr>
        <w:tc>
          <w:tcPr>
            <w:tcW w:w="4060" w:type="dxa"/>
            <w:vAlign w:val="bottom"/>
            <w:tcBorders>
              <w:top w:val="single" w:sz="8" w:color="auto"/>
            </w:tcBorders>
            <w:gridSpan w:val="3"/>
          </w:tcPr>
          <w:p>
            <w:pPr>
              <w:jc w:val="center"/>
              <w:ind w:left="160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580" w:type="dxa"/>
            <w:vAlign w:val="bottom"/>
            <w:tcBorders>
              <w:top w:val="single" w:sz="8" w:color="auto"/>
            </w:tcBorders>
          </w:tcPr>
          <w:p>
            <w:pPr>
              <w:jc w:val="center"/>
              <w:ind w:right="1529"/>
              <w:spacing w:after="0"/>
              <w:rPr>
                <w:sz w:val="20"/>
                <w:szCs w:val="20"/>
                <w:color w:val="auto"/>
              </w:rPr>
            </w:pPr>
            <w:r>
              <w:rPr>
                <w:rFonts w:ascii="Times New Roman" w:cs="Times New Roman" w:eastAsia="Times New Roman" w:hAnsi="Times New Roman"/>
                <w:sz w:val="14"/>
                <w:szCs w:val="14"/>
                <w:color w:val="auto"/>
              </w:rPr>
              <w:t>(Zip Code)</w:t>
            </w:r>
          </w:p>
        </w:tc>
        <w:tc>
          <w:tcPr>
            <w:tcW w:w="20" w:type="dxa"/>
            <w:vAlign w:val="bottom"/>
            <w:tcBorders>
              <w:top w:val="single" w:sz="8" w:color="auto"/>
            </w:tcBorders>
          </w:tcPr>
          <w:p>
            <w:pPr>
              <w:spacing w:after="0"/>
              <w:rPr>
                <w:sz w:val="15"/>
                <w:szCs w:val="15"/>
                <w:color w:val="auto"/>
              </w:rPr>
            </w:pPr>
          </w:p>
        </w:tc>
      </w:tr>
    </w:tbl>
    <w:p>
      <w:pPr>
        <w:spacing w:after="0" w:line="2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(800) 935-5961</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u w:val="single" w:color="auto"/>
          <w:color w:val="auto"/>
        </w:rPr>
        <w:t>see</w:t>
      </w:r>
      <w:r>
        <w:rPr>
          <w:rFonts w:ascii="Times New Roman" w:cs="Times New Roman" w:eastAsia="Times New Roman" w:hAnsi="Times New Roman"/>
          <w:sz w:val="14"/>
          <w:szCs w:val="14"/>
          <w:color w:val="auto"/>
        </w:rPr>
        <w:t xml:space="preserv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64"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732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76"/>
        </w:trPr>
        <w:tc>
          <w:tcPr>
            <w:tcW w:w="5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24"/>
                <w:szCs w:val="24"/>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9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5"/>
        </w:trPr>
        <w:tc>
          <w:tcPr>
            <w:tcW w:w="560" w:type="dxa"/>
            <w:vAlign w:val="bottom"/>
          </w:tcPr>
          <w:p>
            <w:pPr>
              <w:spacing w:after="0"/>
              <w:rPr>
                <w:sz w:val="15"/>
                <w:szCs w:val="15"/>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PRTH</w:t>
            </w:r>
          </w:p>
        </w:tc>
        <w:tc>
          <w:tcPr>
            <w:tcW w:w="200" w:type="dxa"/>
            <w:vAlign w:val="bottom"/>
          </w:tcPr>
          <w:p>
            <w:pPr>
              <w:spacing w:after="0"/>
              <w:rPr>
                <w:sz w:val="15"/>
                <w:szCs w:val="15"/>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c>
          <w:tcPr>
            <w:tcW w:w="560" w:type="dxa"/>
            <w:vAlign w:val="bottom"/>
          </w:tcPr>
          <w:p>
            <w:pPr>
              <w:spacing w:after="0"/>
              <w:rPr>
                <w:sz w:val="15"/>
                <w:szCs w:val="15"/>
                <w:color w:val="auto"/>
              </w:rPr>
            </w:pPr>
          </w:p>
        </w:tc>
      </w:tr>
      <w:tr>
        <w:trPr>
          <w:trHeight w:val="952"/>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 w:name="page2"/>
    <w:bookmarkEnd w:id="1"/>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0"/>
          <w:szCs w:val="20"/>
          <w:color w:val="auto"/>
        </w:rPr>
      </w:pPr>
    </w:p>
    <w:p>
      <w:pPr>
        <w:ind w:left="14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1"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4.01 Changes in Registrant’s Certifying Accountant.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Dismissal of Independent Registered Public Accounting Firm</w:t>
      </w:r>
    </w:p>
    <w:p>
      <w:pPr>
        <w:spacing w:after="0" w:line="189"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4"/>
          <w:szCs w:val="14"/>
          <w:color w:val="auto"/>
        </w:rPr>
        <w:t>On March 11, 2026, the Audit Committee (the “</w:t>
      </w:r>
      <w:r>
        <w:rPr>
          <w:rFonts w:ascii="Times New Roman" w:cs="Times New Roman" w:eastAsia="Times New Roman" w:hAnsi="Times New Roman"/>
          <w:sz w:val="14"/>
          <w:szCs w:val="14"/>
          <w:b w:val="1"/>
          <w:bCs w:val="1"/>
          <w:color w:val="auto"/>
        </w:rPr>
        <w:t>Audit Committee</w:t>
      </w:r>
      <w:r>
        <w:rPr>
          <w:rFonts w:ascii="Times New Roman" w:cs="Times New Roman" w:eastAsia="Times New Roman" w:hAnsi="Times New Roman"/>
          <w:sz w:val="14"/>
          <w:szCs w:val="14"/>
          <w:color w:val="auto"/>
        </w:rPr>
        <w:t>”) of the Board of Directors of Priority Technology Holdings,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approved the dismissal of Ernst &amp; Young LLP (“</w:t>
      </w:r>
      <w:r>
        <w:rPr>
          <w:rFonts w:ascii="Times New Roman" w:cs="Times New Roman" w:eastAsia="Times New Roman" w:hAnsi="Times New Roman"/>
          <w:sz w:val="14"/>
          <w:szCs w:val="14"/>
          <w:b w:val="1"/>
          <w:bCs w:val="1"/>
          <w:color w:val="auto"/>
        </w:rPr>
        <w:t>EY</w:t>
      </w:r>
      <w:r>
        <w:rPr>
          <w:rFonts w:ascii="Times New Roman" w:cs="Times New Roman" w:eastAsia="Times New Roman" w:hAnsi="Times New Roman"/>
          <w:sz w:val="14"/>
          <w:szCs w:val="14"/>
          <w:color w:val="auto"/>
        </w:rPr>
        <w:t>”) as Company’s independent registered public accounting firm, effective immediately.</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than as described below, the reports of EY on the consolidated financial statements of the Company and its subsidiaries as of and for the fiscal years ended December 31, 2025, and 2024 did not contain an adverse opinion or a disclaimer of opinion and were not qualified or modified as to uncertainty, audit scope, or accounting principles.</w:t>
      </w:r>
    </w:p>
    <w:p>
      <w:pPr>
        <w:spacing w:after="0" w:line="145"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During the fiscal years ended December 31, 2025 and 2024, and the subsequent interim period through March 11, 2026, there were no: (1) disagreements (within the meaning of Item 304(a)(1)(iv) of Regulation S-K) between the Company and EY on any matter of accounting principles or practices, financial statement disclosure, or auditing scope or procedures, any of which, if not resolved to EY’s satisfaction, would have caused EY to make reference thereto in their reports, or (2) “reportable events” (as defined in Item 304(a)(1)(v) of Regulation S-K), except for the material weaknesses in the Company’s internal control over financial reporting related to the design and operation of certain automated controls (including related information technology general controls) for certain tools or applications involved in the transformation and ingestion of third-party processors’ data in the Company’s control environment, as reported in Part II, Item 9A, “Controls and Procedures,” in the Company’s annual reports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2024, filed with the Securities and Exchange Commission (the “SEC”) on March 6, 2025, and in Part I, Item 4, “Controls and Procedures,” in the Company’s quarterly reports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for the quarters ended March 31, 2025, June 30, 2025, and September 30, 2025, filed with the SEC on May 6, 2025, August 7, 2025, and November 6, 2025, respectively. The material weakness was subsequently remediated as reported in the Company’s Annual Report on Form 10-K for the fiscal year ended on December 31, 2025, filed with SEC on March 10, 2026. This reportable event was discussed among the Audit Committee and EY. EY has been authorized by the Company to respond fully to the inquiries of KPMG, the successor independent registered public accounting firm, concerning this reportable event.</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provided EY with a copy of the disclosure contained in this Current Report on Form 8-K and requested that EY furnish a letter addressed to the Securities and Exchange Commission stating whether it agrees with the statements made herein. A copy of such letter from EY is attached as Exhibit 16.1 to this Current Report on Form 8-K.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Engagement of New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March 11, 2026, KPMG LLP (“</w:t>
      </w:r>
      <w:r>
        <w:rPr>
          <w:rFonts w:ascii="Times New Roman" w:cs="Times New Roman" w:eastAsia="Times New Roman" w:hAnsi="Times New Roman"/>
          <w:sz w:val="14"/>
          <w:szCs w:val="14"/>
          <w:b w:val="1"/>
          <w:bCs w:val="1"/>
          <w:color w:val="auto"/>
        </w:rPr>
        <w:t>KPMG</w:t>
      </w:r>
      <w:r>
        <w:rPr>
          <w:rFonts w:ascii="Times New Roman" w:cs="Times New Roman" w:eastAsia="Times New Roman" w:hAnsi="Times New Roman"/>
          <w:sz w:val="14"/>
          <w:szCs w:val="14"/>
          <w:color w:val="auto"/>
        </w:rPr>
        <w:t>”) was engaged by the Audit Committee as the Company’s independent registered public accounting firm.</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fiscal years ended December 31, 2025 and 2024, and the subsequent interim period through March 11, 2026, neither the Company nor anyone on its behalf consulted with KPMG regarding: (i) the application of accounting principles to a specific transaction, either completed or proposed, or the type of audit opinion that might be rendered on the Company’s financial statements, and neither a written report nor oral advice was provided to the Company that KPMG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35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 – The following exhibit is furnished as part of this Current Report on Form 8-K.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7"/>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16.1</w:t>
            </w:r>
          </w:p>
        </w:tc>
        <w:tc>
          <w:tcPr>
            <w:tcW w:w="994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Letter from Ernst &amp; Young LLP to the Securities and Exchange Commission, dated March 17, 2026</w:t>
            </w:r>
          </w:p>
        </w:tc>
      </w:tr>
      <w:tr>
        <w:trPr>
          <w:trHeight w:val="18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9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307"/>
        </w:trPr>
        <w:tc>
          <w:tcPr>
            <w:tcW w:w="134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11, 2026</w:t>
      </w:r>
    </w:p>
    <w:p>
      <w:pPr>
        <w:spacing w:after="0" w:line="20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PRIORITY TECHNOLOGY HOLDINGS, INC.</w:t>
      </w:r>
    </w:p>
    <w:p>
      <w:pPr>
        <w:spacing w:after="0" w:line="20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u w:val="single" w:color="auto"/>
          <w:color w:val="auto"/>
        </w:rPr>
        <w:t>By: /s/ Timothy O'Leary</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Name: Timothy O'Leary</w:t>
      </w:r>
    </w:p>
    <w:p>
      <w:pPr>
        <w:spacing w:after="0" w:line="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0280"/>
          </w:cols>
          <w:pgMar w:left="300" w:top="728"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2026-03-17T15:52:26Z</dcterms:created>
  <dcterms:modified xsi:type="dcterms:W3CDTF">2026-03-17T15:52:26Z</dcterms:modified>
</cp:coreProperties>
</file>