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November 9, 2023</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1640" cy="782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1640"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Priority Technology Holdings,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18"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20" w:type="dxa"/>
            <w:vAlign w:val="bottom"/>
          </w:tcPr>
          <w:p>
            <w:pPr>
              <w:spacing w:after="0"/>
              <w:rPr>
                <w:sz w:val="13"/>
                <w:szCs w:val="13"/>
                <w:color w:val="auto"/>
              </w:rPr>
            </w:pP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3"/>
                <w:szCs w:val="13"/>
                <w:color w:val="auto"/>
              </w:rPr>
            </w:pPr>
          </w:p>
        </w:tc>
      </w:tr>
      <w:tr>
        <w:trPr>
          <w:trHeight w:val="142"/>
        </w:trPr>
        <w:tc>
          <w:tcPr>
            <w:tcW w:w="4000" w:type="dxa"/>
            <w:vAlign w:val="bottom"/>
            <w:gridSpan w:val="2"/>
          </w:tcPr>
          <w:p>
            <w:pPr>
              <w:jc w:val="center"/>
              <w:ind w:right="360"/>
              <w:spacing w:after="0"/>
              <w:rPr>
                <w:sz w:val="20"/>
                <w:szCs w:val="20"/>
                <w:color w:val="auto"/>
              </w:rPr>
            </w:pPr>
            <w:r>
              <w:rPr>
                <w:rFonts w:ascii="Arial" w:cs="Arial" w:eastAsia="Arial" w:hAnsi="Arial"/>
                <w:sz w:val="12"/>
                <w:szCs w:val="12"/>
                <w:color w:val="auto"/>
                <w:w w:val="93"/>
              </w:rPr>
              <w:t>(State or other jurisdiction of incorporation)</w:t>
            </w:r>
          </w:p>
        </w:tc>
        <w:tc>
          <w:tcPr>
            <w:tcW w:w="3700" w:type="dxa"/>
            <w:vAlign w:val="bottom"/>
            <w:gridSpan w:val="4"/>
          </w:tcPr>
          <w:p>
            <w:pPr>
              <w:jc w:val="center"/>
              <w:ind w:right="340"/>
              <w:spacing w:after="0"/>
              <w:rPr>
                <w:sz w:val="20"/>
                <w:szCs w:val="20"/>
                <w:color w:val="auto"/>
              </w:rPr>
            </w:pPr>
            <w:r>
              <w:rPr>
                <w:rFonts w:ascii="Arial" w:cs="Arial" w:eastAsia="Arial" w:hAnsi="Arial"/>
                <w:sz w:val="12"/>
                <w:szCs w:val="12"/>
                <w:color w:val="auto"/>
                <w:w w:val="92"/>
              </w:rPr>
              <w:t>(Commission File Number)</w:t>
            </w: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37"/>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89"/>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91"/>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0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700" w:type="dxa"/>
            <w:vAlign w:val="bottom"/>
            <w:gridSpan w:val="4"/>
          </w:tcPr>
          <w:p>
            <w:pPr>
              <w:ind w:left="120"/>
              <w:spacing w:after="0"/>
              <w:rPr>
                <w:sz w:val="20"/>
                <w:szCs w:val="20"/>
                <w:color w:val="auto"/>
              </w:rPr>
            </w:pPr>
            <w:r>
              <w:rPr>
                <w:rFonts w:ascii="Arial" w:cs="Arial" w:eastAsia="Arial" w:hAnsi="Arial"/>
                <w:sz w:val="12"/>
                <w:szCs w:val="12"/>
                <w:b w:val="1"/>
                <w:bCs w:val="1"/>
                <w:color w:val="auto"/>
              </w:rPr>
              <w:t>Georgia</w:t>
            </w:r>
          </w:p>
        </w:tc>
        <w:tc>
          <w:tcPr>
            <w:tcW w:w="3580" w:type="dxa"/>
            <w:vAlign w:val="bottom"/>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13"/>
                <w:szCs w:val="13"/>
                <w:color w:val="auto"/>
              </w:rPr>
            </w:pPr>
          </w:p>
        </w:tc>
      </w:tr>
      <w:tr>
        <w:trPr>
          <w:trHeight w:val="142"/>
        </w:trPr>
        <w:tc>
          <w:tcPr>
            <w:tcW w:w="4000" w:type="dxa"/>
            <w:vAlign w:val="bottom"/>
            <w:tcBorders>
              <w:top w:val="single" w:sz="8" w:color="auto"/>
            </w:tcBorders>
            <w:gridSpan w:val="2"/>
          </w:tcPr>
          <w:p>
            <w:pPr>
              <w:jc w:val="center"/>
              <w:ind w:left="1660"/>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85"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Arial" w:cs="Arial" w:eastAsia="Arial" w:hAnsi="Arial"/>
                <w:sz w:val="12"/>
                <w:szCs w:val="12"/>
                <w:color w:val="auto"/>
                <w:w w:val="96"/>
              </w:rPr>
              <w:t>Securities registered pursuant to Section 12(b) of the Act:</w:t>
            </w:r>
          </w:p>
        </w:tc>
        <w:tc>
          <w:tcPr>
            <w:tcW w:w="35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4"/>
        </w:trPr>
        <w:tc>
          <w:tcPr>
            <w:tcW w:w="56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20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1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ind w:right="840"/>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560" w:type="dxa"/>
            <w:vAlign w:val="bottom"/>
          </w:tcPr>
          <w:p>
            <w:pPr>
              <w:spacing w:after="0"/>
              <w:rPr>
                <w:sz w:val="20"/>
                <w:szCs w:val="20"/>
                <w:color w:val="auto"/>
              </w:rPr>
            </w:pPr>
          </w:p>
        </w:tc>
      </w:tr>
      <w:tr>
        <w:trPr>
          <w:trHeight w:val="142"/>
        </w:trPr>
        <w:tc>
          <w:tcPr>
            <w:tcW w:w="560" w:type="dxa"/>
            <w:vAlign w:val="bottom"/>
          </w:tcPr>
          <w:p>
            <w:pPr>
              <w:spacing w:after="0"/>
              <w:rPr>
                <w:sz w:val="12"/>
                <w:szCs w:val="12"/>
                <w:color w:val="auto"/>
              </w:rPr>
            </w:pPr>
          </w:p>
        </w:tc>
        <w:tc>
          <w:tcPr>
            <w:tcW w:w="36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Common stock, $0.001 par value</w:t>
            </w:r>
          </w:p>
        </w:tc>
        <w:tc>
          <w:tcPr>
            <w:tcW w:w="306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PRTH</w:t>
            </w:r>
          </w:p>
        </w:tc>
        <w:tc>
          <w:tcPr>
            <w:tcW w:w="4080" w:type="dxa"/>
            <w:vAlign w:val="bottom"/>
            <w:gridSpan w:val="2"/>
          </w:tcPr>
          <w:p>
            <w:pPr>
              <w:jc w:val="center"/>
              <w:ind w:right="1460"/>
              <w:spacing w:after="0"/>
              <w:rPr>
                <w:sz w:val="20"/>
                <w:szCs w:val="20"/>
                <w:color w:val="auto"/>
              </w:rPr>
            </w:pPr>
            <w:r>
              <w:rPr>
                <w:rFonts w:ascii="Arial" w:cs="Arial" w:eastAsia="Arial" w:hAnsi="Arial"/>
                <w:sz w:val="12"/>
                <w:szCs w:val="12"/>
                <w:color w:val="auto"/>
                <w:w w:val="92"/>
              </w:rPr>
              <w:t>Nasdaq Global Market</w:t>
            </w:r>
          </w:p>
        </w:tc>
      </w:tr>
      <w:tr>
        <w:trPr>
          <w:trHeight w:val="810"/>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2" w:right="299" w:bottom="1440" w:gutter="0" w:footer="0" w:header="0"/>
        </w:sectPr>
      </w:pPr>
    </w:p>
    <w:bookmarkStart w:id="1" w:name="page2"/>
    <w:bookmarkEnd w:id="1"/>
    <w:p>
      <w:pPr>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2" w:lineRule="exact"/>
        <w:rPr>
          <w:sz w:val="20"/>
          <w:szCs w:val="20"/>
          <w:color w:val="auto"/>
        </w:rPr>
      </w:pPr>
    </w:p>
    <w:p>
      <w:pPr>
        <w:ind w:left="120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8" w:lineRule="exact"/>
        <w:rPr>
          <w:sz w:val="20"/>
          <w:szCs w:val="20"/>
          <w:color w:val="auto"/>
        </w:rPr>
      </w:pPr>
    </w:p>
    <w:p>
      <w:pPr>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4" w:right="319" w:bottom="1440" w:gutter="0" w:footer="0" w:header="0"/>
        </w:sectPr>
      </w:pPr>
    </w:p>
    <w:bookmarkStart w:id="2" w:name="page3"/>
    <w:bookmarkEnd w:id="2"/>
    <w:p>
      <w:pPr>
        <w:spacing w:after="0"/>
        <w:tabs>
          <w:tab w:leader="none" w:pos="66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November 9, 2023, Priority Technology Holdings, Inc. ("Priority") issued a press release announcing its financial results for the quarter ended September 30, 2023. A copy of that press release is attached as Exhibit 99.1 to this Current Report on Form 8-K.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November 9, 2023, Priority will hold an earnings conference call and webcast at 11:00 a.m. (Eastern Time) to discuss the financial results for the quarter ended September 30, 2023.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spacing w:after="0" w:line="12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88"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Description</w:t>
            </w: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0000FF"/>
              </w:rPr>
              <w:t>99.1</w:t>
            </w:r>
          </w:p>
        </w:tc>
        <w:tc>
          <w:tcPr>
            <w:tcW w:w="10040" w:type="dxa"/>
            <w:vAlign w:val="bottom"/>
          </w:tcPr>
          <w:p>
            <w:pPr>
              <w:ind w:left="400"/>
              <w:spacing w:after="0"/>
              <w:rPr>
                <w:sz w:val="20"/>
                <w:szCs w:val="20"/>
                <w:color w:val="auto"/>
              </w:rPr>
            </w:pPr>
            <w:r>
              <w:rPr>
                <w:rFonts w:ascii="Arial" w:cs="Arial" w:eastAsia="Arial" w:hAnsi="Arial"/>
                <w:sz w:val="12"/>
                <w:szCs w:val="12"/>
                <w:color w:val="0000FF"/>
              </w:rPr>
              <w:t>Press Release of Priority Technology Holdings, Inc. dated November 9, 2023</w:t>
            </w: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0000FF"/>
              </w:rPr>
              <w:t>99.2</w:t>
            </w:r>
          </w:p>
        </w:tc>
        <w:tc>
          <w:tcPr>
            <w:tcW w:w="10040" w:type="dxa"/>
            <w:vAlign w:val="bottom"/>
          </w:tcPr>
          <w:p>
            <w:pPr>
              <w:ind w:left="400"/>
              <w:spacing w:after="0"/>
              <w:rPr>
                <w:sz w:val="20"/>
                <w:szCs w:val="20"/>
                <w:color w:val="auto"/>
              </w:rPr>
            </w:pPr>
            <w:r>
              <w:rPr>
                <w:rFonts w:ascii="Arial" w:cs="Arial" w:eastAsia="Arial" w:hAnsi="Arial"/>
                <w:sz w:val="12"/>
                <w:szCs w:val="12"/>
                <w:color w:val="0000FF"/>
              </w:rPr>
              <w:t>Supplemental Slide Presentation</w:t>
            </w: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104</w:t>
            </w:r>
          </w:p>
        </w:tc>
        <w:tc>
          <w:tcPr>
            <w:tcW w:w="10040" w:type="dxa"/>
            <w:vAlign w:val="bottom"/>
          </w:tcPr>
          <w:p>
            <w:pPr>
              <w:ind w:left="400"/>
              <w:spacing w:after="0"/>
              <w:rPr>
                <w:sz w:val="20"/>
                <w:szCs w:val="20"/>
                <w:color w:val="auto"/>
              </w:rPr>
            </w:pPr>
            <w:r>
              <w:rPr>
                <w:rFonts w:ascii="Arial" w:cs="Arial" w:eastAsia="Arial" w:hAnsi="Arial"/>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Dated: November 9, 2023</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Timothy O'Leary</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Timothy O'Leary</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1300"/>
          </w:cols>
          <w:pgMar w:left="300" w:top="640" w:right="299" w:bottom="1440" w:gutter="0" w:footer="0" w:header="0"/>
        </w:sectPr>
      </w:pPr>
    </w:p>
    <w:bookmarkStart w:id="3" w:name="page4"/>
    <w:bookmarkEnd w:id="3"/>
    <w:p>
      <w:pPr>
        <w:ind w:left="9860"/>
        <w:spacing w:after="0"/>
        <w:rPr>
          <w:sz w:val="20"/>
          <w:szCs w:val="20"/>
          <w:color w:val="auto"/>
        </w:rPr>
      </w:pPr>
      <w:r>
        <w:rPr>
          <w:rFonts w:ascii="Arial" w:cs="Arial" w:eastAsia="Arial" w:hAnsi="Arial"/>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15240</wp:posOffset>
            </wp:positionV>
            <wp:extent cx="1177290" cy="417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color w:val="auto"/>
        </w:rPr>
        <w:t>Priority Investor Inquiries: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Chris Kettmann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chris.kettmann@dentonsglobaladvisors.com</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(773) 497-7575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Priority Technology Holdings, Inc. Announces Third Quarter 2023 Financial Results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 xml:space="preserve">Strong </w:t>
      </w:r>
      <w:r>
        <w:rPr>
          <w:rFonts w:ascii="Arial" w:cs="Arial" w:eastAsia="Arial" w:hAnsi="Arial"/>
          <w:sz w:val="15"/>
          <w:szCs w:val="15"/>
          <w:i w:val="1"/>
          <w:iCs w:val="1"/>
          <w:color w:val="auto"/>
        </w:rPr>
        <w:t>Third Quarter</w:t>
      </w:r>
      <w:r>
        <w:rPr>
          <w:rFonts w:ascii="Arial" w:cs="Arial" w:eastAsia="Arial" w:hAnsi="Arial"/>
          <w:sz w:val="14"/>
          <w:szCs w:val="14"/>
          <w:i w:val="1"/>
          <w:iCs w:val="1"/>
          <w:color w:val="auto"/>
        </w:rPr>
        <w:t xml:space="preserve"> Growth Driven by Performance Across Diverse Business Segments</w:t>
      </w:r>
    </w:p>
    <w:p>
      <w:pPr>
        <w:spacing w:after="0" w:line="177" w:lineRule="exact"/>
        <w:rPr>
          <w:sz w:val="20"/>
          <w:szCs w:val="20"/>
          <w:color w:val="auto"/>
        </w:rPr>
      </w:pPr>
    </w:p>
    <w:p>
      <w:pPr>
        <w:spacing w:after="0" w:line="329" w:lineRule="auto"/>
        <w:rPr>
          <w:sz w:val="20"/>
          <w:szCs w:val="20"/>
          <w:color w:val="auto"/>
        </w:rPr>
      </w:pPr>
      <w:r>
        <w:rPr>
          <w:rFonts w:ascii="Arial" w:cs="Arial" w:eastAsia="Arial" w:hAnsi="Arial"/>
          <w:sz w:val="13"/>
          <w:szCs w:val="13"/>
          <w:color w:val="auto"/>
        </w:rPr>
        <w:t>ALPHARETTA, GA - November 9, 2023 -- Priority Technology Holdings, Inc. (NASDAQ: PRTH) ("Priority" or the "Company"), the platform for unified commerce that delivers integrated payments and banking services at scale, today announced its third quarter 2023 financial results including strong quarter-over-quarter diversified revenue growth.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Highlights of Consolidated Results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Third Quarter 2023 Compared with Third Quarter 2022</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Financial highlights of the third quarter of 2023 compared with the third quarter of 2022, are as follows:</w:t>
      </w:r>
    </w:p>
    <w:p>
      <w:pPr>
        <w:spacing w:after="0" w:line="175"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Revenue of $189.0 million increased 13.6% from $166.4 million</w:t>
      </w:r>
    </w:p>
    <w:p>
      <w:pPr>
        <w:spacing w:after="0" w:line="34"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gross profit (a non-GAAP measure</w:t>
      </w:r>
      <w:r>
        <w:rPr>
          <w:rFonts w:ascii="Arial" w:cs="Arial" w:eastAsia="Arial" w:hAnsi="Arial"/>
          <w:sz w:val="17"/>
          <w:szCs w:val="17"/>
          <w:color w:val="auto"/>
          <w:vertAlign w:val="superscript"/>
        </w:rPr>
        <w:t>1</w:t>
      </w:r>
      <w:r>
        <w:rPr>
          <w:rFonts w:ascii="Arial" w:cs="Arial" w:eastAsia="Arial" w:hAnsi="Arial"/>
          <w:sz w:val="13"/>
          <w:szCs w:val="13"/>
          <w:color w:val="auto"/>
        </w:rPr>
        <w:t>) of $72.3 million increased 23.6% from $58.5 million</w:t>
      </w:r>
    </w:p>
    <w:p>
      <w:pPr>
        <w:ind w:left="420" w:hanging="212"/>
        <w:spacing w:after="0" w:line="221" w:lineRule="auto"/>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gross profit margin (a non-GAAP measure</w:t>
      </w:r>
      <w:r>
        <w:rPr>
          <w:rFonts w:ascii="Arial" w:cs="Arial" w:eastAsia="Arial" w:hAnsi="Arial"/>
          <w:sz w:val="17"/>
          <w:szCs w:val="17"/>
          <w:color w:val="auto"/>
          <w:vertAlign w:val="superscript"/>
        </w:rPr>
        <w:t>1</w:t>
      </w:r>
      <w:r>
        <w:rPr>
          <w:rFonts w:ascii="Arial" w:cs="Arial" w:eastAsia="Arial" w:hAnsi="Arial"/>
          <w:sz w:val="13"/>
          <w:szCs w:val="13"/>
          <w:color w:val="auto"/>
        </w:rPr>
        <w:t>) of 38.3% increased 310 basis points from 35.2%</w:t>
      </w: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Operating income of $23.5 million increased 66.7% from $14.1 million</w:t>
      </w:r>
    </w:p>
    <w:p>
      <w:pPr>
        <w:spacing w:after="0" w:line="29"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EBITDA (a non-GAAP measure</w:t>
      </w:r>
      <w:r>
        <w:rPr>
          <w:rFonts w:ascii="Arial" w:cs="Arial" w:eastAsia="Arial" w:hAnsi="Arial"/>
          <w:sz w:val="17"/>
          <w:szCs w:val="17"/>
          <w:color w:val="auto"/>
          <w:vertAlign w:val="superscript"/>
        </w:rPr>
        <w:t>1</w:t>
      </w:r>
      <w:r>
        <w:rPr>
          <w:rFonts w:ascii="Arial" w:cs="Arial" w:eastAsia="Arial" w:hAnsi="Arial"/>
          <w:sz w:val="13"/>
          <w:szCs w:val="13"/>
          <w:color w:val="auto"/>
        </w:rPr>
        <w:t>) of $45.0 million increased 28.2% from $35.1 million</w:t>
      </w:r>
    </w:p>
    <w:p>
      <w:pPr>
        <w:spacing w:after="0" w:line="291" w:lineRule="exact"/>
        <w:rPr>
          <w:sz w:val="20"/>
          <w:szCs w:val="20"/>
          <w:color w:val="auto"/>
        </w:rPr>
      </w:pPr>
    </w:p>
    <w:p>
      <w:pPr>
        <w:spacing w:after="0" w:line="302" w:lineRule="auto"/>
        <w:rPr>
          <w:sz w:val="20"/>
          <w:szCs w:val="20"/>
          <w:color w:val="auto"/>
        </w:rPr>
      </w:pPr>
      <w:r>
        <w:rPr>
          <w:rFonts w:ascii="Arial" w:cs="Arial" w:eastAsia="Arial" w:hAnsi="Arial"/>
          <w:sz w:val="13"/>
          <w:szCs w:val="13"/>
          <w:color w:val="auto"/>
        </w:rPr>
        <w:t>"Building on the momentum we saw in the first half of the year, during the third quarter we continued to execute in all three segments of our business, delivering strong results in SMB Acquiring, B2B and Enterprise Payments," said Tom Priore, Chairman &amp; CEO of Priority. "We are delivering on the promise of unified commerce with clear and sustainable financial performance, as clearly evidenced in our results throughout the tumultuous economic environments like the pandemic and today. We have invested thoughtfully in technology and built scalable operations and financial resources that will continue to outperform as market demands evolve."</w:t>
      </w:r>
    </w:p>
    <w:p>
      <w:pPr>
        <w:spacing w:after="0" w:line="130" w:lineRule="exact"/>
        <w:rPr>
          <w:sz w:val="20"/>
          <w:szCs w:val="20"/>
          <w:color w:val="auto"/>
        </w:rPr>
      </w:pPr>
    </w:p>
    <w:p>
      <w:pPr>
        <w:ind w:left="420" w:right="260" w:hanging="212"/>
        <w:spacing w:after="0"/>
        <w:tabs>
          <w:tab w:leader="none" w:pos="412"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i w:val="1"/>
          <w:iCs w:val="1"/>
          <w:color w:val="auto"/>
        </w:rPr>
        <w:t>See "Non-GAAP Financial Measures" and the reconciliations of Adjusted Gross Profit (non-GAAP), Adjusted Gross Profit Margin (non-GAAP), and Adjusted EBITDA, to their most comparable GAAP measures provided below for additional information.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80"/>
          </w:cols>
          <w:pgMar w:left="300" w:top="653"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u w:val="single" w:color="auto"/>
          <w:color w:val="auto"/>
        </w:rPr>
        <w:t>Updated Full Year 2023 Financial Guidance</w:t>
      </w:r>
    </w:p>
    <w:p>
      <w:pPr>
        <w:spacing w:after="0" w:line="179" w:lineRule="exact"/>
        <w:rPr>
          <w:sz w:val="20"/>
          <w:szCs w:val="20"/>
          <w:color w:val="auto"/>
        </w:rPr>
      </w:pPr>
    </w:p>
    <w:p>
      <w:pPr>
        <w:ind w:right="20"/>
        <w:spacing w:after="0" w:line="314" w:lineRule="auto"/>
        <w:rPr>
          <w:sz w:val="20"/>
          <w:szCs w:val="20"/>
          <w:color w:val="auto"/>
        </w:rPr>
      </w:pPr>
      <w:r>
        <w:rPr>
          <w:rFonts w:ascii="Arial" w:cs="Arial" w:eastAsia="Arial" w:hAnsi="Arial"/>
          <w:sz w:val="13"/>
          <w:szCs w:val="13"/>
          <w:color w:val="070707"/>
        </w:rPr>
        <w:t>Based on a combination of results for the nine month period ended September 30, 2023 and the forecasted results for the Company's fourth quarter, the Company has updated its outlook for the full year 2023 as follows:</w:t>
      </w:r>
    </w:p>
    <w:p>
      <w:pPr>
        <w:spacing w:after="0" w:line="122"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Revenue forecast revised to range between $755 million to $765 million, a growth rate of 14% to 15%, compared to fiscal results 2022 results</w:t>
      </w:r>
    </w:p>
    <w:p>
      <w:pPr>
        <w:spacing w:after="0" w:line="30"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Adjusted EBITDA (a non-GAAP measure) forecast to range between $167 million to $170 million, a growth rate of 19% to 21% compared to fiscal 2022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Conference Call</w:t>
      </w:r>
    </w:p>
    <w:p>
      <w:pPr>
        <w:spacing w:after="0" w:line="179"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070707"/>
        </w:rPr>
        <w:t>Priority's leadership will host a conference call on Thursday, November 9, 2023 at 11:00 a.m. EST to discuss its third quarter 2023 financial results. Participants can access the call by p</w:t>
      </w:r>
      <w:r>
        <w:rPr>
          <w:rFonts w:ascii="Arial" w:cs="Arial" w:eastAsia="Arial" w:hAnsi="Arial"/>
          <w:sz w:val="13"/>
          <w:szCs w:val="13"/>
          <w:color w:val="000000"/>
        </w:rPr>
        <w:t>hone in the U.S. or Canada at</w:t>
      </w:r>
      <w:r>
        <w:rPr>
          <w:rFonts w:ascii="Arial" w:cs="Arial" w:eastAsia="Arial" w:hAnsi="Arial"/>
          <w:sz w:val="13"/>
          <w:szCs w:val="13"/>
          <w:color w:val="070707"/>
        </w:rPr>
        <w:t xml:space="preserve"> </w:t>
      </w:r>
      <w:r>
        <w:rPr>
          <w:rFonts w:ascii="Arial" w:cs="Arial" w:eastAsia="Arial" w:hAnsi="Arial"/>
          <w:sz w:val="13"/>
          <w:szCs w:val="13"/>
          <w:color w:val="000000"/>
        </w:rPr>
        <w:t>(833) 636-1319 or internationally at (412) 902-4286.</w:t>
      </w:r>
    </w:p>
    <w:p>
      <w:pPr>
        <w:spacing w:after="0" w:line="114" w:lineRule="exact"/>
        <w:rPr>
          <w:sz w:val="20"/>
          <w:szCs w:val="20"/>
          <w:color w:val="auto"/>
        </w:rPr>
      </w:pPr>
    </w:p>
    <w:p>
      <w:pPr>
        <w:jc w:val="both"/>
        <w:ind w:right="20"/>
        <w:spacing w:after="0" w:line="337" w:lineRule="auto"/>
        <w:rPr>
          <w:sz w:val="20"/>
          <w:szCs w:val="20"/>
          <w:color w:val="auto"/>
        </w:rPr>
      </w:pPr>
      <w:r>
        <w:rPr>
          <w:rFonts w:ascii="Arial" w:cs="Arial" w:eastAsia="Arial" w:hAnsi="Arial"/>
          <w:sz w:val="13"/>
          <w:szCs w:val="13"/>
          <w:color w:val="auto"/>
        </w:rPr>
        <w:t xml:space="preserve">The Internet webcast link and accompanying slide presentation can be accessed at </w:t>
      </w:r>
      <w:r>
        <w:rPr>
          <w:rFonts w:ascii="Arial" w:cs="Arial" w:eastAsia="Arial" w:hAnsi="Arial"/>
          <w:sz w:val="14"/>
          <w:szCs w:val="14"/>
          <w:b w:val="1"/>
          <w:bCs w:val="1"/>
          <w:color w:val="auto"/>
        </w:rPr>
        <w:t>https://edge.media-server.com/mmc/p/iucimqrs</w:t>
      </w:r>
      <w:r>
        <w:rPr>
          <w:rFonts w:ascii="Arial" w:cs="Arial" w:eastAsia="Arial" w:hAnsi="Arial"/>
          <w:sz w:val="13"/>
          <w:szCs w:val="13"/>
          <w:color w:val="auto"/>
        </w:rPr>
        <w:t xml:space="preserve"> and will also be posted in the "Investor Relations" section of the Company's website at www.prioritycommerce.com.</w:t>
      </w:r>
    </w:p>
    <w:p>
      <w:pPr>
        <w:spacing w:after="0" w:line="94"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 xml:space="preserve">An audio replay of the call will be available shortly after the conference call until November 16, 2023 at 2:00 p.m. EST. To listen to the audio replay, dial (877) 344-7529 or (412) 317-0088 and enter conference ID number </w:t>
      </w:r>
      <w:r>
        <w:rPr>
          <w:rFonts w:ascii="Arial" w:cs="Arial" w:eastAsia="Arial" w:hAnsi="Arial"/>
          <w:sz w:val="13"/>
          <w:szCs w:val="13"/>
          <w:b w:val="1"/>
          <w:bCs w:val="1"/>
          <w:color w:val="222222"/>
        </w:rPr>
        <w:t>2955856</w:t>
      </w:r>
      <w:r>
        <w:rPr>
          <w:rFonts w:ascii="Arial" w:cs="Arial" w:eastAsia="Arial" w:hAnsi="Arial"/>
          <w:sz w:val="13"/>
          <w:szCs w:val="13"/>
          <w:color w:val="auto"/>
        </w:rPr>
        <w:t>. Alternatively, you may access the webcast replay in the "Investor Relations" section of the Company's website at www.prioritycommerce.com.</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0A0A0A"/>
        </w:rPr>
        <w:t>Non-GAAP Financial Measures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656" w:right="29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i w:val="1"/>
          <w:iCs w:val="1"/>
          <w:color w:val="auto"/>
        </w:rPr>
        <w:t>Adjusted Gross Profit and Adjusted Gross Profit Margin</w:t>
      </w:r>
    </w:p>
    <w:p>
      <w:pPr>
        <w:spacing w:after="0" w:line="148" w:lineRule="exact"/>
        <w:rPr>
          <w:sz w:val="20"/>
          <w:szCs w:val="20"/>
          <w:color w:val="auto"/>
        </w:rPr>
      </w:pPr>
    </w:p>
    <w:p>
      <w:pPr>
        <w:jc w:val="both"/>
        <w:ind w:right="20"/>
        <w:spacing w:after="0" w:line="285" w:lineRule="auto"/>
        <w:rPr>
          <w:sz w:val="20"/>
          <w:szCs w:val="20"/>
          <w:color w:val="auto"/>
        </w:rPr>
      </w:pPr>
      <w:r>
        <w:rPr>
          <w:rFonts w:ascii="Arial" w:cs="Arial" w:eastAsia="Arial" w:hAnsi="Arial"/>
          <w:sz w:val="13"/>
          <w:szCs w:val="13"/>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162"/>
        </w:trPr>
        <w:tc>
          <w:tcPr>
            <w:tcW w:w="7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6"/>
        </w:trPr>
        <w:tc>
          <w:tcPr>
            <w:tcW w:w="7880" w:type="dxa"/>
            <w:vAlign w:val="bottom"/>
          </w:tcPr>
          <w:p>
            <w:pPr>
              <w:spacing w:after="0"/>
              <w:rPr>
                <w:sz w:val="20"/>
                <w:szCs w:val="20"/>
                <w:color w:val="auto"/>
              </w:rPr>
            </w:pPr>
            <w:r>
              <w:rPr>
                <w:rFonts w:ascii="Arial" w:cs="Arial" w:eastAsia="Arial" w:hAnsi="Arial"/>
                <w:sz w:val="13"/>
                <w:szCs w:val="13"/>
                <w:color w:val="auto"/>
              </w:rPr>
              <w:t>Revenues</w:t>
            </w:r>
          </w:p>
        </w:tc>
        <w:tc>
          <w:tcPr>
            <w:tcW w:w="380" w:type="dxa"/>
            <w:vAlign w:val="bottom"/>
          </w:tcPr>
          <w:p>
            <w:pPr>
              <w:jc w:val="right"/>
              <w:ind w:right="234"/>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94"/>
              <w:spacing w:after="0"/>
              <w:rPr>
                <w:sz w:val="20"/>
                <w:szCs w:val="20"/>
                <w:color w:val="auto"/>
              </w:rPr>
            </w:pPr>
            <w:r>
              <w:rPr>
                <w:rFonts w:ascii="Arial" w:cs="Arial" w:eastAsia="Arial" w:hAnsi="Arial"/>
                <w:sz w:val="13"/>
                <w:szCs w:val="13"/>
                <w:color w:val="auto"/>
              </w:rPr>
              <w:t>189,015</w:t>
            </w:r>
          </w:p>
        </w:tc>
        <w:tc>
          <w:tcPr>
            <w:tcW w:w="80" w:type="dxa"/>
            <w:vAlign w:val="bottom"/>
          </w:tcPr>
          <w:p>
            <w:pPr>
              <w:spacing w:after="0"/>
              <w:rPr>
                <w:sz w:val="13"/>
                <w:szCs w:val="13"/>
                <w:color w:val="auto"/>
              </w:rPr>
            </w:pPr>
          </w:p>
        </w:tc>
        <w:tc>
          <w:tcPr>
            <w:tcW w:w="380" w:type="dxa"/>
            <w:vAlign w:val="bottom"/>
          </w:tcPr>
          <w:p>
            <w:pPr>
              <w:jc w:val="right"/>
              <w:ind w:right="234"/>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94"/>
              <w:spacing w:after="0"/>
              <w:rPr>
                <w:sz w:val="20"/>
                <w:szCs w:val="20"/>
                <w:color w:val="auto"/>
              </w:rPr>
            </w:pPr>
            <w:r>
              <w:rPr>
                <w:rFonts w:ascii="Arial" w:cs="Arial" w:eastAsia="Arial" w:hAnsi="Arial"/>
                <w:sz w:val="13"/>
                <w:szCs w:val="13"/>
                <w:color w:val="auto"/>
              </w:rPr>
              <w:t>166,417</w:t>
            </w:r>
          </w:p>
        </w:tc>
        <w:tc>
          <w:tcPr>
            <w:tcW w:w="0" w:type="dxa"/>
            <w:vAlign w:val="bottom"/>
          </w:tcPr>
          <w:p>
            <w:pPr>
              <w:spacing w:after="0"/>
              <w:rPr>
                <w:sz w:val="1"/>
                <w:szCs w:val="1"/>
                <w:color w:val="auto"/>
              </w:rPr>
            </w:pPr>
          </w:p>
        </w:tc>
      </w:tr>
      <w:tr>
        <w:trPr>
          <w:trHeight w:val="173"/>
        </w:trPr>
        <w:tc>
          <w:tcPr>
            <w:tcW w:w="7880" w:type="dxa"/>
            <w:vAlign w:val="bottom"/>
          </w:tcPr>
          <w:p>
            <w:pPr>
              <w:spacing w:after="0"/>
              <w:rPr>
                <w:sz w:val="20"/>
                <w:szCs w:val="20"/>
                <w:color w:val="auto"/>
              </w:rPr>
            </w:pPr>
            <w:r>
              <w:rPr>
                <w:rFonts w:ascii="Arial" w:cs="Arial" w:eastAsia="Arial" w:hAnsi="Arial"/>
                <w:sz w:val="13"/>
                <w:szCs w:val="13"/>
                <w:color w:val="auto"/>
              </w:rPr>
              <w:t>Cost of revenue (excluding depreciation and amortization)</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(116,682)</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(107,958)</w:t>
            </w:r>
          </w:p>
        </w:tc>
        <w:tc>
          <w:tcPr>
            <w:tcW w:w="0" w:type="dxa"/>
            <w:vAlign w:val="bottom"/>
          </w:tcPr>
          <w:p>
            <w:pPr>
              <w:spacing w:after="0"/>
              <w:rPr>
                <w:sz w:val="1"/>
                <w:szCs w:val="1"/>
                <w:color w:val="auto"/>
              </w:rPr>
            </w:pPr>
          </w:p>
        </w:tc>
      </w:tr>
      <w:tr>
        <w:trPr>
          <w:trHeight w:val="163"/>
        </w:trPr>
        <w:tc>
          <w:tcPr>
            <w:tcW w:w="7880" w:type="dxa"/>
            <w:vAlign w:val="bottom"/>
          </w:tcPr>
          <w:p>
            <w:pPr>
              <w:spacing w:after="0"/>
              <w:rPr>
                <w:sz w:val="20"/>
                <w:szCs w:val="20"/>
                <w:color w:val="auto"/>
              </w:rPr>
            </w:pPr>
            <w:r>
              <w:rPr>
                <w:rFonts w:ascii="Arial" w:cs="Arial" w:eastAsia="Arial" w:hAnsi="Arial"/>
                <w:sz w:val="13"/>
                <w:szCs w:val="13"/>
                <w:color w:val="auto"/>
              </w:rPr>
              <w:t>Adjusted gross profit</w:t>
            </w:r>
          </w:p>
        </w:tc>
        <w:tc>
          <w:tcPr>
            <w:tcW w:w="3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72,333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58,459</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3"/>
                <w:szCs w:val="13"/>
                <w:color w:val="auto"/>
              </w:rPr>
              <w:t>Adjusted gross profit margin</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3"/>
                <w:szCs w:val="13"/>
                <w:color w:val="auto"/>
              </w:rPr>
              <w:t>38.3 %</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3"/>
                <w:szCs w:val="13"/>
                <w:color w:val="auto"/>
              </w:rPr>
              <w:t>35.1 %</w:t>
            </w:r>
          </w:p>
        </w:tc>
        <w:tc>
          <w:tcPr>
            <w:tcW w:w="0" w:type="dxa"/>
            <w:vAlign w:val="bottom"/>
          </w:tcPr>
          <w:p>
            <w:pPr>
              <w:spacing w:after="0"/>
              <w:rPr>
                <w:sz w:val="1"/>
                <w:szCs w:val="1"/>
                <w:color w:val="auto"/>
              </w:rPr>
            </w:pPr>
          </w:p>
        </w:tc>
      </w:tr>
      <w:tr>
        <w:trPr>
          <w:trHeight w:val="173"/>
        </w:trPr>
        <w:tc>
          <w:tcPr>
            <w:tcW w:w="7880" w:type="dxa"/>
            <w:vAlign w:val="bottom"/>
          </w:tcPr>
          <w:p>
            <w:pPr>
              <w:spacing w:after="0"/>
              <w:rPr>
                <w:sz w:val="20"/>
                <w:szCs w:val="20"/>
                <w:color w:val="auto"/>
              </w:rPr>
            </w:pPr>
            <w:r>
              <w:rPr>
                <w:rFonts w:ascii="Arial" w:cs="Arial" w:eastAsia="Arial" w:hAnsi="Arial"/>
                <w:sz w:val="13"/>
                <w:szCs w:val="13"/>
                <w:color w:val="auto"/>
              </w:rPr>
              <w:t>Depreciation and amortization of revenue generating assets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(3,000)</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(2,629)</w:t>
            </w:r>
          </w:p>
        </w:tc>
        <w:tc>
          <w:tcPr>
            <w:tcW w:w="0" w:type="dxa"/>
            <w:vAlign w:val="bottom"/>
          </w:tcPr>
          <w:p>
            <w:pPr>
              <w:spacing w:after="0"/>
              <w:rPr>
                <w:sz w:val="1"/>
                <w:szCs w:val="1"/>
                <w:color w:val="auto"/>
              </w:rPr>
            </w:pPr>
          </w:p>
        </w:tc>
      </w:tr>
      <w:tr>
        <w:trPr>
          <w:trHeight w:val="163"/>
        </w:trPr>
        <w:tc>
          <w:tcPr>
            <w:tcW w:w="7880" w:type="dxa"/>
            <w:vAlign w:val="bottom"/>
          </w:tcPr>
          <w:p>
            <w:pPr>
              <w:spacing w:after="0"/>
              <w:rPr>
                <w:sz w:val="20"/>
                <w:szCs w:val="20"/>
                <w:color w:val="auto"/>
              </w:rPr>
            </w:pPr>
            <w:r>
              <w:rPr>
                <w:rFonts w:ascii="Arial" w:cs="Arial" w:eastAsia="Arial" w:hAnsi="Arial"/>
                <w:sz w:val="13"/>
                <w:szCs w:val="13"/>
                <w:color w:val="auto"/>
              </w:rPr>
              <w:t>Gross profit</w:t>
            </w:r>
          </w:p>
        </w:tc>
        <w:tc>
          <w:tcPr>
            <w:tcW w:w="3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69,333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55,830</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3"/>
                <w:szCs w:val="13"/>
                <w:color w:val="auto"/>
              </w:rPr>
              <w:t>Gross profit margin</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3"/>
                <w:szCs w:val="13"/>
                <w:color w:val="auto"/>
              </w:rPr>
              <w:t>36.7 %</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3"/>
                <w:szCs w:val="13"/>
                <w:color w:val="auto"/>
              </w:rPr>
              <w:t>33.5 %</w:t>
            </w: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EBITDA and Adjusted EBITDA</w:t>
      </w:r>
    </w:p>
    <w:p>
      <w:pPr>
        <w:spacing w:after="0" w:line="193" w:lineRule="exact"/>
        <w:rPr>
          <w:sz w:val="20"/>
          <w:szCs w:val="20"/>
          <w:color w:val="auto"/>
        </w:rPr>
      </w:pPr>
    </w:p>
    <w:p>
      <w:pPr>
        <w:jc w:val="both"/>
        <w:spacing w:after="0" w:line="307" w:lineRule="auto"/>
        <w:rPr>
          <w:sz w:val="20"/>
          <w:szCs w:val="20"/>
          <w:color w:val="auto"/>
        </w:rPr>
      </w:pPr>
      <w:r>
        <w:rPr>
          <w:rFonts w:ascii="Arial" w:cs="Arial" w:eastAsia="Arial" w:hAnsi="Arial"/>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00" w:type="dxa"/>
            <w:vAlign w:val="bottom"/>
          </w:tcPr>
          <w:p>
            <w:pPr>
              <w:spacing w:after="0"/>
              <w:rPr>
                <w:sz w:val="20"/>
                <w:szCs w:val="20"/>
                <w:color w:val="auto"/>
              </w:rPr>
            </w:pPr>
            <w:r>
              <w:rPr>
                <w:rFonts w:ascii="Arial" w:cs="Arial" w:eastAsia="Arial" w:hAnsi="Arial"/>
                <w:sz w:val="13"/>
                <w:szCs w:val="13"/>
                <w:color w:val="auto"/>
                <w:w w:val="96"/>
              </w:rPr>
              <w:t>The reconciliation of adjusted EBITDA to its most comparable GAAP measure is provided below:</w:t>
            </w: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2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6"/>
        </w:trPr>
        <w:tc>
          <w:tcPr>
            <w:tcW w:w="5400" w:type="dxa"/>
            <w:vAlign w:val="bottom"/>
          </w:tcPr>
          <w:p>
            <w:pPr>
              <w:spacing w:after="0"/>
              <w:rPr>
                <w:sz w:val="20"/>
                <w:szCs w:val="20"/>
                <w:color w:val="auto"/>
              </w:rPr>
            </w:pPr>
            <w:r>
              <w:rPr>
                <w:rFonts w:ascii="Arial" w:cs="Arial" w:eastAsia="Arial" w:hAnsi="Arial"/>
                <w:sz w:val="13"/>
                <w:szCs w:val="13"/>
                <w:color w:val="auto"/>
              </w:rPr>
              <w:t>Net loss</w:t>
            </w:r>
          </w:p>
        </w:tc>
        <w:tc>
          <w:tcPr>
            <w:tcW w:w="2760" w:type="dxa"/>
            <w:vAlign w:val="bottom"/>
          </w:tcPr>
          <w:p>
            <w:pPr>
              <w:spacing w:after="0"/>
              <w:rPr>
                <w:sz w:val="13"/>
                <w:szCs w:val="13"/>
                <w:color w:val="auto"/>
              </w:rPr>
            </w:pP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3"/>
                <w:szCs w:val="13"/>
                <w:color w:val="auto"/>
              </w:rPr>
            </w:pPr>
          </w:p>
        </w:tc>
        <w:tc>
          <w:tcPr>
            <w:tcW w:w="360" w:type="dxa"/>
            <w:vAlign w:val="bottom"/>
          </w:tcPr>
          <w:p>
            <w:pPr>
              <w:jc w:val="right"/>
              <w:ind w:right="21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(792)</w:t>
            </w:r>
          </w:p>
        </w:tc>
        <w:tc>
          <w:tcPr>
            <w:tcW w:w="0" w:type="dxa"/>
            <w:vAlign w:val="bottom"/>
          </w:tcPr>
          <w:p>
            <w:pPr>
              <w:spacing w:after="0"/>
              <w:rPr>
                <w:sz w:val="1"/>
                <w:szCs w:val="1"/>
                <w:color w:val="auto"/>
              </w:rPr>
            </w:pPr>
          </w:p>
        </w:tc>
      </w:tr>
      <w:tr>
        <w:trPr>
          <w:trHeight w:val="169"/>
        </w:trPr>
        <w:tc>
          <w:tcPr>
            <w:tcW w:w="540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19,997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13,412</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Arial" w:cs="Arial" w:eastAsia="Arial" w:hAnsi="Arial"/>
                <w:sz w:val="13"/>
                <w:szCs w:val="13"/>
                <w:color w:val="auto"/>
              </w:rPr>
              <w:t>Income tax expense</w:t>
            </w: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4,328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1,691</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2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17,275</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17,817</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3"/>
                <w:szCs w:val="13"/>
                <w:color w:val="auto"/>
              </w:rPr>
              <w:t>EBITDA</w:t>
            </w: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41,513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32,128</w:t>
            </w:r>
          </w:p>
        </w:tc>
        <w:tc>
          <w:tcPr>
            <w:tcW w:w="0" w:type="dxa"/>
            <w:vAlign w:val="bottom"/>
          </w:tcPr>
          <w:p>
            <w:pPr>
              <w:spacing w:after="0"/>
              <w:rPr>
                <w:sz w:val="1"/>
                <w:szCs w:val="1"/>
                <w:color w:val="auto"/>
              </w:rPr>
            </w:pPr>
          </w:p>
        </w:tc>
      </w:tr>
      <w:tr>
        <w:trPr>
          <w:trHeight w:val="169"/>
        </w:trPr>
        <w:tc>
          <w:tcPr>
            <w:tcW w:w="5400" w:type="dxa"/>
            <w:vAlign w:val="bottom"/>
          </w:tcPr>
          <w:p>
            <w:pPr>
              <w:ind w:left="140"/>
              <w:spacing w:after="0"/>
              <w:rPr>
                <w:sz w:val="20"/>
                <w:szCs w:val="20"/>
                <w:color w:val="auto"/>
              </w:rPr>
            </w:pPr>
            <w:r>
              <w:rPr>
                <w:rFonts w:ascii="Arial" w:cs="Arial" w:eastAsia="Arial" w:hAnsi="Arial"/>
                <w:sz w:val="13"/>
                <w:szCs w:val="13"/>
                <w:color w:val="auto"/>
              </w:rPr>
              <w:t>Non-recurring gain</w:t>
            </w: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Arial" w:cs="Arial" w:eastAsia="Arial" w:hAnsi="Arial"/>
                <w:sz w:val="13"/>
                <w:szCs w:val="13"/>
                <w:color w:val="auto"/>
              </w:rPr>
              <w:t>Selling, general and administrative (non-recurring)</w:t>
            </w: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760</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Arial" w:cs="Arial" w:eastAsia="Arial" w:hAnsi="Arial"/>
                <w:sz w:val="13"/>
                <w:szCs w:val="13"/>
                <w:color w:val="auto"/>
              </w:rPr>
              <w:t>Non-cash stock-based compensation</w:t>
            </w: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1,501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1,104</w:t>
            </w:r>
          </w:p>
        </w:tc>
        <w:tc>
          <w:tcPr>
            <w:tcW w:w="0" w:type="dxa"/>
            <w:vAlign w:val="bottom"/>
          </w:tcPr>
          <w:p>
            <w:pPr>
              <w:spacing w:after="0"/>
              <w:rPr>
                <w:sz w:val="1"/>
                <w:szCs w:val="1"/>
                <w:color w:val="auto"/>
              </w:rPr>
            </w:pPr>
          </w:p>
        </w:tc>
      </w:tr>
      <w:tr>
        <w:trPr>
          <w:trHeight w:val="174"/>
        </w:trPr>
        <w:tc>
          <w:tcPr>
            <w:tcW w:w="5400" w:type="dxa"/>
            <w:vAlign w:val="bottom"/>
          </w:tcPr>
          <w:p>
            <w:pPr>
              <w:ind w:left="140"/>
              <w:spacing w:after="0"/>
              <w:rPr>
                <w:sz w:val="20"/>
                <w:szCs w:val="20"/>
                <w:color w:val="auto"/>
              </w:rPr>
            </w:pPr>
            <w:r>
              <w:rPr>
                <w:rFonts w:ascii="Arial" w:cs="Arial" w:eastAsia="Arial" w:hAnsi="Arial"/>
                <w:sz w:val="13"/>
                <w:szCs w:val="13"/>
                <w:color w:val="auto"/>
              </w:rPr>
              <w:t>Change in the fair value of contingent consideration</w:t>
            </w:r>
          </w:p>
        </w:tc>
        <w:tc>
          <w:tcPr>
            <w:tcW w:w="2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1,072</w:t>
            </w:r>
          </w:p>
        </w:tc>
        <w:tc>
          <w:tcPr>
            <w:tcW w:w="0" w:type="dxa"/>
            <w:vAlign w:val="bottom"/>
          </w:tcPr>
          <w:p>
            <w:pPr>
              <w:spacing w:after="0"/>
              <w:rPr>
                <w:sz w:val="1"/>
                <w:szCs w:val="1"/>
                <w:color w:val="auto"/>
              </w:rPr>
            </w:pPr>
          </w:p>
        </w:tc>
      </w:tr>
      <w:tr>
        <w:trPr>
          <w:trHeight w:val="164"/>
        </w:trPr>
        <w:tc>
          <w:tcPr>
            <w:tcW w:w="5400" w:type="dxa"/>
            <w:vAlign w:val="bottom"/>
          </w:tcPr>
          <w:p>
            <w:pPr>
              <w:spacing w:after="0"/>
              <w:rPr>
                <w:sz w:val="20"/>
                <w:szCs w:val="20"/>
                <w:color w:val="auto"/>
              </w:rPr>
            </w:pPr>
            <w:r>
              <w:rPr>
                <w:rFonts w:ascii="Arial" w:cs="Arial" w:eastAsia="Arial" w:hAnsi="Arial"/>
                <w:sz w:val="13"/>
                <w:szCs w:val="13"/>
                <w:b w:val="1"/>
                <w:bCs w:val="1"/>
                <w:color w:val="auto"/>
              </w:rPr>
              <w:t>Adjusted EBITDA</w:t>
            </w:r>
          </w:p>
        </w:tc>
        <w:tc>
          <w:tcPr>
            <w:tcW w:w="27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44,962</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35,064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760" w:type="dxa"/>
            <w:vAlign w:val="bottom"/>
            <w:vMerge w:val="restart"/>
          </w:tcPr>
          <w:p>
            <w:pPr>
              <w:jc w:val="right"/>
              <w:ind w:right="2420"/>
              <w:spacing w:after="0"/>
              <w:rPr>
                <w:sz w:val="20"/>
                <w:szCs w:val="20"/>
                <w:color w:val="auto"/>
              </w:rPr>
            </w:pPr>
            <w:r>
              <w:rPr>
                <w:rFonts w:ascii="Arial" w:cs="Arial" w:eastAsia="Arial" w:hAnsi="Arial"/>
                <w:sz w:val="12"/>
                <w:szCs w:val="12"/>
                <w:color w:val="auto"/>
              </w:rPr>
              <w:t>3</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48" w:right="29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60" w:type="dxa"/>
            <w:vAlign w:val="bottom"/>
          </w:tcPr>
          <w:p>
            <w:pPr>
              <w:spacing w:after="0"/>
              <w:rPr>
                <w:sz w:val="20"/>
                <w:szCs w:val="20"/>
                <w:color w:val="auto"/>
              </w:rPr>
            </w:pPr>
            <w:r>
              <w:rPr>
                <w:rFonts w:ascii="Arial" w:cs="Arial" w:eastAsia="Arial" w:hAnsi="Arial"/>
                <w:sz w:val="13"/>
                <w:szCs w:val="13"/>
                <w:color w:val="auto"/>
                <w:w w:val="96"/>
              </w:rPr>
              <w:t>Further detail of certain of these adjustments, and where these items are recorded in our consolidated statements of operations, is provided below:</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54"/>
        </w:trPr>
        <w:tc>
          <w:tcPr>
            <w:tcW w:w="816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3"/>
                <w:szCs w:val="13"/>
                <w:b w:val="1"/>
                <w:bCs w:val="1"/>
                <w:color w:val="auto"/>
              </w:rPr>
              <w:t>Three Months Ended September 30,</w:t>
            </w:r>
          </w:p>
        </w:tc>
      </w:tr>
      <w:tr>
        <w:trPr>
          <w:trHeight w:val="162"/>
        </w:trPr>
        <w:tc>
          <w:tcPr>
            <w:tcW w:w="8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2022</w:t>
            </w:r>
          </w:p>
        </w:tc>
      </w:tr>
      <w:tr>
        <w:trPr>
          <w:trHeight w:val="150"/>
        </w:trPr>
        <w:tc>
          <w:tcPr>
            <w:tcW w:w="8160" w:type="dxa"/>
            <w:vAlign w:val="bottom"/>
          </w:tcPr>
          <w:p>
            <w:pPr>
              <w:spacing w:after="0"/>
              <w:rPr>
                <w:sz w:val="20"/>
                <w:szCs w:val="20"/>
                <w:color w:val="auto"/>
              </w:rPr>
            </w:pPr>
            <w:r>
              <w:rPr>
                <w:rFonts w:ascii="Arial" w:cs="Arial" w:eastAsia="Arial" w:hAnsi="Arial"/>
                <w:sz w:val="13"/>
                <w:szCs w:val="13"/>
                <w:b w:val="1"/>
                <w:bCs w:val="1"/>
                <w:color w:val="auto"/>
              </w:rPr>
              <w:t>Selling, general and administrative expenses (non-recurring):</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7"/>
        </w:trPr>
        <w:tc>
          <w:tcPr>
            <w:tcW w:w="8160" w:type="dxa"/>
            <w:vAlign w:val="bottom"/>
          </w:tcPr>
          <w:p>
            <w:pPr>
              <w:ind w:left="140"/>
              <w:spacing w:after="0"/>
              <w:rPr>
                <w:sz w:val="20"/>
                <w:szCs w:val="20"/>
                <w:color w:val="auto"/>
              </w:rPr>
            </w:pPr>
            <w:r>
              <w:rPr>
                <w:rFonts w:ascii="Arial" w:cs="Arial" w:eastAsia="Arial" w:hAnsi="Arial"/>
                <w:sz w:val="13"/>
                <w:szCs w:val="13"/>
                <w:color w:val="auto"/>
              </w:rPr>
              <w:t>Certain legal fees</w:t>
            </w: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656</w:t>
            </w:r>
          </w:p>
        </w:tc>
        <w:tc>
          <w:tcPr>
            <w:tcW w:w="80" w:type="dxa"/>
            <w:vAlign w:val="bottom"/>
          </w:tcPr>
          <w:p>
            <w:pPr>
              <w:spacing w:after="0"/>
              <w:rPr>
                <w:sz w:val="14"/>
                <w:szCs w:val="14"/>
                <w:color w:val="auto"/>
              </w:rPr>
            </w:pPr>
          </w:p>
        </w:tc>
        <w:tc>
          <w:tcPr>
            <w:tcW w:w="360" w:type="dxa"/>
            <w:vAlign w:val="bottom"/>
          </w:tcPr>
          <w:p>
            <w:pPr>
              <w:jc w:val="right"/>
              <w:ind w:right="21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199</w:t>
            </w:r>
          </w:p>
        </w:tc>
      </w:tr>
      <w:tr>
        <w:trPr>
          <w:trHeight w:val="171"/>
        </w:trPr>
        <w:tc>
          <w:tcPr>
            <w:tcW w:w="8160" w:type="dxa"/>
            <w:vAlign w:val="bottom"/>
          </w:tcPr>
          <w:p>
            <w:pPr>
              <w:ind w:left="140"/>
              <w:spacing w:after="0"/>
              <w:rPr>
                <w:sz w:val="20"/>
                <w:szCs w:val="20"/>
                <w:color w:val="auto"/>
              </w:rPr>
            </w:pPr>
            <w:r>
              <w:rPr>
                <w:rFonts w:ascii="Arial" w:cs="Arial" w:eastAsia="Arial" w:hAnsi="Arial"/>
                <w:sz w:val="13"/>
                <w:szCs w:val="13"/>
                <w:color w:val="auto"/>
              </w:rPr>
              <w:t>Professional, accounting and consulting fees</w:t>
            </w: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1,364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174"/>
        </w:trPr>
        <w:tc>
          <w:tcPr>
            <w:tcW w:w="8160" w:type="dxa"/>
            <w:vAlign w:val="bottom"/>
          </w:tcPr>
          <w:p>
            <w:pPr>
              <w:ind w:left="140"/>
              <w:spacing w:after="0"/>
              <w:rPr>
                <w:sz w:val="20"/>
                <w:szCs w:val="20"/>
                <w:color w:val="auto"/>
              </w:rPr>
            </w:pPr>
            <w:r>
              <w:rPr>
                <w:rFonts w:ascii="Arial" w:cs="Arial" w:eastAsia="Arial" w:hAnsi="Arial"/>
                <w:sz w:val="13"/>
                <w:szCs w:val="13"/>
                <w:color w:val="auto"/>
              </w:rPr>
              <w:t>Other expenses, net</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w:t>
            </w:r>
          </w:p>
        </w:tc>
      </w:tr>
      <w:tr>
        <w:trPr>
          <w:trHeight w:val="163"/>
        </w:trPr>
        <w:tc>
          <w:tcPr>
            <w:tcW w:w="8160" w:type="dxa"/>
            <w:vAlign w:val="bottom"/>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2,114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760</w:t>
            </w: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984"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u w:val="single" w:color="auto"/>
          <w:color w:val="auto"/>
        </w:rPr>
        <w:t>About Priority Technology Holdings, Inc.</w:t>
      </w:r>
    </w:p>
    <w:p>
      <w:pPr>
        <w:spacing w:after="0" w:line="152"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Priority is a solution provider in Payments and Banking as a Service operating at scale with 820k active customers across its SMB, B2B and Enterprise channels processing $118B in annual transaction volume and providing administration for $850M in average daily deposits. Priority’s purpose-built technology enables clients to collect, store, borrow and send and provides customers the acceptance and AP payment applications and Passport financial tools that best optimize their cash flow and maximize working capital. Additional information can be found at www.prioritycommerce.com.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0A0A0A"/>
        </w:rPr>
        <w:t>Forward-Looking Statements</w:t>
      </w:r>
    </w:p>
    <w:p>
      <w:pPr>
        <w:spacing w:after="0" w:line="179" w:lineRule="exact"/>
        <w:rPr>
          <w:sz w:val="20"/>
          <w:szCs w:val="20"/>
          <w:color w:val="auto"/>
        </w:rPr>
      </w:pPr>
    </w:p>
    <w:p>
      <w:pPr>
        <w:jc w:val="both"/>
        <w:spacing w:after="0" w:line="325"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2023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21" w:lineRule="exact"/>
        <w:rPr>
          <w:sz w:val="20"/>
          <w:szCs w:val="20"/>
          <w:color w:val="auto"/>
        </w:rPr>
      </w:pPr>
    </w:p>
    <w:p>
      <w:pPr>
        <w:jc w:val="both"/>
        <w:spacing w:after="0" w:line="344" w:lineRule="auto"/>
        <w:rPr>
          <w:sz w:val="20"/>
          <w:szCs w:val="20"/>
          <w:color w:val="auto"/>
        </w:rPr>
      </w:pPr>
      <w:r>
        <w:rPr>
          <w:rFonts w:ascii="Arial" w:cs="Arial" w:eastAsia="Arial" w:hAnsi="Arial"/>
          <w:sz w:val="12"/>
          <w:szCs w:val="12"/>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23, 2023. These filings are available online at www.sec.gov or www.prioritycommerce.com.</w:t>
      </w:r>
    </w:p>
    <w:p>
      <w:pPr>
        <w:spacing w:after="0" w:line="100" w:lineRule="exact"/>
        <w:rPr>
          <w:sz w:val="20"/>
          <w:szCs w:val="20"/>
          <w:color w:val="auto"/>
        </w:rPr>
      </w:pPr>
    </w:p>
    <w:p>
      <w:pPr>
        <w:jc w:val="both"/>
        <w:spacing w:after="0" w:line="328" w:lineRule="auto"/>
        <w:rPr>
          <w:sz w:val="20"/>
          <w:szCs w:val="20"/>
          <w:color w:val="auto"/>
        </w:rPr>
      </w:pPr>
      <w:r>
        <w:rPr>
          <w:rFonts w:ascii="Arial" w:cs="Arial" w:eastAsia="Arial" w:hAnsi="Arial"/>
          <w:sz w:val="12"/>
          <w:szCs w:val="12"/>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638"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3"/>
          <w:szCs w:val="13"/>
          <w:b w:val="1"/>
          <w:bCs w:val="1"/>
          <w:color w:val="auto"/>
        </w:rPr>
        <w:t>Priority Technology Holdings,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 Consolidated Statements of Operations and Comprehensive Loss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thousands,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242424"/>
              </w:rPr>
              <w:t>2023</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90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189,015</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78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6"/>
              </w:rPr>
              <w:t>166,417</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556,333</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486,086</w:t>
            </w:r>
          </w:p>
        </w:tc>
        <w:tc>
          <w:tcPr>
            <w:tcW w:w="0" w:type="dxa"/>
            <w:vAlign w:val="bottom"/>
          </w:tcPr>
          <w:p>
            <w:pPr>
              <w:spacing w:after="0"/>
              <w:rPr>
                <w:sz w:val="1"/>
                <w:szCs w:val="1"/>
                <w:color w:val="auto"/>
              </w:rPr>
            </w:pPr>
          </w:p>
        </w:tc>
      </w:tr>
      <w:tr>
        <w:trPr>
          <w:trHeight w:val="133"/>
        </w:trPr>
        <w:tc>
          <w:tcPr>
            <w:tcW w:w="5240" w:type="dxa"/>
            <w:vAlign w:val="bottom"/>
          </w:tcPr>
          <w:p>
            <w:pPr>
              <w:spacing w:after="0" w:line="133" w:lineRule="exact"/>
              <w:rPr>
                <w:sz w:val="20"/>
                <w:szCs w:val="20"/>
                <w:color w:val="auto"/>
              </w:rPr>
            </w:pPr>
            <w:r>
              <w:rPr>
                <w:rFonts w:ascii="Arial" w:cs="Arial" w:eastAsia="Arial" w:hAnsi="Arial"/>
                <w:sz w:val="12"/>
                <w:szCs w:val="12"/>
                <w:b w:val="1"/>
                <w:bCs w:val="1"/>
                <w:color w:val="auto"/>
              </w:rPr>
              <w:t>Operating expenses</w:t>
            </w: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Arial" w:cs="Arial" w:eastAsia="Arial" w:hAnsi="Arial"/>
                <w:sz w:val="12"/>
                <w:szCs w:val="12"/>
                <w:color w:val="auto"/>
              </w:rPr>
              <w:t>Cost of revenue (excludes depreciation and amortization)</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116,682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w w:val="96"/>
              </w:rPr>
              <w:t>107,958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353,929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320,187</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Arial" w:cs="Arial" w:eastAsia="Arial" w:hAnsi="Arial"/>
                <w:sz w:val="12"/>
                <w:szCs w:val="12"/>
                <w:color w:val="auto"/>
              </w:rPr>
              <w:t>Salary and employee benefits</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20,129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rPr>
              <w:t>16,384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58,286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48,231</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17,275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rPr>
              <w:t>17,817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53,303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52,675</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Arial" w:cs="Arial" w:eastAsia="Arial" w:hAnsi="Arial"/>
                <w:sz w:val="12"/>
                <w:szCs w:val="12"/>
                <w:color w:val="auto"/>
              </w:rPr>
              <w:t>Selling, general and administrative</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11,423</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10,178</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31,328</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27,027</w:t>
            </w:r>
          </w:p>
        </w:tc>
        <w:tc>
          <w:tcPr>
            <w:tcW w:w="0" w:type="dxa"/>
            <w:vAlign w:val="bottom"/>
          </w:tcPr>
          <w:p>
            <w:pPr>
              <w:spacing w:after="0"/>
              <w:rPr>
                <w:sz w:val="1"/>
                <w:szCs w:val="1"/>
                <w:color w:val="auto"/>
              </w:rPr>
            </w:pPr>
          </w:p>
        </w:tc>
      </w:tr>
      <w:tr>
        <w:trPr>
          <w:trHeight w:val="142"/>
        </w:trPr>
        <w:tc>
          <w:tcPr>
            <w:tcW w:w="5240" w:type="dxa"/>
            <w:vAlign w:val="bottom"/>
          </w:tcPr>
          <w:p>
            <w:pPr>
              <w:ind w:left="160"/>
              <w:spacing w:after="0"/>
              <w:rPr>
                <w:sz w:val="20"/>
                <w:szCs w:val="20"/>
                <w:color w:val="auto"/>
              </w:rPr>
            </w:pPr>
            <w:r>
              <w:rPr>
                <w:rFonts w:ascii="Arial" w:cs="Arial" w:eastAsia="Arial" w:hAnsi="Arial"/>
                <w:sz w:val="12"/>
                <w:szCs w:val="12"/>
                <w:color w:val="auto"/>
              </w:rPr>
              <w:t>Total operating expenses</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165,509</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152,337</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496,846</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448,120</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Arial" w:cs="Arial" w:eastAsia="Arial" w:hAnsi="Arial"/>
                <w:sz w:val="12"/>
                <w:szCs w:val="12"/>
                <w:b w:val="1"/>
                <w:bCs w:val="1"/>
                <w:color w:val="auto"/>
              </w:rPr>
              <w:t>Operating income</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23,506</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14,080</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59,487</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37,966</w:t>
            </w:r>
          </w:p>
        </w:tc>
        <w:tc>
          <w:tcPr>
            <w:tcW w:w="0" w:type="dxa"/>
            <w:vAlign w:val="bottom"/>
          </w:tcPr>
          <w:p>
            <w:pPr>
              <w:spacing w:after="0"/>
              <w:rPr>
                <w:sz w:val="1"/>
                <w:szCs w:val="1"/>
                <w:color w:val="auto"/>
              </w:rPr>
            </w:pPr>
          </w:p>
        </w:tc>
      </w:tr>
      <w:tr>
        <w:trPr>
          <w:trHeight w:val="133"/>
        </w:trPr>
        <w:tc>
          <w:tcPr>
            <w:tcW w:w="5240" w:type="dxa"/>
            <w:vAlign w:val="bottom"/>
          </w:tcPr>
          <w:p>
            <w:pPr>
              <w:spacing w:after="0" w:line="133" w:lineRule="exact"/>
              <w:rPr>
                <w:sz w:val="20"/>
                <w:szCs w:val="20"/>
                <w:color w:val="auto"/>
              </w:rPr>
            </w:pPr>
            <w:r>
              <w:rPr>
                <w:rFonts w:ascii="Arial" w:cs="Arial" w:eastAsia="Arial" w:hAnsi="Arial"/>
                <w:sz w:val="12"/>
                <w:szCs w:val="12"/>
                <w:b w:val="1"/>
                <w:bCs w:val="1"/>
                <w:color w:val="auto"/>
              </w:rPr>
              <w:t>Other (expense) income</w:t>
            </w: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w w:val="98"/>
              </w:rPr>
              <w:t>(19,997)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w w:val="93"/>
              </w:rPr>
              <w:t>(13,412)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(55,461)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(37,282)</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Arial" w:cs="Arial" w:eastAsia="Arial" w:hAnsi="Arial"/>
                <w:sz w:val="12"/>
                <w:szCs w:val="12"/>
                <w:color w:val="auto"/>
              </w:rPr>
              <w:t>Other income, net</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732</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1,319</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311</w:t>
            </w:r>
          </w:p>
        </w:tc>
        <w:tc>
          <w:tcPr>
            <w:tcW w:w="0" w:type="dxa"/>
            <w:vAlign w:val="bottom"/>
          </w:tcPr>
          <w:p>
            <w:pPr>
              <w:spacing w:after="0"/>
              <w:rPr>
                <w:sz w:val="1"/>
                <w:szCs w:val="1"/>
                <w:color w:val="auto"/>
              </w:rPr>
            </w:pPr>
          </w:p>
        </w:tc>
      </w:tr>
      <w:tr>
        <w:trPr>
          <w:trHeight w:val="142"/>
        </w:trPr>
        <w:tc>
          <w:tcPr>
            <w:tcW w:w="5240" w:type="dxa"/>
            <w:vAlign w:val="bottom"/>
          </w:tcPr>
          <w:p>
            <w:pPr>
              <w:ind w:left="160"/>
              <w:spacing w:after="0"/>
              <w:rPr>
                <w:sz w:val="20"/>
                <w:szCs w:val="20"/>
                <w:color w:val="auto"/>
              </w:rPr>
            </w:pPr>
            <w:r>
              <w:rPr>
                <w:rFonts w:ascii="Arial" w:cs="Arial" w:eastAsia="Arial" w:hAnsi="Arial"/>
                <w:sz w:val="12"/>
                <w:szCs w:val="12"/>
                <w:color w:val="auto"/>
              </w:rPr>
              <w:t>Total other expense, net</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8"/>
              </w:rPr>
              <w:t>(19,265)</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3"/>
              </w:rPr>
              <w:t>(13,181)</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(54,142)</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(36,971)</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Arial" w:cs="Arial" w:eastAsia="Arial" w:hAnsi="Arial"/>
                <w:sz w:val="12"/>
                <w:szCs w:val="12"/>
                <w:color w:val="auto"/>
              </w:rPr>
              <w:t>Income before income taxes</w:t>
            </w:r>
          </w:p>
        </w:tc>
        <w:tc>
          <w:tcPr>
            <w:tcW w:w="900" w:type="dxa"/>
            <w:vAlign w:val="bottom"/>
          </w:tcPr>
          <w:p>
            <w:pPr>
              <w:spacing w:after="0"/>
              <w:rPr>
                <w:sz w:val="12"/>
                <w:szCs w:val="12"/>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4,241</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rPr>
              <w:t>899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5,345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995</w:t>
            </w:r>
          </w:p>
        </w:tc>
        <w:tc>
          <w:tcPr>
            <w:tcW w:w="0" w:type="dxa"/>
            <w:vAlign w:val="bottom"/>
          </w:tcPr>
          <w:p>
            <w:pPr>
              <w:spacing w:after="0"/>
              <w:rPr>
                <w:sz w:val="1"/>
                <w:szCs w:val="1"/>
                <w:color w:val="auto"/>
              </w:rPr>
            </w:pPr>
          </w:p>
        </w:tc>
      </w:tr>
      <w:tr>
        <w:trPr>
          <w:trHeight w:val="153"/>
        </w:trPr>
        <w:tc>
          <w:tcPr>
            <w:tcW w:w="5240" w:type="dxa"/>
            <w:vAlign w:val="bottom"/>
          </w:tcPr>
          <w:p>
            <w:pPr>
              <w:spacing w:after="0"/>
              <w:rPr>
                <w:sz w:val="20"/>
                <w:szCs w:val="20"/>
                <w:color w:val="auto"/>
              </w:rPr>
            </w:pPr>
            <w:r>
              <w:rPr>
                <w:rFonts w:ascii="Arial" w:cs="Arial" w:eastAsia="Arial" w:hAnsi="Arial"/>
                <w:sz w:val="12"/>
                <w:szCs w:val="12"/>
                <w:color w:val="auto"/>
              </w:rPr>
              <w:t>Income tax expense</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4,328</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1,691</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6,550</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1,833</w:t>
            </w:r>
          </w:p>
        </w:tc>
        <w:tc>
          <w:tcPr>
            <w:tcW w:w="0" w:type="dxa"/>
            <w:vAlign w:val="bottom"/>
          </w:tcPr>
          <w:p>
            <w:pPr>
              <w:spacing w:after="0"/>
              <w:rPr>
                <w:sz w:val="1"/>
                <w:szCs w:val="1"/>
                <w:color w:val="auto"/>
              </w:rPr>
            </w:pPr>
          </w:p>
        </w:tc>
      </w:tr>
      <w:tr>
        <w:trPr>
          <w:trHeight w:val="142"/>
        </w:trPr>
        <w:tc>
          <w:tcPr>
            <w:tcW w:w="5240" w:type="dxa"/>
            <w:vAlign w:val="bottom"/>
          </w:tcPr>
          <w:p>
            <w:pPr>
              <w:spacing w:after="0" w:line="137" w:lineRule="exact"/>
              <w:rPr>
                <w:sz w:val="20"/>
                <w:szCs w:val="20"/>
                <w:color w:val="auto"/>
              </w:rPr>
            </w:pPr>
            <w:r>
              <w:rPr>
                <w:rFonts w:ascii="Arial" w:cs="Arial" w:eastAsia="Arial" w:hAnsi="Arial"/>
                <w:sz w:val="12"/>
                <w:szCs w:val="12"/>
                <w:b w:val="1"/>
                <w:bCs w:val="1"/>
                <w:color w:val="auto"/>
              </w:rPr>
              <w:t>Net loss</w:t>
            </w:r>
          </w:p>
        </w:tc>
        <w:tc>
          <w:tcPr>
            <w:tcW w:w="900" w:type="dxa"/>
            <w:vAlign w:val="bottom"/>
          </w:tcPr>
          <w:p>
            <w:pPr>
              <w:spacing w:after="0"/>
              <w:rPr>
                <w:sz w:val="12"/>
                <w:szCs w:val="12"/>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(87)</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rPr>
              <w:t>(792)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(1,205)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(838)</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Arial" w:cs="Arial" w:eastAsia="Arial" w:hAnsi="Arial"/>
                <w:sz w:val="12"/>
                <w:szCs w:val="12"/>
                <w:color w:val="auto"/>
              </w:rPr>
              <w:t>Less: Dividends and accretion attributable to redeemable senior preferred stockholders</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8"/>
              </w:rPr>
              <w:t>(12,192)</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(9,466)</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(35,252)</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(26,415)</w:t>
            </w:r>
          </w:p>
        </w:tc>
        <w:tc>
          <w:tcPr>
            <w:tcW w:w="0" w:type="dxa"/>
            <w:vAlign w:val="bottom"/>
          </w:tcPr>
          <w:p>
            <w:pPr>
              <w:spacing w:after="0"/>
              <w:rPr>
                <w:sz w:val="1"/>
                <w:szCs w:val="1"/>
                <w:color w:val="auto"/>
              </w:rPr>
            </w:pPr>
          </w:p>
        </w:tc>
      </w:tr>
      <w:tr>
        <w:trPr>
          <w:trHeight w:val="138"/>
        </w:trPr>
        <w:tc>
          <w:tcPr>
            <w:tcW w:w="5240" w:type="dxa"/>
            <w:vAlign w:val="bottom"/>
          </w:tcPr>
          <w:p>
            <w:pPr>
              <w:spacing w:after="0" w:line="137" w:lineRule="exact"/>
              <w:rPr>
                <w:sz w:val="20"/>
                <w:szCs w:val="20"/>
                <w:color w:val="auto"/>
              </w:rPr>
            </w:pPr>
            <w:r>
              <w:rPr>
                <w:rFonts w:ascii="Arial" w:cs="Arial" w:eastAsia="Arial" w:hAnsi="Arial"/>
                <w:sz w:val="12"/>
                <w:szCs w:val="12"/>
                <w:b w:val="1"/>
                <w:bCs w:val="1"/>
                <w:color w:val="auto"/>
              </w:rPr>
              <w:t>Net loss attributable to common stockholders</w:t>
            </w:r>
          </w:p>
        </w:tc>
        <w:tc>
          <w:tcPr>
            <w:tcW w:w="900" w:type="dxa"/>
            <w:vAlign w:val="bottom"/>
          </w:tcPr>
          <w:p>
            <w:pPr>
              <w:spacing w:after="0"/>
              <w:rPr>
                <w:sz w:val="12"/>
                <w:szCs w:val="12"/>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w w:val="98"/>
              </w:rPr>
              <w:t>(12,279)</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w w:val="93"/>
              </w:rPr>
              <w:t>(10,258)</w:t>
            </w:r>
          </w:p>
        </w:tc>
        <w:tc>
          <w:tcPr>
            <w:tcW w:w="8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(36,457)</w:t>
            </w:r>
          </w:p>
        </w:tc>
        <w:tc>
          <w:tcPr>
            <w:tcW w:w="8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(27,253)</w:t>
            </w:r>
          </w:p>
        </w:tc>
        <w:tc>
          <w:tcPr>
            <w:tcW w:w="0" w:type="dxa"/>
            <w:vAlign w:val="bottom"/>
          </w:tcPr>
          <w:p>
            <w:pPr>
              <w:spacing w:after="0"/>
              <w:rPr>
                <w:sz w:val="1"/>
                <w:szCs w:val="1"/>
                <w:color w:val="auto"/>
              </w:rPr>
            </w:pPr>
          </w:p>
        </w:tc>
      </w:tr>
      <w:tr>
        <w:trPr>
          <w:trHeight w:val="157"/>
        </w:trPr>
        <w:tc>
          <w:tcPr>
            <w:tcW w:w="5240" w:type="dxa"/>
            <w:vAlign w:val="bottom"/>
          </w:tcPr>
          <w:p>
            <w:pPr>
              <w:spacing w:after="0"/>
              <w:rPr>
                <w:sz w:val="20"/>
                <w:szCs w:val="20"/>
                <w:color w:val="auto"/>
              </w:rPr>
            </w:pPr>
            <w:r>
              <w:rPr>
                <w:rFonts w:ascii="Arial" w:cs="Arial" w:eastAsia="Arial" w:hAnsi="Arial"/>
                <w:sz w:val="12"/>
                <w:szCs w:val="12"/>
                <w:b w:val="1"/>
                <w:bCs w:val="1"/>
                <w:color w:val="auto"/>
              </w:rPr>
              <w:t>Other comprehensive loss</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Arial" w:cs="Arial" w:eastAsia="Arial" w:hAnsi="Arial"/>
                <w:sz w:val="12"/>
                <w:szCs w:val="12"/>
                <w:color w:val="auto"/>
              </w:rPr>
              <w:t>Foreign currency translation adjustments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Arial" w:cs="Arial" w:eastAsia="Arial" w:hAnsi="Arial"/>
                <w:sz w:val="12"/>
                <w:szCs w:val="12"/>
                <w:b w:val="1"/>
                <w:bCs w:val="1"/>
                <w:color w:val="auto"/>
              </w:rPr>
              <w:t>Comprehensive loss</w:t>
            </w:r>
          </w:p>
        </w:tc>
        <w:tc>
          <w:tcPr>
            <w:tcW w:w="90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w w:val="89"/>
              </w:rPr>
              <w:t>$</w:t>
            </w:r>
          </w:p>
        </w:tc>
        <w:tc>
          <w:tcPr>
            <w:tcW w:w="5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8"/>
              </w:rPr>
              <w:t>(12,344)</w:t>
            </w:r>
          </w:p>
        </w:tc>
        <w:tc>
          <w:tcPr>
            <w:tcW w:w="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3"/>
              </w:rPr>
              <w:t>(10,258)</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(36,491)</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(27,253)</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2"/>
                <w:szCs w:val="12"/>
                <w:b w:val="1"/>
                <w:bCs w:val="1"/>
                <w:color w:val="auto"/>
              </w:rPr>
              <w:t>Loss per common share:</w:t>
            </w: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Arial" w:cs="Arial" w:eastAsia="Arial" w:hAnsi="Arial"/>
                <w:sz w:val="12"/>
                <w:szCs w:val="12"/>
                <w:color w:val="auto"/>
              </w:rPr>
              <w:t>Basic and diluted</w:t>
            </w:r>
          </w:p>
        </w:tc>
        <w:tc>
          <w:tcPr>
            <w:tcW w:w="900" w:type="dxa"/>
            <w:vAlign w:val="bottom"/>
          </w:tcPr>
          <w:p>
            <w:pPr>
              <w:jc w:val="right"/>
              <w:ind w:right="76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(0.16)</w:t>
            </w:r>
          </w:p>
        </w:tc>
        <w:tc>
          <w:tcPr>
            <w:tcW w:w="80" w:type="dxa"/>
            <w:vAlign w:val="bottom"/>
          </w:tcPr>
          <w:p>
            <w:pPr>
              <w:spacing w:after="0"/>
              <w:rPr>
                <w:sz w:val="13"/>
                <w:szCs w:val="13"/>
                <w:color w:val="auto"/>
              </w:rPr>
            </w:pPr>
          </w:p>
        </w:tc>
        <w:tc>
          <w:tcPr>
            <w:tcW w:w="900" w:type="dxa"/>
            <w:vAlign w:val="bottom"/>
          </w:tcPr>
          <w:p>
            <w:pPr>
              <w:jc w:val="right"/>
              <w:ind w:right="78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(0.13)</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(0.47)</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(0.35)</w:t>
            </w:r>
          </w:p>
        </w:tc>
        <w:tc>
          <w:tcPr>
            <w:tcW w:w="0" w:type="dxa"/>
            <w:vAlign w:val="bottom"/>
          </w:tcPr>
          <w:p>
            <w:pPr>
              <w:spacing w:after="0"/>
              <w:rPr>
                <w:sz w:val="1"/>
                <w:szCs w:val="1"/>
                <w:color w:val="auto"/>
              </w:rPr>
            </w:pPr>
          </w:p>
        </w:tc>
      </w:tr>
      <w:tr>
        <w:trPr>
          <w:trHeight w:val="333"/>
        </w:trPr>
        <w:tc>
          <w:tcPr>
            <w:tcW w:w="5240" w:type="dxa"/>
            <w:vAlign w:val="bottom"/>
          </w:tcPr>
          <w:p>
            <w:pPr>
              <w:spacing w:after="0"/>
              <w:rPr>
                <w:sz w:val="20"/>
                <w:szCs w:val="20"/>
                <w:color w:val="auto"/>
              </w:rPr>
            </w:pPr>
            <w:r>
              <w:rPr>
                <w:rFonts w:ascii="Arial" w:cs="Arial" w:eastAsia="Arial" w:hAnsi="Arial"/>
                <w:sz w:val="12"/>
                <w:szCs w:val="12"/>
                <w:b w:val="1"/>
                <w:bCs w:val="1"/>
                <w:color w:val="auto"/>
              </w:rPr>
              <w:t>Weighted-average common shares outstanding:</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Arial" w:cs="Arial" w:eastAsia="Arial" w:hAnsi="Arial"/>
                <w:sz w:val="12"/>
                <w:szCs w:val="12"/>
                <w:color w:val="auto"/>
              </w:rPr>
              <w:t>Basic and diluted</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78,381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77,984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78,270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78,392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287"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Priority Technology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Consolidated Balance Sheets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40" w:type="dxa"/>
            <w:vAlign w:val="bottom"/>
            <w:vMerge w:val="restart"/>
          </w:tcPr>
          <w:p>
            <w:pPr>
              <w:spacing w:after="0"/>
              <w:rPr>
                <w:sz w:val="20"/>
                <w:szCs w:val="20"/>
                <w:color w:val="auto"/>
              </w:rPr>
            </w:pPr>
            <w:r>
              <w:rPr>
                <w:rFonts w:ascii="Arial" w:cs="Arial" w:eastAsia="Arial" w:hAnsi="Arial"/>
                <w:sz w:val="12"/>
                <w:szCs w:val="12"/>
                <w:b w:val="1"/>
                <w:bCs w:val="1"/>
                <w:color w:val="auto"/>
              </w:rPr>
              <w:t>Assets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ind w:left="220"/>
              <w:spacing w:after="0"/>
              <w:rPr>
                <w:sz w:val="20"/>
                <w:szCs w:val="20"/>
                <w:color w:val="auto"/>
              </w:rPr>
            </w:pPr>
            <w:r>
              <w:rPr>
                <w:rFonts w:ascii="Arial" w:cs="Arial" w:eastAsia="Arial" w:hAnsi="Arial"/>
                <w:sz w:val="12"/>
                <w:szCs w:val="12"/>
                <w:b w:val="1"/>
                <w:bCs w:val="1"/>
                <w:color w:val="auto"/>
              </w:rPr>
              <w:t>September 30, 2023</w:t>
            </w:r>
          </w:p>
        </w:tc>
        <w:tc>
          <w:tcPr>
            <w:tcW w:w="300" w:type="dxa"/>
            <w:vAlign w:val="bottom"/>
          </w:tcPr>
          <w:p>
            <w:pPr>
              <w:spacing w:after="0"/>
              <w:rPr>
                <w:sz w:val="13"/>
                <w:szCs w:val="13"/>
                <w:color w:val="auto"/>
              </w:rPr>
            </w:pPr>
          </w:p>
        </w:tc>
        <w:tc>
          <w:tcPr>
            <w:tcW w:w="1680" w:type="dxa"/>
            <w:vAlign w:val="bottom"/>
          </w:tcPr>
          <w:p>
            <w:pPr>
              <w:jc w:val="right"/>
              <w:ind w:right="440"/>
              <w:spacing w:after="0"/>
              <w:rPr>
                <w:sz w:val="20"/>
                <w:szCs w:val="20"/>
                <w:color w:val="auto"/>
              </w:rPr>
            </w:pPr>
            <w:r>
              <w:rPr>
                <w:rFonts w:ascii="Arial" w:cs="Arial" w:eastAsia="Arial" w:hAnsi="Arial"/>
                <w:sz w:val="12"/>
                <w:szCs w:val="12"/>
                <w:b w:val="1"/>
                <w:bCs w:val="1"/>
                <w:color w:val="auto"/>
              </w:rPr>
              <w:t>December 31, 2022</w:t>
            </w:r>
          </w:p>
        </w:tc>
        <w:tc>
          <w:tcPr>
            <w:tcW w:w="0" w:type="dxa"/>
            <w:vAlign w:val="bottom"/>
          </w:tcPr>
          <w:p>
            <w:pPr>
              <w:spacing w:after="0"/>
              <w:rPr>
                <w:sz w:val="1"/>
                <w:szCs w:val="1"/>
                <w:color w:val="auto"/>
              </w:rPr>
            </w:pPr>
          </w:p>
        </w:tc>
      </w:tr>
      <w:tr>
        <w:trPr>
          <w:trHeight w:val="133"/>
        </w:trPr>
        <w:tc>
          <w:tcPr>
            <w:tcW w:w="474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Current assets: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2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24,595</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18,454</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13,890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10,582</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Accounts receivable, net of allowances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61,134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78,113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Prepaid expenses and other current assets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13,274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11,832</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Current portion of notes receivable, net of allowance</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1,561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1,471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Settlement assets and customer/subscriber account balances</w:t>
            </w:r>
          </w:p>
        </w:tc>
        <w:tc>
          <w:tcPr>
            <w:tcW w:w="2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712,170</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532,018</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Arial" w:cs="Arial" w:eastAsia="Arial" w:hAnsi="Arial"/>
                <w:sz w:val="12"/>
                <w:szCs w:val="12"/>
                <w:color w:val="auto"/>
              </w:rPr>
              <w:t>Total current assets</w:t>
            </w: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826,624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652,470</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Notes receivable, less current portion</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3,616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3,191</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Property, equipment and software, net</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41,851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34,687</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Goodwill</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375,794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369,337</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Intangible assets, net</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285,490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288,794</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Deferred income taxes, net</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18,879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16,447</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2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11,145</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8,437</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Arial" w:cs="Arial" w:eastAsia="Arial" w:hAnsi="Arial"/>
                <w:sz w:val="12"/>
                <w:szCs w:val="12"/>
                <w:b w:val="1"/>
                <w:bCs w:val="1"/>
                <w:color w:val="auto"/>
              </w:rPr>
              <w:t>Total assets</w:t>
            </w:r>
          </w:p>
        </w:tc>
        <w:tc>
          <w:tcPr>
            <w:tcW w:w="244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1,563,399</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1,373,363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2"/>
                <w:szCs w:val="12"/>
                <w:b w:val="1"/>
                <w:bCs w:val="1"/>
                <w:color w:val="auto"/>
              </w:rPr>
              <w:t>Liabilities, Redeemable Senior Preferred Stock and Stockholders' Deficit</w:t>
            </w:r>
          </w:p>
        </w:tc>
        <w:tc>
          <w:tcPr>
            <w:tcW w:w="2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74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Current liabilities: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Accounts payable and accrued expenses</w:t>
            </w:r>
          </w:p>
        </w:tc>
        <w:tc>
          <w:tcPr>
            <w:tcW w:w="2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56,107</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51,864</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Accrued residual commissions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31,023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35,979</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Customer deposits and advance payments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6,634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2,618</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Current portion of long-term debt</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6,200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6,200</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Settlement and customer/subscriber account obligations</w:t>
            </w:r>
          </w:p>
        </w:tc>
        <w:tc>
          <w:tcPr>
            <w:tcW w:w="2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710,068</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533,340</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Arial" w:cs="Arial" w:eastAsia="Arial" w:hAnsi="Arial"/>
                <w:sz w:val="12"/>
                <w:szCs w:val="12"/>
                <w:color w:val="auto"/>
              </w:rPr>
              <w:t>Total current liabilities</w:t>
            </w: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810,032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630,001</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Long-term debt, net of current portion, discounts and debt issuance costs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616,781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598,926</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2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18,545</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11,643</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Arial" w:cs="Arial" w:eastAsia="Arial" w:hAnsi="Arial"/>
                <w:sz w:val="12"/>
                <w:szCs w:val="12"/>
                <w:color w:val="auto"/>
              </w:rPr>
              <w:t>Total noncurrent liabilities</w:t>
            </w:r>
          </w:p>
        </w:tc>
        <w:tc>
          <w:tcPr>
            <w:tcW w:w="2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635,326</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610,569</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Arial" w:cs="Arial" w:eastAsia="Arial" w:hAnsi="Arial"/>
                <w:sz w:val="12"/>
                <w:szCs w:val="12"/>
                <w:b w:val="1"/>
                <w:bCs w:val="1"/>
                <w:color w:val="auto"/>
              </w:rPr>
              <w:t>Total liabilities</w:t>
            </w:r>
          </w:p>
        </w:tc>
        <w:tc>
          <w:tcPr>
            <w:tcW w:w="2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1,445,358</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1,240,570</w:t>
            </w:r>
          </w:p>
        </w:tc>
        <w:tc>
          <w:tcPr>
            <w:tcW w:w="0" w:type="dxa"/>
            <w:vAlign w:val="bottom"/>
          </w:tcPr>
          <w:p>
            <w:pPr>
              <w:spacing w:after="0"/>
              <w:rPr>
                <w:sz w:val="1"/>
                <w:szCs w:val="1"/>
                <w:color w:val="auto"/>
              </w:rPr>
            </w:pPr>
          </w:p>
        </w:tc>
      </w:tr>
      <w:tr>
        <w:trPr>
          <w:trHeight w:val="142"/>
        </w:trPr>
        <w:tc>
          <w:tcPr>
            <w:tcW w:w="4740" w:type="dxa"/>
            <w:vAlign w:val="bottom"/>
          </w:tcPr>
          <w:p>
            <w:pPr>
              <w:spacing w:after="0" w:line="133" w:lineRule="exact"/>
              <w:rPr>
                <w:sz w:val="20"/>
                <w:szCs w:val="20"/>
                <w:color w:val="auto"/>
              </w:rPr>
            </w:pPr>
            <w:r>
              <w:rPr>
                <w:rFonts w:ascii="Arial" w:cs="Arial" w:eastAsia="Arial" w:hAnsi="Arial"/>
                <w:sz w:val="12"/>
                <w:szCs w:val="12"/>
                <w:color w:val="auto"/>
              </w:rPr>
              <w:t>Redeemable senior preferred stock, net of discounts and issuance costs</w:t>
            </w: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252,923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235,579</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Stockholders' deficit:</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Preferred stock</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Treasury stock, at cost</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(12,577)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(11,559)</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Additional paid-in capital</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9,650</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Accumulated other comprehensive loss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Accumulated deficit</w:t>
            </w:r>
          </w:p>
        </w:tc>
        <w:tc>
          <w:tcPr>
            <w:tcW w:w="2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(123,714)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(102,208)</w:t>
            </w:r>
          </w:p>
        </w:tc>
        <w:tc>
          <w:tcPr>
            <w:tcW w:w="0" w:type="dxa"/>
            <w:vAlign w:val="bottom"/>
          </w:tcPr>
          <w:p>
            <w:pPr>
              <w:spacing w:after="0"/>
              <w:rPr>
                <w:sz w:val="1"/>
                <w:szCs w:val="1"/>
                <w:color w:val="auto"/>
              </w:rPr>
            </w:pPr>
          </w:p>
        </w:tc>
      </w:tr>
      <w:tr>
        <w:trPr>
          <w:trHeight w:val="142"/>
        </w:trPr>
        <w:tc>
          <w:tcPr>
            <w:tcW w:w="4740" w:type="dxa"/>
            <w:vAlign w:val="bottom"/>
          </w:tcPr>
          <w:p>
            <w:pPr>
              <w:ind w:left="360"/>
              <w:spacing w:after="0"/>
              <w:rPr>
                <w:sz w:val="20"/>
                <w:szCs w:val="20"/>
                <w:color w:val="auto"/>
              </w:rPr>
            </w:pPr>
            <w:r>
              <w:rPr>
                <w:rFonts w:ascii="Arial" w:cs="Arial" w:eastAsia="Arial" w:hAnsi="Arial"/>
                <w:sz w:val="12"/>
                <w:szCs w:val="12"/>
                <w:b w:val="1"/>
                <w:bCs w:val="1"/>
                <w:color w:val="auto"/>
              </w:rPr>
              <w:t>Total stockholders' deficit attributable to stockholders of PRTH</w:t>
            </w: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(136,248)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(104,041)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Non-controlling interest</w:t>
            </w:r>
          </w:p>
        </w:tc>
        <w:tc>
          <w:tcPr>
            <w:tcW w:w="2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1,366</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1,255</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line="137" w:lineRule="exact"/>
              <w:rPr>
                <w:sz w:val="20"/>
                <w:szCs w:val="20"/>
                <w:color w:val="auto"/>
              </w:rPr>
            </w:pPr>
            <w:r>
              <w:rPr>
                <w:rFonts w:ascii="Arial" w:cs="Arial" w:eastAsia="Arial" w:hAnsi="Arial"/>
                <w:sz w:val="12"/>
                <w:szCs w:val="12"/>
                <w:b w:val="1"/>
                <w:bCs w:val="1"/>
                <w:color w:val="auto"/>
              </w:rPr>
              <w:t>Total stockholders' deficit</w:t>
            </w:r>
          </w:p>
        </w:tc>
        <w:tc>
          <w:tcPr>
            <w:tcW w:w="2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(134,882)</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(102,786)</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Arial" w:cs="Arial" w:eastAsia="Arial" w:hAnsi="Arial"/>
                <w:sz w:val="12"/>
                <w:szCs w:val="12"/>
                <w:b w:val="1"/>
                <w:bCs w:val="1"/>
                <w:color w:val="auto"/>
              </w:rPr>
              <w:t>Total liabilities, redeemable senior preferred stock and stockholders' deficit</w:t>
            </w:r>
          </w:p>
        </w:tc>
        <w:tc>
          <w:tcPr>
            <w:tcW w:w="244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1,563,399</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1,373,363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40" w:type="dxa"/>
            <w:vAlign w:val="bottom"/>
            <w:vMerge w:val="restart"/>
          </w:tcPr>
          <w:p>
            <w:pPr>
              <w:jc w:val="right"/>
              <w:ind w:right="1440"/>
              <w:spacing w:after="0"/>
              <w:rPr>
                <w:sz w:val="20"/>
                <w:szCs w:val="20"/>
                <w:color w:val="auto"/>
              </w:rPr>
            </w:pPr>
            <w:r>
              <w:rPr>
                <w:rFonts w:ascii="Arial" w:cs="Arial" w:eastAsia="Arial" w:hAnsi="Arial"/>
                <w:sz w:val="12"/>
                <w:szCs w:val="12"/>
                <w:color w:val="auto"/>
              </w:rPr>
              <w:t>7</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Priority Technology Holdings, Inc</w:t>
      </w:r>
      <w:r>
        <w:rPr>
          <w:rFonts w:ascii="Arial" w:cs="Arial" w:eastAsia="Arial" w:hAnsi="Arial"/>
          <w:sz w:val="13"/>
          <w:szCs w:val="13"/>
          <w:color w:val="auto"/>
        </w:rPr>
        <w: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Consolidated Statements of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54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5200" w:type="dxa"/>
            <w:vAlign w:val="bottom"/>
            <w:vMerge w:val="restart"/>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35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33"/>
        </w:trPr>
        <w:tc>
          <w:tcPr>
            <w:tcW w:w="5200" w:type="dxa"/>
            <w:vAlign w:val="bottom"/>
            <w:vMerge w:val="continue"/>
          </w:tcPr>
          <w:p>
            <w:pPr>
              <w:spacing w:after="0"/>
              <w:rPr>
                <w:sz w:val="11"/>
                <w:szCs w:val="11"/>
                <w:color w:val="auto"/>
              </w:rPr>
            </w:pPr>
          </w:p>
        </w:tc>
        <w:tc>
          <w:tcPr>
            <w:tcW w:w="3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Net loss</w:t>
            </w:r>
          </w:p>
        </w:tc>
        <w:tc>
          <w:tcPr>
            <w:tcW w:w="426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(1,205)</w:t>
            </w:r>
          </w:p>
        </w:tc>
        <w:tc>
          <w:tcPr>
            <w:tcW w:w="80" w:type="dxa"/>
            <w:vAlign w:val="bottom"/>
          </w:tcPr>
          <w:p>
            <w:pPr>
              <w:spacing w:after="0"/>
              <w:rPr>
                <w:sz w:val="13"/>
                <w:szCs w:val="13"/>
                <w:color w:val="auto"/>
              </w:rPr>
            </w:pPr>
          </w:p>
        </w:tc>
        <w:tc>
          <w:tcPr>
            <w:tcW w:w="300" w:type="dxa"/>
            <w:vAlign w:val="bottom"/>
          </w:tcPr>
          <w:p>
            <w:pPr>
              <w:jc w:val="center"/>
              <w:ind w:right="1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(838)</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Adjustments to reconcile net loss to net cash provided by operating activities: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Depreciation and amortization of assets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53,303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52,675</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5,183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4,204</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Amortization of debt issuance costs and discounts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2,812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2,613</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Deferred income tax</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(2,432)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(3,567)</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Change in contingent consideration</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906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Arial" w:cs="Arial" w:eastAsia="Arial" w:hAnsi="Arial"/>
                <w:sz w:val="12"/>
                <w:szCs w:val="12"/>
                <w:color w:val="auto"/>
              </w:rPr>
              <w:t>Other non-cash items, net</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(169)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Change in operating assets and liabilities: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Accounts receivable</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17,931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(11,265)</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(2,630)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(2,575)</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Income taxes (receivable) payable</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498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1,003</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Notes receivable</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(668)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569</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Accounts payable and other accrued liabilities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302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13,711</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Customer deposits and advance payments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3,802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(1,910)</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Other assets and liabilities, net</w:t>
            </w:r>
          </w:p>
        </w:tc>
        <w:tc>
          <w:tcPr>
            <w:tcW w:w="3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(4,953)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(3,908)</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Arial" w:cs="Arial" w:eastAsia="Arial" w:hAnsi="Arial"/>
                <w:sz w:val="12"/>
                <w:szCs w:val="12"/>
                <w:b w:val="1"/>
                <w:bCs w:val="1"/>
                <w:color w:val="auto"/>
              </w:rPr>
              <w:t>Net cash provided by operating activities</w:t>
            </w:r>
          </w:p>
        </w:tc>
        <w:tc>
          <w:tcPr>
            <w:tcW w:w="35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72,680</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50,558</w:t>
            </w:r>
          </w:p>
        </w:tc>
        <w:tc>
          <w:tcPr>
            <w:tcW w:w="0" w:type="dxa"/>
            <w:vAlign w:val="bottom"/>
          </w:tcPr>
          <w:p>
            <w:pPr>
              <w:spacing w:after="0"/>
              <w:rPr>
                <w:sz w:val="1"/>
                <w:szCs w:val="1"/>
                <w:color w:val="auto"/>
              </w:rPr>
            </w:pPr>
          </w:p>
        </w:tc>
      </w:tr>
      <w:tr>
        <w:trPr>
          <w:trHeight w:val="133"/>
        </w:trPr>
        <w:tc>
          <w:tcPr>
            <w:tcW w:w="5200" w:type="dxa"/>
            <w:vAlign w:val="bottom"/>
          </w:tcPr>
          <w:p>
            <w:pPr>
              <w:spacing w:after="0" w:line="133" w:lineRule="exact"/>
              <w:rPr>
                <w:sz w:val="20"/>
                <w:szCs w:val="20"/>
                <w:color w:val="auto"/>
              </w:rPr>
            </w:pPr>
            <w:r>
              <w:rPr>
                <w:rFonts w:ascii="Arial" w:cs="Arial" w:eastAsia="Arial" w:hAnsi="Arial"/>
                <w:sz w:val="12"/>
                <w:szCs w:val="12"/>
                <w:b w:val="1"/>
                <w:bCs w:val="1"/>
                <w:color w:val="auto"/>
              </w:rPr>
              <w:t>Cash flows from investing activities:</w:t>
            </w:r>
          </w:p>
        </w:tc>
        <w:tc>
          <w:tcPr>
            <w:tcW w:w="3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Acquisition of business, net of cash acquired</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3"/>
              </w:rPr>
              <w:t>(28,182)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Additions to property, equipment and software</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3"/>
              </w:rPr>
              <w:t>(15,268)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(11,380)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Notes receivable, net</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151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(3,250)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Acquisitions of assets and other investing activities</w:t>
            </w:r>
          </w:p>
        </w:tc>
        <w:tc>
          <w:tcPr>
            <w:tcW w:w="3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(7,925)</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(6,465)</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Arial" w:cs="Arial" w:eastAsia="Arial" w:hAnsi="Arial"/>
                <w:sz w:val="12"/>
                <w:szCs w:val="12"/>
                <w:b w:val="1"/>
                <w:bCs w:val="1"/>
                <w:color w:val="auto"/>
              </w:rPr>
              <w:t>Net cash used in investing activities</w:t>
            </w:r>
          </w:p>
        </w:tc>
        <w:tc>
          <w:tcPr>
            <w:tcW w:w="35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(51,224)</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(21,095)</w:t>
            </w:r>
          </w:p>
        </w:tc>
        <w:tc>
          <w:tcPr>
            <w:tcW w:w="0" w:type="dxa"/>
            <w:vAlign w:val="bottom"/>
          </w:tcPr>
          <w:p>
            <w:pPr>
              <w:spacing w:after="0"/>
              <w:rPr>
                <w:sz w:val="1"/>
                <w:szCs w:val="1"/>
                <w:color w:val="auto"/>
              </w:rPr>
            </w:pPr>
          </w:p>
        </w:tc>
      </w:tr>
      <w:tr>
        <w:trPr>
          <w:trHeight w:val="133"/>
        </w:trPr>
        <w:tc>
          <w:tcPr>
            <w:tcW w:w="5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Cash flows from financing activities:</w:t>
            </w:r>
          </w:p>
        </w:tc>
        <w:tc>
          <w:tcPr>
            <w:tcW w:w="3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Debt issuance and modification costs paid</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(807)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Repayments of long-term debt</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(4,650)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(4,650)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Borrowings under revolving credit facility</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44,000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23,000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Repayments of borrowings under revolving credit facility</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3"/>
              </w:rPr>
              <w:t>(23,500)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(32,000)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Repurchases of Common Stock and shares withheld for taxes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(1,018)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(4,674)</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Dividends paid to redeemable senior preferred stockholders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3"/>
              </w:rPr>
              <w:t>(17,908)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(11,478)</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Settlement and customer/subscriber accounts obligations, net</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7"/>
              </w:rPr>
              <w:t>165,610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25,695</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Payment of contingent consideration related to business combination</w:t>
            </w:r>
          </w:p>
        </w:tc>
        <w:tc>
          <w:tcPr>
            <w:tcW w:w="3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(4,698)</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(3,992)</w:t>
            </w:r>
          </w:p>
        </w:tc>
        <w:tc>
          <w:tcPr>
            <w:tcW w:w="0" w:type="dxa"/>
            <w:vAlign w:val="bottom"/>
          </w:tcPr>
          <w:p>
            <w:pPr>
              <w:spacing w:after="0"/>
              <w:rPr>
                <w:sz w:val="1"/>
                <w:szCs w:val="1"/>
                <w:color w:val="auto"/>
              </w:rPr>
            </w:pPr>
          </w:p>
        </w:tc>
      </w:tr>
      <w:tr>
        <w:trPr>
          <w:trHeight w:val="138"/>
        </w:trPr>
        <w:tc>
          <w:tcPr>
            <w:tcW w:w="5200" w:type="dxa"/>
            <w:vAlign w:val="bottom"/>
          </w:tcPr>
          <w:p>
            <w:pPr>
              <w:ind w:left="8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3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w w:val="87"/>
              </w:rPr>
              <w:t>157,029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(8,099)</w:t>
            </w:r>
          </w:p>
        </w:tc>
        <w:tc>
          <w:tcPr>
            <w:tcW w:w="0" w:type="dxa"/>
            <w:vAlign w:val="bottom"/>
          </w:tcPr>
          <w:p>
            <w:pPr>
              <w:spacing w:after="0"/>
              <w:rPr>
                <w:sz w:val="1"/>
                <w:szCs w:val="1"/>
                <w:color w:val="auto"/>
              </w:rPr>
            </w:pPr>
          </w:p>
        </w:tc>
      </w:tr>
      <w:tr>
        <w:trPr>
          <w:trHeight w:val="157"/>
        </w:trPr>
        <w:tc>
          <w:tcPr>
            <w:tcW w:w="5200" w:type="dxa"/>
            <w:vAlign w:val="bottom"/>
          </w:tcPr>
          <w:p>
            <w:pPr>
              <w:ind w:left="20"/>
              <w:spacing w:after="0"/>
              <w:rPr>
                <w:sz w:val="20"/>
                <w:szCs w:val="20"/>
                <w:color w:val="auto"/>
              </w:rPr>
            </w:pPr>
            <w:r>
              <w:rPr>
                <w:rFonts w:ascii="Arial" w:cs="Arial" w:eastAsia="Arial" w:hAnsi="Arial"/>
                <w:sz w:val="12"/>
                <w:szCs w:val="12"/>
                <w:b w:val="1"/>
                <w:bCs w:val="1"/>
                <w:color w:val="auto"/>
              </w:rPr>
              <w:t>Net change in cash and cash equivalents and restricted cash:</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Net increase in cash and cash equivalents, and restricted cash</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7"/>
              </w:rPr>
              <w:t>178,485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21,364</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Cash and cash equivalents and restricted cash at beginning of period</w:t>
            </w:r>
          </w:p>
        </w:tc>
        <w:tc>
          <w:tcPr>
            <w:tcW w:w="3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560,610</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518,093</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2"/>
                <w:szCs w:val="12"/>
                <w:b w:val="1"/>
                <w:bCs w:val="1"/>
                <w:color w:val="auto"/>
              </w:rPr>
              <w:t>Cash and cash equivalents and restricted cash at end of period</w:t>
            </w:r>
          </w:p>
        </w:tc>
        <w:tc>
          <w:tcPr>
            <w:tcW w:w="3540" w:type="dxa"/>
            <w:vAlign w:val="bottom"/>
          </w:tcPr>
          <w:p>
            <w:pPr>
              <w:spacing w:after="0"/>
              <w:rPr>
                <w:sz w:val="12"/>
                <w:szCs w:val="12"/>
                <w:color w:val="auto"/>
              </w:rPr>
            </w:pPr>
          </w:p>
        </w:tc>
        <w:tc>
          <w:tcPr>
            <w:tcW w:w="7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7"/>
              </w:rPr>
              <w:t>739,095</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539,457</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2"/>
                <w:szCs w:val="12"/>
                <w:b w:val="1"/>
                <w:bCs w:val="1"/>
                <w:color w:val="auto"/>
              </w:rPr>
              <w:t>Reconciliation of cash and cash equivalents, and restricted cash:</w:t>
            </w:r>
          </w:p>
        </w:tc>
        <w:tc>
          <w:tcPr>
            <w:tcW w:w="3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200" w:type="dxa"/>
            <w:vAlign w:val="bottom"/>
            <w:vMerge w:val="continue"/>
          </w:tcPr>
          <w:p>
            <w:pPr>
              <w:spacing w:after="0"/>
              <w:rPr>
                <w:sz w:val="19"/>
                <w:szCs w:val="19"/>
                <w:color w:val="auto"/>
              </w:rPr>
            </w:pPr>
          </w:p>
        </w:tc>
        <w:tc>
          <w:tcPr>
            <w:tcW w:w="3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426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24,595</w:t>
            </w:r>
          </w:p>
        </w:tc>
        <w:tc>
          <w:tcPr>
            <w:tcW w:w="80" w:type="dxa"/>
            <w:vAlign w:val="bottom"/>
          </w:tcPr>
          <w:p>
            <w:pPr>
              <w:spacing w:after="0"/>
              <w:rPr>
                <w:sz w:val="13"/>
                <w:szCs w:val="13"/>
                <w:color w:val="auto"/>
              </w:rPr>
            </w:pPr>
          </w:p>
        </w:tc>
        <w:tc>
          <w:tcPr>
            <w:tcW w:w="300" w:type="dxa"/>
            <w:vAlign w:val="bottom"/>
          </w:tcPr>
          <w:p>
            <w:pPr>
              <w:jc w:val="center"/>
              <w:ind w:right="1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12,707</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13,890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11,624</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w w:val="95"/>
              </w:rPr>
              <w:t>Cash and cash equivalents included in settlement assets and customer/subscriber account balances</w:t>
            </w:r>
          </w:p>
        </w:tc>
        <w:tc>
          <w:tcPr>
            <w:tcW w:w="3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700,610</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515,126</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2"/>
                <w:szCs w:val="12"/>
                <w:b w:val="1"/>
                <w:bCs w:val="1"/>
                <w:color w:val="auto"/>
              </w:rPr>
              <w:t>Total cash and cash equivalents, and restricted cash</w:t>
            </w:r>
          </w:p>
        </w:tc>
        <w:tc>
          <w:tcPr>
            <w:tcW w:w="3540" w:type="dxa"/>
            <w:vAlign w:val="bottom"/>
          </w:tcPr>
          <w:p>
            <w:pPr>
              <w:spacing w:after="0"/>
              <w:rPr>
                <w:sz w:val="12"/>
                <w:szCs w:val="12"/>
                <w:color w:val="auto"/>
              </w:rPr>
            </w:pPr>
          </w:p>
        </w:tc>
        <w:tc>
          <w:tcPr>
            <w:tcW w:w="7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7"/>
              </w:rPr>
              <w:t>739,095</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539,457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540" w:type="dxa"/>
            <w:vAlign w:val="bottom"/>
            <w:vMerge w:val="restart"/>
          </w:tcPr>
          <w:p>
            <w:pPr>
              <w:jc w:val="right"/>
              <w:ind w:right="3000"/>
              <w:spacing w:after="0"/>
              <w:rPr>
                <w:sz w:val="20"/>
                <w:szCs w:val="20"/>
                <w:color w:val="auto"/>
              </w:rPr>
            </w:pPr>
            <w:r>
              <w:rPr>
                <w:rFonts w:ascii="Arial" w:cs="Arial" w:eastAsia="Arial" w:hAnsi="Arial"/>
                <w:sz w:val="12"/>
                <w:szCs w:val="12"/>
                <w:color w:val="auto"/>
              </w:rPr>
              <w:t>8</w:t>
            </w: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2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t>Priority Technology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Reportable Segments' Results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3380" w:type="dxa"/>
            <w:vAlign w:val="bottom"/>
            <w:gridSpan w:val="6"/>
          </w:tcPr>
          <w:p>
            <w:pPr>
              <w:ind w:left="720"/>
              <w:spacing w:after="0"/>
              <w:rPr>
                <w:sz w:val="20"/>
                <w:szCs w:val="20"/>
                <w:color w:val="auto"/>
              </w:rPr>
            </w:pPr>
            <w:r>
              <w:rPr>
                <w:rFonts w:ascii="Arial" w:cs="Arial" w:eastAsia="Arial" w:hAnsi="Arial"/>
                <w:sz w:val="12"/>
                <w:szCs w:val="12"/>
                <w:b w:val="1"/>
                <w:bCs w:val="1"/>
                <w:color w:val="auto"/>
              </w:rPr>
              <w:t>Three Months Ended September 30,</w:t>
            </w:r>
          </w:p>
        </w:tc>
        <w:tc>
          <w:tcPr>
            <w:tcW w:w="360" w:type="dxa"/>
            <w:vAlign w:val="bottom"/>
          </w:tcPr>
          <w:p>
            <w:pPr>
              <w:spacing w:after="0"/>
              <w:rPr>
                <w:sz w:val="13"/>
                <w:szCs w:val="13"/>
                <w:color w:val="auto"/>
              </w:rPr>
            </w:pPr>
          </w:p>
        </w:tc>
        <w:tc>
          <w:tcPr>
            <w:tcW w:w="2800" w:type="dxa"/>
            <w:vAlign w:val="bottom"/>
            <w:gridSpan w:val="4"/>
          </w:tcPr>
          <w:p>
            <w:pPr>
              <w:jc w:val="right"/>
              <w:ind w:right="620"/>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6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2023</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20"/>
                <w:szCs w:val="20"/>
                <w:color w:val="auto"/>
              </w:rPr>
            </w:pPr>
            <w:r>
              <w:rPr>
                <w:rFonts w:ascii="Arial" w:cs="Arial" w:eastAsia="Arial" w:hAnsi="Arial"/>
                <w:sz w:val="12"/>
                <w:szCs w:val="12"/>
                <w:b w:val="1"/>
                <w:bCs w:val="1"/>
                <w:color w:val="auto"/>
              </w:rPr>
              <w:t>SMB Payments:</w:t>
            </w: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Revenue</w:t>
            </w:r>
          </w:p>
        </w:tc>
        <w:tc>
          <w:tcPr>
            <w:tcW w:w="940" w:type="dxa"/>
            <w:vAlign w:val="bottom"/>
          </w:tcPr>
          <w:p>
            <w:pPr>
              <w:jc w:val="right"/>
              <w:ind w:right="80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140,109</w:t>
            </w:r>
          </w:p>
        </w:tc>
        <w:tc>
          <w:tcPr>
            <w:tcW w:w="8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139,892</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442,937</w:t>
            </w:r>
          </w:p>
        </w:tc>
        <w:tc>
          <w:tcPr>
            <w:tcW w:w="8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412,357</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128,288</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126,445</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407,563</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372,429</w:t>
            </w:r>
          </w:p>
        </w:tc>
        <w:tc>
          <w:tcPr>
            <w:tcW w:w="0" w:type="dxa"/>
            <w:vAlign w:val="bottom"/>
          </w:tcPr>
          <w:p>
            <w:pPr>
              <w:spacing w:after="0"/>
              <w:rPr>
                <w:sz w:val="1"/>
                <w:szCs w:val="1"/>
                <w:color w:val="auto"/>
              </w:rPr>
            </w:pPr>
          </w:p>
        </w:tc>
      </w:tr>
      <w:tr>
        <w:trPr>
          <w:trHeight w:val="142"/>
        </w:trPr>
        <w:tc>
          <w:tcPr>
            <w:tcW w:w="4740" w:type="dxa"/>
            <w:vAlign w:val="bottom"/>
          </w:tcPr>
          <w:p>
            <w:pPr>
              <w:ind w:left="80"/>
              <w:spacing w:after="0"/>
              <w:rPr>
                <w:sz w:val="20"/>
                <w:szCs w:val="20"/>
                <w:color w:val="auto"/>
              </w:rPr>
            </w:pPr>
            <w:r>
              <w:rPr>
                <w:rFonts w:ascii="Arial" w:cs="Arial" w:eastAsia="Arial" w:hAnsi="Arial"/>
                <w:sz w:val="12"/>
                <w:szCs w:val="12"/>
                <w:b w:val="1"/>
                <w:bCs w:val="1"/>
                <w:color w:val="auto"/>
              </w:rPr>
              <w:t>Operating income</w:t>
            </w:r>
          </w:p>
        </w:tc>
        <w:tc>
          <w:tcPr>
            <w:tcW w:w="94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11,821</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13,447</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35,374</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39,928</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80"/>
              <w:spacing w:after="0"/>
              <w:rPr>
                <w:sz w:val="20"/>
                <w:szCs w:val="20"/>
                <w:color w:val="auto"/>
              </w:rPr>
            </w:pPr>
            <w:r>
              <w:rPr>
                <w:rFonts w:ascii="Arial" w:cs="Arial" w:eastAsia="Arial" w:hAnsi="Arial"/>
                <w:sz w:val="12"/>
                <w:szCs w:val="12"/>
                <w:color w:val="auto"/>
              </w:rPr>
              <w:t>Operating margin</w:t>
            </w: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8.4 %</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Arial" w:cs="Arial" w:eastAsia="Arial" w:hAnsi="Arial"/>
                <w:sz w:val="12"/>
                <w:szCs w:val="12"/>
                <w:color w:val="auto"/>
              </w:rPr>
              <w:t>9.6 %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Arial" w:cs="Arial" w:eastAsia="Arial" w:hAnsi="Arial"/>
                <w:sz w:val="12"/>
                <w:szCs w:val="12"/>
                <w:color w:val="auto"/>
              </w:rPr>
              <w:t>8.0 %</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2"/>
                <w:szCs w:val="12"/>
                <w:color w:val="auto"/>
              </w:rPr>
              <w:t>9.7 %</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940" w:type="dxa"/>
            <w:vAlign w:val="bottom"/>
          </w:tcPr>
          <w:p>
            <w:pPr>
              <w:jc w:val="right"/>
              <w:ind w:right="80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9,858</w:t>
            </w:r>
          </w:p>
        </w:tc>
        <w:tc>
          <w:tcPr>
            <w:tcW w:w="8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11,040</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31,473</w:t>
            </w:r>
          </w:p>
        </w:tc>
        <w:tc>
          <w:tcPr>
            <w:tcW w:w="8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32,844</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Key indicators:</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940" w:type="dxa"/>
            <w:vAlign w:val="bottom"/>
          </w:tcPr>
          <w:p>
            <w:pPr>
              <w:jc w:val="right"/>
              <w:ind w:right="80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w w:val="86"/>
              </w:rPr>
              <w:t>14,150,995</w:t>
            </w:r>
          </w:p>
        </w:tc>
        <w:tc>
          <w:tcPr>
            <w:tcW w:w="8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15,098,450</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44,483,491</w:t>
            </w:r>
          </w:p>
        </w:tc>
        <w:tc>
          <w:tcPr>
            <w:tcW w:w="8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44,577,857</w:t>
            </w:r>
          </w:p>
        </w:tc>
        <w:tc>
          <w:tcPr>
            <w:tcW w:w="0" w:type="dxa"/>
            <w:vAlign w:val="bottom"/>
          </w:tcPr>
          <w:p>
            <w:pPr>
              <w:spacing w:after="0"/>
              <w:rPr>
                <w:sz w:val="1"/>
                <w:szCs w:val="1"/>
                <w:color w:val="auto"/>
              </w:rPr>
            </w:pPr>
          </w:p>
        </w:tc>
      </w:tr>
      <w:tr>
        <w:trPr>
          <w:trHeight w:val="149"/>
        </w:trPr>
        <w:tc>
          <w:tcPr>
            <w:tcW w:w="4740" w:type="dxa"/>
            <w:vAlign w:val="bottom"/>
          </w:tcPr>
          <w:p>
            <w:pPr>
              <w:ind w:left="80"/>
              <w:spacing w:after="0"/>
              <w:rPr>
                <w:sz w:val="20"/>
                <w:szCs w:val="20"/>
                <w:color w:val="auto"/>
              </w:rPr>
            </w:pPr>
            <w:r>
              <w:rPr>
                <w:rFonts w:ascii="Arial" w:cs="Arial" w:eastAsia="Arial" w:hAnsi="Arial"/>
                <w:sz w:val="12"/>
                <w:szCs w:val="12"/>
                <w:color w:val="auto"/>
              </w:rPr>
              <w:t>Merchant bankcard transaction count</w:t>
            </w:r>
          </w:p>
        </w:tc>
        <w:tc>
          <w:tcPr>
            <w:tcW w:w="94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178,721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165,796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522,470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476,084</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2"/>
                <w:szCs w:val="12"/>
                <w:b w:val="1"/>
                <w:bCs w:val="1"/>
                <w:color w:val="auto"/>
              </w:rPr>
              <w:t>B2B Payments:</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Revenue</w:t>
            </w:r>
          </w:p>
        </w:tc>
        <w:tc>
          <w:tcPr>
            <w:tcW w:w="940" w:type="dxa"/>
            <w:vAlign w:val="bottom"/>
          </w:tcPr>
          <w:p>
            <w:pPr>
              <w:jc w:val="right"/>
              <w:ind w:right="80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13,748</w:t>
            </w:r>
          </w:p>
        </w:tc>
        <w:tc>
          <w:tcPr>
            <w:tcW w:w="8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4,868</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19,505</w:t>
            </w:r>
          </w:p>
        </w:tc>
        <w:tc>
          <w:tcPr>
            <w:tcW w:w="8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16,088</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13,670</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4,651</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20,295</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14,799</w:t>
            </w:r>
          </w:p>
        </w:tc>
        <w:tc>
          <w:tcPr>
            <w:tcW w:w="0" w:type="dxa"/>
            <w:vAlign w:val="bottom"/>
          </w:tcPr>
          <w:p>
            <w:pPr>
              <w:spacing w:after="0"/>
              <w:rPr>
                <w:sz w:val="1"/>
                <w:szCs w:val="1"/>
                <w:color w:val="auto"/>
              </w:rPr>
            </w:pPr>
          </w:p>
        </w:tc>
      </w:tr>
      <w:tr>
        <w:trPr>
          <w:trHeight w:val="142"/>
        </w:trPr>
        <w:tc>
          <w:tcPr>
            <w:tcW w:w="4740" w:type="dxa"/>
            <w:vAlign w:val="bottom"/>
          </w:tcPr>
          <w:p>
            <w:pPr>
              <w:ind w:left="80"/>
              <w:spacing w:after="0"/>
              <w:rPr>
                <w:sz w:val="20"/>
                <w:szCs w:val="20"/>
                <w:color w:val="auto"/>
              </w:rPr>
            </w:pPr>
            <w:r>
              <w:rPr>
                <w:rFonts w:ascii="Arial" w:cs="Arial" w:eastAsia="Arial" w:hAnsi="Arial"/>
                <w:sz w:val="12"/>
                <w:szCs w:val="12"/>
                <w:b w:val="1"/>
                <w:bCs w:val="1"/>
                <w:color w:val="auto"/>
              </w:rPr>
              <w:t>Operating income (loss)</w:t>
            </w:r>
          </w:p>
        </w:tc>
        <w:tc>
          <w:tcPr>
            <w:tcW w:w="94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78</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217</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(790)</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1,289</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80"/>
              <w:spacing w:after="0"/>
              <w:rPr>
                <w:sz w:val="20"/>
                <w:szCs w:val="20"/>
                <w:color w:val="auto"/>
              </w:rPr>
            </w:pPr>
            <w:r>
              <w:rPr>
                <w:rFonts w:ascii="Arial" w:cs="Arial" w:eastAsia="Arial" w:hAnsi="Arial"/>
                <w:sz w:val="12"/>
                <w:szCs w:val="12"/>
                <w:color w:val="auto"/>
              </w:rPr>
              <w:t>Operating margin</w:t>
            </w: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0.6 %</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Arial" w:cs="Arial" w:eastAsia="Arial" w:hAnsi="Arial"/>
                <w:sz w:val="12"/>
                <w:szCs w:val="12"/>
                <w:color w:val="auto"/>
              </w:rPr>
              <w:t>4.5 %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Arial" w:cs="Arial" w:eastAsia="Arial" w:hAnsi="Arial"/>
                <w:sz w:val="12"/>
                <w:szCs w:val="12"/>
                <w:color w:val="auto"/>
              </w:rPr>
              <w:t>(4.1)%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2"/>
                <w:szCs w:val="12"/>
                <w:color w:val="auto"/>
              </w:rPr>
              <w:t>8.0 %</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940" w:type="dxa"/>
            <w:vAlign w:val="bottom"/>
          </w:tcPr>
          <w:p>
            <w:pPr>
              <w:jc w:val="right"/>
              <w:ind w:right="80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772</w:t>
            </w:r>
          </w:p>
        </w:tc>
        <w:tc>
          <w:tcPr>
            <w:tcW w:w="8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1,024</w:t>
            </w:r>
          </w:p>
        </w:tc>
        <w:tc>
          <w:tcPr>
            <w:tcW w:w="8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441</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Key indicators:</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B2B issuing dollar volume</w:t>
            </w:r>
          </w:p>
        </w:tc>
        <w:tc>
          <w:tcPr>
            <w:tcW w:w="940" w:type="dxa"/>
            <w:vAlign w:val="bottom"/>
          </w:tcPr>
          <w:p>
            <w:pPr>
              <w:jc w:val="right"/>
              <w:ind w:right="80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221,456</w:t>
            </w:r>
          </w:p>
        </w:tc>
        <w:tc>
          <w:tcPr>
            <w:tcW w:w="8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214,085</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636,361</w:t>
            </w:r>
          </w:p>
        </w:tc>
        <w:tc>
          <w:tcPr>
            <w:tcW w:w="8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597,665</w:t>
            </w:r>
          </w:p>
        </w:tc>
        <w:tc>
          <w:tcPr>
            <w:tcW w:w="0" w:type="dxa"/>
            <w:vAlign w:val="bottom"/>
          </w:tcPr>
          <w:p>
            <w:pPr>
              <w:spacing w:after="0"/>
              <w:rPr>
                <w:sz w:val="1"/>
                <w:szCs w:val="1"/>
                <w:color w:val="auto"/>
              </w:rPr>
            </w:pPr>
          </w:p>
        </w:tc>
      </w:tr>
      <w:tr>
        <w:trPr>
          <w:trHeight w:val="149"/>
        </w:trPr>
        <w:tc>
          <w:tcPr>
            <w:tcW w:w="4740" w:type="dxa"/>
            <w:vAlign w:val="bottom"/>
          </w:tcPr>
          <w:p>
            <w:pPr>
              <w:ind w:left="80"/>
              <w:spacing w:after="0"/>
              <w:rPr>
                <w:sz w:val="20"/>
                <w:szCs w:val="20"/>
                <w:color w:val="auto"/>
              </w:rPr>
            </w:pPr>
            <w:r>
              <w:rPr>
                <w:rFonts w:ascii="Arial" w:cs="Arial" w:eastAsia="Arial" w:hAnsi="Arial"/>
                <w:sz w:val="12"/>
                <w:szCs w:val="12"/>
                <w:color w:val="auto"/>
              </w:rPr>
              <w:t>B2B issuing transaction count</w:t>
            </w:r>
          </w:p>
        </w:tc>
        <w:tc>
          <w:tcPr>
            <w:tcW w:w="94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267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247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829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683</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2"/>
                <w:szCs w:val="12"/>
                <w:b w:val="1"/>
                <w:bCs w:val="1"/>
                <w:color w:val="auto"/>
              </w:rPr>
              <w:t>Enterprise Payments:</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Revenue</w:t>
            </w:r>
          </w:p>
        </w:tc>
        <w:tc>
          <w:tcPr>
            <w:tcW w:w="940" w:type="dxa"/>
            <w:vAlign w:val="bottom"/>
          </w:tcPr>
          <w:p>
            <w:pPr>
              <w:jc w:val="right"/>
              <w:ind w:right="80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35,158</w:t>
            </w:r>
          </w:p>
        </w:tc>
        <w:tc>
          <w:tcPr>
            <w:tcW w:w="8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21,657</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93,891</w:t>
            </w:r>
          </w:p>
        </w:tc>
        <w:tc>
          <w:tcPr>
            <w:tcW w:w="8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57,641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13,819</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12,345</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43,810</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38,137</w:t>
            </w:r>
          </w:p>
        </w:tc>
        <w:tc>
          <w:tcPr>
            <w:tcW w:w="0" w:type="dxa"/>
            <w:vAlign w:val="bottom"/>
          </w:tcPr>
          <w:p>
            <w:pPr>
              <w:spacing w:after="0"/>
              <w:rPr>
                <w:sz w:val="1"/>
                <w:szCs w:val="1"/>
                <w:color w:val="auto"/>
              </w:rPr>
            </w:pPr>
          </w:p>
        </w:tc>
      </w:tr>
      <w:tr>
        <w:trPr>
          <w:trHeight w:val="142"/>
        </w:trPr>
        <w:tc>
          <w:tcPr>
            <w:tcW w:w="4740" w:type="dxa"/>
            <w:vAlign w:val="bottom"/>
          </w:tcPr>
          <w:p>
            <w:pPr>
              <w:ind w:left="80"/>
              <w:spacing w:after="0"/>
              <w:rPr>
                <w:sz w:val="20"/>
                <w:szCs w:val="20"/>
                <w:color w:val="auto"/>
              </w:rPr>
            </w:pPr>
            <w:r>
              <w:rPr>
                <w:rFonts w:ascii="Arial" w:cs="Arial" w:eastAsia="Arial" w:hAnsi="Arial"/>
                <w:sz w:val="12"/>
                <w:szCs w:val="12"/>
                <w:b w:val="1"/>
                <w:bCs w:val="1"/>
                <w:color w:val="auto"/>
              </w:rPr>
              <w:t>Operating income</w:t>
            </w:r>
          </w:p>
        </w:tc>
        <w:tc>
          <w:tcPr>
            <w:tcW w:w="94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21,339</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9,312</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50,081</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19,504</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80"/>
              <w:spacing w:after="0"/>
              <w:rPr>
                <w:sz w:val="20"/>
                <w:szCs w:val="20"/>
                <w:color w:val="auto"/>
              </w:rPr>
            </w:pPr>
            <w:r>
              <w:rPr>
                <w:rFonts w:ascii="Arial" w:cs="Arial" w:eastAsia="Arial" w:hAnsi="Arial"/>
                <w:sz w:val="12"/>
                <w:szCs w:val="12"/>
                <w:color w:val="auto"/>
              </w:rPr>
              <w:t>Operating margin</w:t>
            </w: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60.7 %</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Arial" w:cs="Arial" w:eastAsia="Arial" w:hAnsi="Arial"/>
                <w:sz w:val="12"/>
                <w:szCs w:val="12"/>
                <w:color w:val="auto"/>
              </w:rPr>
              <w:t>43.0 %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Arial" w:cs="Arial" w:eastAsia="Arial" w:hAnsi="Arial"/>
                <w:sz w:val="12"/>
                <w:szCs w:val="12"/>
                <w:color w:val="auto"/>
              </w:rPr>
              <w:t>53.3 %</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2"/>
                <w:szCs w:val="12"/>
                <w:color w:val="auto"/>
              </w:rPr>
              <w:t>33.8 %</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940" w:type="dxa"/>
            <w:vAlign w:val="bottom"/>
          </w:tcPr>
          <w:p>
            <w:pPr>
              <w:jc w:val="right"/>
              <w:ind w:right="80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6,154</w:t>
            </w:r>
          </w:p>
        </w:tc>
        <w:tc>
          <w:tcPr>
            <w:tcW w:w="8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6,203</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19,557</w:t>
            </w:r>
          </w:p>
        </w:tc>
        <w:tc>
          <w:tcPr>
            <w:tcW w:w="8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18,599</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Key indicators:</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60"/>
              <w:spacing w:after="0"/>
              <w:rPr>
                <w:sz w:val="20"/>
                <w:szCs w:val="20"/>
                <w:color w:val="auto"/>
              </w:rPr>
            </w:pPr>
            <w:r>
              <w:rPr>
                <w:rFonts w:ascii="Arial" w:cs="Arial" w:eastAsia="Arial" w:hAnsi="Arial"/>
                <w:sz w:val="12"/>
                <w:szCs w:val="12"/>
                <w:color w:val="auto"/>
              </w:rPr>
              <w:t>Average billed clients</w:t>
            </w:r>
          </w:p>
        </w:tc>
        <w:tc>
          <w:tcPr>
            <w:tcW w:w="940" w:type="dxa"/>
            <w:vAlign w:val="bottom"/>
          </w:tcPr>
          <w:p>
            <w:pPr>
              <w:spacing w:after="0"/>
              <w:rPr>
                <w:sz w:val="13"/>
                <w:szCs w:val="13"/>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590,578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387,384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525,274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364,766</w:t>
            </w:r>
          </w:p>
        </w:tc>
        <w:tc>
          <w:tcPr>
            <w:tcW w:w="0" w:type="dxa"/>
            <w:vAlign w:val="bottom"/>
          </w:tcPr>
          <w:p>
            <w:pPr>
              <w:spacing w:after="0"/>
              <w:rPr>
                <w:sz w:val="1"/>
                <w:szCs w:val="1"/>
                <w:color w:val="auto"/>
              </w:rPr>
            </w:pPr>
          </w:p>
        </w:tc>
      </w:tr>
      <w:tr>
        <w:trPr>
          <w:trHeight w:val="153"/>
        </w:trPr>
        <w:tc>
          <w:tcPr>
            <w:tcW w:w="4740" w:type="dxa"/>
            <w:vAlign w:val="bottom"/>
          </w:tcPr>
          <w:p>
            <w:pPr>
              <w:ind w:left="60"/>
              <w:spacing w:after="0"/>
              <w:rPr>
                <w:sz w:val="20"/>
                <w:szCs w:val="20"/>
                <w:color w:val="auto"/>
              </w:rPr>
            </w:pPr>
            <w:r>
              <w:rPr>
                <w:rFonts w:ascii="Arial" w:cs="Arial" w:eastAsia="Arial" w:hAnsi="Arial"/>
                <w:sz w:val="12"/>
                <w:szCs w:val="12"/>
                <w:color w:val="auto"/>
              </w:rPr>
              <w:t>Average new enrollments</w:t>
            </w:r>
          </w:p>
        </w:tc>
        <w:tc>
          <w:tcPr>
            <w:tcW w:w="940" w:type="dxa"/>
            <w:vAlign w:val="bottom"/>
          </w:tcPr>
          <w:p>
            <w:pPr>
              <w:spacing w:after="0"/>
              <w:rPr>
                <w:sz w:val="13"/>
                <w:szCs w:val="13"/>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56,269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37,746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51,864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29,813</w:t>
            </w:r>
          </w:p>
        </w:tc>
        <w:tc>
          <w:tcPr>
            <w:tcW w:w="0" w:type="dxa"/>
            <w:vAlign w:val="bottom"/>
          </w:tcPr>
          <w:p>
            <w:pPr>
              <w:spacing w:after="0"/>
              <w:rPr>
                <w:sz w:val="1"/>
                <w:szCs w:val="1"/>
                <w:color w:val="auto"/>
              </w:rPr>
            </w:pPr>
          </w:p>
        </w:tc>
      </w:tr>
      <w:tr>
        <w:trPr>
          <w:trHeight w:val="324"/>
        </w:trPr>
        <w:tc>
          <w:tcPr>
            <w:tcW w:w="4740" w:type="dxa"/>
            <w:vAlign w:val="bottom"/>
          </w:tcPr>
          <w:p>
            <w:pPr>
              <w:spacing w:after="0"/>
              <w:rPr>
                <w:sz w:val="20"/>
                <w:szCs w:val="20"/>
                <w:color w:val="auto"/>
              </w:rPr>
            </w:pPr>
            <w:r>
              <w:rPr>
                <w:rFonts w:ascii="Arial" w:cs="Arial" w:eastAsia="Arial" w:hAnsi="Arial"/>
                <w:sz w:val="12"/>
                <w:szCs w:val="12"/>
                <w:b w:val="1"/>
                <w:bCs w:val="1"/>
                <w:color w:val="auto"/>
              </w:rPr>
              <w:t>Operating income of reportable segments</w:t>
            </w:r>
          </w:p>
        </w:tc>
        <w:tc>
          <w:tcPr>
            <w:tcW w:w="940" w:type="dxa"/>
            <w:vAlign w:val="bottom"/>
          </w:tcPr>
          <w:p>
            <w:pPr>
              <w:jc w:val="right"/>
              <w:ind w:right="80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33,238</w:t>
            </w:r>
          </w:p>
        </w:tc>
        <w:tc>
          <w:tcPr>
            <w:tcW w:w="80" w:type="dxa"/>
            <w:vAlign w:val="bottom"/>
          </w:tcPr>
          <w:p>
            <w:pPr>
              <w:spacing w:after="0"/>
              <w:rPr>
                <w:sz w:val="24"/>
                <w:szCs w:val="24"/>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22,976</w:t>
            </w:r>
          </w:p>
        </w:tc>
        <w:tc>
          <w:tcPr>
            <w:tcW w:w="100" w:type="dxa"/>
            <w:vAlign w:val="bottom"/>
          </w:tcPr>
          <w:p>
            <w:pPr>
              <w:spacing w:after="0"/>
              <w:rPr>
                <w:sz w:val="24"/>
                <w:szCs w:val="2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84,665</w:t>
            </w:r>
          </w:p>
        </w:tc>
        <w:tc>
          <w:tcPr>
            <w:tcW w:w="80" w:type="dxa"/>
            <w:vAlign w:val="bottom"/>
          </w:tcPr>
          <w:p>
            <w:pPr>
              <w:spacing w:after="0"/>
              <w:rPr>
                <w:sz w:val="24"/>
                <w:szCs w:val="24"/>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60,721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Less: Corporate expense</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(9,732)</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(8,896)</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(25,178)</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(22,755)</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20"/>
                <w:szCs w:val="20"/>
                <w:color w:val="auto"/>
              </w:rPr>
            </w:pPr>
            <w:r>
              <w:rPr>
                <w:rFonts w:ascii="Arial" w:cs="Arial" w:eastAsia="Arial" w:hAnsi="Arial"/>
                <w:sz w:val="12"/>
                <w:szCs w:val="12"/>
                <w:b w:val="1"/>
                <w:bCs w:val="1"/>
                <w:color w:val="auto"/>
              </w:rPr>
              <w:t>Consolidated operating income</w:t>
            </w:r>
          </w:p>
        </w:tc>
        <w:tc>
          <w:tcPr>
            <w:tcW w:w="94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23,506</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14,080</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59,487</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37,966</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2"/>
                <w:szCs w:val="12"/>
                <w:color w:val="auto"/>
              </w:rPr>
              <w:t>Corporate depreciation and amortization</w:t>
            </w: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40" w:type="dxa"/>
            <w:vAlign w:val="bottom"/>
            <w:vMerge w:val="continue"/>
          </w:tcPr>
          <w:p>
            <w:pPr>
              <w:spacing w:after="0"/>
              <w:rPr>
                <w:sz w:val="11"/>
                <w:szCs w:val="11"/>
                <w:color w:val="auto"/>
              </w:rPr>
            </w:pPr>
          </w:p>
        </w:tc>
        <w:tc>
          <w:tcPr>
            <w:tcW w:w="940" w:type="dxa"/>
            <w:vAlign w:val="bottom"/>
          </w:tcPr>
          <w:p>
            <w:pPr>
              <w:jc w:val="right"/>
              <w:ind w:right="800"/>
              <w:spacing w:after="0" w:line="129" w:lineRule="exact"/>
              <w:rPr>
                <w:sz w:val="20"/>
                <w:szCs w:val="20"/>
                <w:color w:val="auto"/>
              </w:rPr>
            </w:pPr>
            <w:r>
              <w:rPr>
                <w:rFonts w:ascii="Arial" w:cs="Arial" w:eastAsia="Arial" w:hAnsi="Arial"/>
                <w:sz w:val="12"/>
                <w:szCs w:val="12"/>
                <w:color w:val="auto"/>
                <w:w w:val="89"/>
              </w:rPr>
              <w:t>$</w:t>
            </w:r>
          </w:p>
        </w:tc>
        <w:tc>
          <w:tcPr>
            <w:tcW w:w="680" w:type="dxa"/>
            <w:vAlign w:val="bottom"/>
          </w:tcPr>
          <w:p>
            <w:pPr>
              <w:jc w:val="right"/>
              <w:ind w:right="80"/>
              <w:spacing w:after="0" w:line="129" w:lineRule="exact"/>
              <w:rPr>
                <w:sz w:val="20"/>
                <w:szCs w:val="20"/>
                <w:color w:val="auto"/>
              </w:rPr>
            </w:pPr>
            <w:r>
              <w:rPr>
                <w:rFonts w:ascii="Arial" w:cs="Arial" w:eastAsia="Arial" w:hAnsi="Arial"/>
                <w:sz w:val="12"/>
                <w:szCs w:val="12"/>
                <w:color w:val="auto"/>
              </w:rPr>
              <w:t>491</w:t>
            </w:r>
          </w:p>
        </w:tc>
        <w:tc>
          <w:tcPr>
            <w:tcW w:w="80" w:type="dxa"/>
            <w:vAlign w:val="bottom"/>
          </w:tcPr>
          <w:p>
            <w:pPr>
              <w:spacing w:after="0"/>
              <w:rPr>
                <w:sz w:val="11"/>
                <w:szCs w:val="11"/>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80"/>
              <w:spacing w:after="0" w:line="129" w:lineRule="exact"/>
              <w:rPr>
                <w:sz w:val="20"/>
                <w:szCs w:val="20"/>
                <w:color w:val="auto"/>
              </w:rPr>
            </w:pPr>
            <w:r>
              <w:rPr>
                <w:rFonts w:ascii="Arial" w:cs="Arial" w:eastAsia="Arial" w:hAnsi="Arial"/>
                <w:sz w:val="12"/>
                <w:szCs w:val="12"/>
                <w:color w:val="auto"/>
              </w:rPr>
              <w:t>279</w:t>
            </w:r>
          </w:p>
        </w:tc>
        <w:tc>
          <w:tcPr>
            <w:tcW w:w="100" w:type="dxa"/>
            <w:vAlign w:val="bottom"/>
          </w:tcPr>
          <w:p>
            <w:pPr>
              <w:spacing w:after="0"/>
              <w:rPr>
                <w:sz w:val="11"/>
                <w:szCs w:val="11"/>
                <w:color w:val="auto"/>
              </w:rPr>
            </w:pPr>
          </w:p>
        </w:tc>
        <w:tc>
          <w:tcPr>
            <w:tcW w:w="360" w:type="dxa"/>
            <w:vAlign w:val="bottom"/>
          </w:tcPr>
          <w:p>
            <w:pPr>
              <w:jc w:val="right"/>
              <w:ind w:right="220"/>
              <w:spacing w:after="0" w:line="129" w:lineRule="exact"/>
              <w:rPr>
                <w:sz w:val="20"/>
                <w:szCs w:val="20"/>
                <w:color w:val="auto"/>
              </w:rPr>
            </w:pPr>
            <w:r>
              <w:rPr>
                <w:rFonts w:ascii="Arial" w:cs="Arial" w:eastAsia="Arial" w:hAnsi="Arial"/>
                <w:sz w:val="12"/>
                <w:szCs w:val="12"/>
                <w:color w:val="auto"/>
                <w:w w:val="89"/>
              </w:rPr>
              <w:t>$</w:t>
            </w:r>
          </w:p>
        </w:tc>
        <w:tc>
          <w:tcPr>
            <w:tcW w:w="1200" w:type="dxa"/>
            <w:vAlign w:val="bottom"/>
          </w:tcPr>
          <w:p>
            <w:pPr>
              <w:jc w:val="right"/>
              <w:ind w:right="80"/>
              <w:spacing w:after="0" w:line="129" w:lineRule="exact"/>
              <w:rPr>
                <w:sz w:val="20"/>
                <w:szCs w:val="20"/>
                <w:color w:val="auto"/>
              </w:rPr>
            </w:pPr>
            <w:r>
              <w:rPr>
                <w:rFonts w:ascii="Arial" w:cs="Arial" w:eastAsia="Arial" w:hAnsi="Arial"/>
                <w:sz w:val="12"/>
                <w:szCs w:val="12"/>
                <w:color w:val="auto"/>
              </w:rPr>
              <w:t>1,249</w:t>
            </w:r>
          </w:p>
        </w:tc>
        <w:tc>
          <w:tcPr>
            <w:tcW w:w="80" w:type="dxa"/>
            <w:vAlign w:val="bottom"/>
          </w:tcPr>
          <w:p>
            <w:pPr>
              <w:spacing w:after="0"/>
              <w:rPr>
                <w:sz w:val="11"/>
                <w:szCs w:val="11"/>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0"/>
              <w:spacing w:after="0" w:line="129" w:lineRule="exact"/>
              <w:rPr>
                <w:sz w:val="20"/>
                <w:szCs w:val="20"/>
                <w:color w:val="auto"/>
              </w:rPr>
            </w:pPr>
            <w:r>
              <w:rPr>
                <w:rFonts w:ascii="Arial" w:cs="Arial" w:eastAsia="Arial" w:hAnsi="Arial"/>
                <w:sz w:val="12"/>
                <w:szCs w:val="12"/>
                <w:color w:val="auto"/>
              </w:rPr>
              <w:t>791</w:t>
            </w:r>
          </w:p>
        </w:tc>
        <w:tc>
          <w:tcPr>
            <w:tcW w:w="0" w:type="dxa"/>
            <w:vAlign w:val="bottom"/>
          </w:tcPr>
          <w:p>
            <w:pPr>
              <w:spacing w:after="0"/>
              <w:rPr>
                <w:sz w:val="1"/>
                <w:szCs w:val="1"/>
                <w:color w:val="auto"/>
              </w:rPr>
            </w:pPr>
          </w:p>
        </w:tc>
      </w:tr>
      <w:tr>
        <w:trPr>
          <w:trHeight w:val="882"/>
        </w:trPr>
        <w:tc>
          <w:tcPr>
            <w:tcW w:w="47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8" w:right="31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2023-11-09T07:19:52Z</dcterms:created>
  <dcterms:modified xsi:type="dcterms:W3CDTF">2023-11-09T07:19:52Z</dcterms:modified>
</cp:coreProperties>
</file>