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386"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386"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86" w:before="0" w:after="0"/>
        <w:jc w:val="center"/>
        <w:rPr>
          <w:color w:val="000000"/>
        </w:rPr>
      </w:pPr>
      <w:r>
        <w:rPr>
          <w:color w:val="000000"/>
        </w:rPr>
        <w:t> </w:t>
      </w:r>
      <w:r>
        <w:rPr>
          <w:rFonts w:ascii="Times New Roman;serif" w:hAnsi="Times New Roman;serif"/>
          <w:b w:val="false"/>
          <w:color w:val="000000"/>
          <w:sz w:val="20"/>
        </w:rPr>
        <w:t>_________________</w:t>
      </w:r>
    </w:p>
    <w:p>
      <w:pPr>
        <w:pStyle w:val="TextBody"/>
        <w:bidi w:val="0"/>
        <w:spacing w:lineRule="auto" w:line="386" w:before="0" w:after="0"/>
        <w:jc w:val="center"/>
        <w:rPr/>
      </w:pPr>
      <w:r>
        <w:rPr>
          <w:color w:val="000000"/>
        </w:rPr>
        <w:t> </w:t>
      </w:r>
      <w:r>
        <w:rPr>
          <w:rFonts w:ascii="Times New Roman;serif" w:hAnsi="Times New Roman;serif"/>
          <w:b/>
          <w:color w:val="000000"/>
          <w:sz w:val="24"/>
        </w:rPr>
        <w:t>SCHEDULE 14A</w:t>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 THE</w:t>
      </w:r>
    </w:p>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lineRule="auto" w:line="386" w:before="0" w:after="0"/>
        <w:jc w:val="center"/>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386" w:before="0" w:after="0"/>
        <w:jc w:val="center"/>
        <w:rPr/>
      </w:pPr>
      <w:r>
        <w:rPr>
          <w:rFonts w:ascii="Times New Roman;serif" w:hAnsi="Times New Roman;serif"/>
          <w:b w:val="false"/>
          <w:color w:val="000000"/>
          <w:sz w:val="18"/>
        </w:rPr>
        <w:t>Filed by the Registrant  </w:t>
      </w:r>
      <w:r>
        <w:rPr>
          <w:color w:val="000000"/>
        </w:rPr>
        <w:t>☒</w:t>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val="false"/>
          <w:color w:val="000000"/>
          <w:sz w:val="18"/>
        </w:rPr>
      </w:pPr>
      <w:r>
        <w:rPr>
          <w:rFonts w:ascii="Times New Roman;serif" w:hAnsi="Times New Roman;serif"/>
          <w:b w:val="false"/>
          <w:color w:val="000000"/>
          <w:sz w:val="18"/>
        </w:rPr>
        <w:t>Filed by a Party other than the Registrant  ☐</w:t>
      </w:r>
    </w:p>
    <w:p>
      <w:pPr>
        <w:pStyle w:val="TextBody"/>
        <w:bidi w:val="0"/>
        <w:spacing w:before="0" w:after="0"/>
        <w:jc w:val="center"/>
        <w:rPr/>
      </w:pPr>
      <w:r>
        <w:rPr/>
      </w:r>
    </w:p>
    <w:p>
      <w:pPr>
        <w:pStyle w:val="TextBody"/>
        <w:bidi w:val="0"/>
        <w:spacing w:lineRule="auto" w:line="386" w:before="0" w:after="100"/>
        <w:jc w:val="center"/>
        <w:rPr>
          <w:rFonts w:ascii="Times New Roman;serif" w:hAnsi="Times New Roman;serif"/>
          <w:b w:val="false"/>
          <w:color w:val="000000"/>
          <w:sz w:val="18"/>
        </w:rPr>
      </w:pPr>
      <w:r>
        <w:rPr>
          <w:rFonts w:ascii="Times New Roman;serif" w:hAnsi="Times New Roman;serif"/>
          <w:b w:val="false"/>
          <w:color w:val="000000"/>
          <w:sz w:val="18"/>
        </w:rPr>
        <w:t>Check the appropriate box: </w:t>
      </w:r>
    </w:p>
    <w:tbl>
      <w:tblPr>
        <w:tblW w:w="66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43"/>
        <w:gridCol w:w="1743"/>
        <w:gridCol w:w="24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Section 240.14a-12</w:t>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282892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28925" cy="89535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Priority Technology Holdings, Inc.</w:t>
      </w:r>
    </w:p>
    <w:p>
      <w:pPr>
        <w:pStyle w:val="TextBody"/>
        <w:bidi w:val="0"/>
        <w:spacing w:lineRule="auto" w:line="386" w:before="0" w:after="0"/>
        <w:jc w:val="center"/>
        <w:rPr/>
      </w:pPr>
      <w:r>
        <w:rPr>
          <w:rFonts w:ascii="Times New Roman;serif" w:hAnsi="Times New Roman;serif"/>
          <w:b w:val="false"/>
          <w:color w:val="000000"/>
          <w:sz w:val="20"/>
        </w:rPr>
        <w:t>(</w:t>
      </w:r>
      <w:r>
        <w:rPr>
          <w:rFonts w:ascii="Times New Roman;serif" w:hAnsi="Times New Roman;serif"/>
          <w:b w:val="false"/>
          <w:color w:val="000000"/>
          <w:sz w:val="18"/>
        </w:rPr>
        <w:t>Name of Registrant as Specified in Its Charter)</w:t>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w:t>
      </w:r>
    </w:p>
    <w:p>
      <w:pPr>
        <w:pStyle w:val="TextBody"/>
        <w:bidi w:val="0"/>
        <w:spacing w:lineRule="auto" w:line="386" w:before="0" w:after="0"/>
        <w:jc w:val="center"/>
        <w:rPr>
          <w:rFonts w:ascii="Times New Roman;serif" w:hAnsi="Times New Roman;serif"/>
          <w:b w:val="false"/>
          <w:color w:val="000000"/>
          <w:sz w:val="18"/>
        </w:rPr>
      </w:pPr>
      <w:r>
        <w:rPr>
          <w:rFonts w:ascii="Times New Roman;serif" w:hAnsi="Times New Roman;serif"/>
          <w:b w:val="false"/>
          <w:color w:val="000000"/>
          <w:sz w:val="18"/>
        </w:rPr>
        <w:t>(Name of Person(s) Filing Proxy Statement, if Other Than the Registrant)</w:t>
      </w:r>
    </w:p>
    <w:p>
      <w:pPr>
        <w:pStyle w:val="TextBody"/>
        <w:bidi w:val="0"/>
        <w:spacing w:before="0" w:after="0"/>
        <w:jc w:val="center"/>
        <w:rPr/>
      </w:pPr>
      <w:r>
        <w:rPr/>
      </w:r>
    </w:p>
    <w:p>
      <w:pPr>
        <w:pStyle w:val="TextBody"/>
        <w:bidi w:val="0"/>
        <w:spacing w:lineRule="auto" w:line="386" w:before="0" w:after="100"/>
        <w:jc w:val="center"/>
        <w:rPr>
          <w:rFonts w:ascii="Times New Roman;serif" w:hAnsi="Times New Roman;serif"/>
          <w:b w:val="false"/>
          <w:color w:val="000000"/>
          <w:sz w:val="18"/>
        </w:rPr>
      </w:pPr>
      <w:r>
        <w:rPr>
          <w:rFonts w:ascii="Times New Roman;serif" w:hAnsi="Times New Roman;serif"/>
          <w:b w:val="false"/>
          <w:color w:val="000000"/>
          <w:sz w:val="18"/>
        </w:rPr>
        <w:t>Payment of Filing Fee (Check all the boxes that apply):</w:t>
      </w:r>
    </w:p>
    <w:tbl>
      <w:tblPr>
        <w:tblW w:w="80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59"/>
        <w:gridCol w:w="2159"/>
        <w:gridCol w:w="3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828925" cy="8953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828925" cy="895350"/>
                    </a:xfrm>
                    <a:prstGeom prst="rect">
                      <a:avLst/>
                    </a:prstGeom>
                  </pic:spPr>
                </pic:pic>
              </a:graphicData>
            </a:graphic>
          </wp:inline>
        </w:drawing>
      </w:r>
      <w:bookmarkStart w:id="1" w:name="i-2"/>
      <w:bookmarkEnd w:id="1"/>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color w:val="000000"/>
          <w:sz w:val="44"/>
        </w:rPr>
      </w:pPr>
      <w:r>
        <w:rPr>
          <w:rFonts w:ascii="Times New Roman;serif" w:hAnsi="Times New Roman;serif"/>
          <w:b/>
          <w:color w:val="000000"/>
          <w:sz w:val="44"/>
        </w:rPr>
        <w:t>PROXY STATEMENT AND NOTICE OF</w:t>
      </w:r>
    </w:p>
    <w:p>
      <w:pPr>
        <w:pStyle w:val="TextBody"/>
        <w:bidi w:val="0"/>
        <w:spacing w:lineRule="auto" w:line="386" w:before="0" w:after="0"/>
        <w:jc w:val="center"/>
        <w:rPr>
          <w:rFonts w:ascii="Times New Roman;serif" w:hAnsi="Times New Roman;serif"/>
          <w:b/>
          <w:color w:val="000000"/>
          <w:sz w:val="44"/>
        </w:rPr>
      </w:pPr>
      <w:r>
        <w:rPr>
          <w:rFonts w:ascii="Times New Roman;serif" w:hAnsi="Times New Roman;serif"/>
          <w:b/>
          <w:color w:val="000000"/>
          <w:sz w:val="44"/>
        </w:rPr>
        <w:t>2026 ANNUAL MEETING OF STOCKHOLDERS</w:t>
      </w:r>
    </w:p>
    <w:p>
      <w:pPr>
        <w:pStyle w:val="TextBody"/>
        <w:bidi w:val="0"/>
        <w:spacing w:before="0" w:after="0"/>
        <w:jc w:val="both"/>
        <w:rPr/>
      </w:pPr>
      <w:r>
        <w:rPr/>
      </w:r>
    </w:p>
    <w:p>
      <w:pPr>
        <w:pStyle w:val="TextBody"/>
        <w:bidi w:val="0"/>
        <w:spacing w:lineRule="auto" w:line="386" w:before="0" w:after="0"/>
        <w:jc w:val="center"/>
        <w:rPr>
          <w:rFonts w:ascii="Times New Roman;serif" w:hAnsi="Times New Roman;serif"/>
          <w:b/>
          <w:color w:val="000000"/>
          <w:sz w:val="28"/>
        </w:rPr>
      </w:pPr>
      <w:r>
        <w:rPr>
          <w:rFonts w:ascii="Times New Roman;serif" w:hAnsi="Times New Roman;serif"/>
          <w:b/>
          <w:color w:val="000000"/>
          <w:sz w:val="28"/>
        </w:rPr>
        <w:t>Thursday, June 11, 2026</w:t>
      </w:r>
    </w:p>
    <w:p>
      <w:pPr>
        <w:pStyle w:val="TextBody"/>
        <w:bidi w:val="0"/>
        <w:spacing w:lineRule="auto" w:line="386" w:before="0" w:after="0"/>
        <w:jc w:val="center"/>
        <w:rPr>
          <w:rFonts w:ascii="Times New Roman;serif" w:hAnsi="Times New Roman;serif"/>
          <w:b/>
          <w:color w:val="000000"/>
          <w:sz w:val="28"/>
        </w:rPr>
      </w:pPr>
      <w:r>
        <w:rPr>
          <w:rFonts w:ascii="Times New Roman;serif" w:hAnsi="Times New Roman;serif"/>
          <w:b/>
          <w:color w:val="000000"/>
          <w:sz w:val="28"/>
        </w:rPr>
        <w:t>9:30 a.m. EDT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0" w:after="0"/>
        <w:jc w:val="both"/>
        <w:rPr/>
      </w:pPr>
      <w:r>
        <w:rPr>
          <w:rFonts w:ascii="Times New Roman;serif" w:hAnsi="Times New Roman;serif"/>
          <w:b w:val="false"/>
          <w:color w:val="000000"/>
          <w:sz w:val="20"/>
        </w:rPr>
        <w:t xml:space="preserve">Priority Technology Holdings, Inc., a Delaware corporation, </w:t>
      </w:r>
      <w:r>
        <w:rPr>
          <w:rFonts w:ascii="Times New Roman;serif" w:hAnsi="Times New Roman;serif"/>
          <w:b w:val="false"/>
          <w:color w:val="000000"/>
          <w:sz w:val="22"/>
        </w:rPr>
        <w:t>is a payments and banking fintech purpose-built to collect, store, lend and send money with a connected commerce engine that combines full-service merchant acquiring for accounts receivable, complete automated payables tools for bill payment, and sophisticated treasury management solutions to accelerate cash flow and optimize working capital for its customers</w:t>
      </w:r>
      <w:r>
        <w:rPr>
          <w:rFonts w:ascii="Times New Roman;serif" w:hAnsi="Times New Roman;serif"/>
          <w:b w:val="false"/>
          <w:color w:val="000000"/>
          <w:sz w:val="20"/>
        </w:rPr>
        <w:t>. Its common stock is listed on the Nasdaq Capital Market ("NASDAQ") under the symbol ''PRTH."</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drawing>
          <wp:inline distT="0" distB="0" distL="0" distR="0">
            <wp:extent cx="1914525" cy="6096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914525" cy="609600"/>
                    </a:xfrm>
                    <a:prstGeom prst="rect">
                      <a:avLst/>
                    </a:prstGeom>
                  </pic:spPr>
                </pic:pic>
              </a:graphicData>
            </a:graphic>
          </wp:inline>
        </w:drawing>
      </w:r>
      <w:bookmarkStart w:id="2" w:name="i-3"/>
      <w:bookmarkEnd w:id="2"/>
    </w:p>
    <w:p>
      <w:pPr>
        <w:pStyle w:val="TextBody"/>
        <w:bidi w:val="0"/>
        <w:spacing w:before="0" w:after="0"/>
        <w:jc w:val="center"/>
        <w:rPr/>
      </w:pPr>
      <w:r>
        <w:rPr/>
      </w:r>
    </w:p>
    <w:p>
      <w:pPr>
        <w:pStyle w:val="TextBody"/>
        <w:bidi w:val="0"/>
        <w:spacing w:lineRule="auto" w:line="384"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April 14, 2026 </w:t>
      </w:r>
    </w:p>
    <w:p>
      <w:pPr>
        <w:pStyle w:val="TextBody"/>
        <w:bidi w:val="0"/>
        <w:spacing w:before="0" w:after="0"/>
        <w:jc w:val="left"/>
        <w:rPr/>
      </w:pPr>
      <w:r>
        <w:rPr/>
      </w:r>
    </w:p>
    <w:p>
      <w:pPr>
        <w:pStyle w:val="TextBody"/>
        <w:bidi w:val="0"/>
        <w:spacing w:lineRule="auto" w:line="384" w:before="0" w:after="0"/>
        <w:jc w:val="left"/>
        <w:rPr>
          <w:rFonts w:ascii="Times New Roman;serif" w:hAnsi="Times New Roman;serif"/>
          <w:b w:val="false"/>
          <w:color w:val="000000"/>
          <w:sz w:val="20"/>
        </w:rPr>
      </w:pPr>
      <w:r>
        <w:rPr>
          <w:rFonts w:ascii="Times New Roman;serif" w:hAnsi="Times New Roman;serif"/>
          <w:b w:val="false"/>
          <w:color w:val="000000"/>
          <w:sz w:val="20"/>
        </w:rPr>
        <w:t>Dear Stockholder:</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and officers of Priority Technology Holdings Inc. join me in extending to you a cordial invitation to attend our 2026 Annual Meeting of Stockholders. The Annual Meeting will be held on Thursday, June 11, 2026, at 9:30 a.m. Eastern Daylight Time. </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Stockholders will be able to attend, vote and submit questions (both before, and for a portion of, the meeting) from any location via the Internet at www.virtualshareholdermeeting.com/PRTH2026. If you plan to participate in the virtual meeting, please see “Proxy Statement Q&amp;A.”</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At the Annual Meeting, stockholders will be asked to vote on four proposals set forth in the Notice of 2026 Annual Meeting of Stockholders and the Proxy Statement following this letter.</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Whether or not you plan to attend the virtual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virtual Annual Meeting, you will be able to vote in person, even if you have submitted your proxy previously.</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If you have any questions concerning the Annual Meeting and you are the stockholder of record of your shares of stock, please contact Meghna Mehra at PriorityIR@icrinc.com or (203) 682-8273. If your shares of stock are held by a broker or other nominee (that is, in ''street name''), please contact your broker or other nominee for questions concerning the annual meeting.</w:t>
      </w:r>
    </w:p>
    <w:p>
      <w:pPr>
        <w:pStyle w:val="TextBody"/>
        <w:bidi w:val="0"/>
        <w:spacing w:before="0" w:after="0"/>
        <w:jc w:val="left"/>
        <w:rPr/>
      </w:pPr>
      <w:r>
        <w:rPr/>
      </w:r>
    </w:p>
    <w:p>
      <w:pPr>
        <w:pStyle w:val="TextBody"/>
        <w:bidi w:val="0"/>
        <w:spacing w:lineRule="auto" w:line="384" w:before="0" w:after="0"/>
        <w:jc w:val="left"/>
        <w:rPr>
          <w:rFonts w:ascii="Times New Roman;serif" w:hAnsi="Times New Roman;serif"/>
          <w:b w:val="false"/>
          <w:color w:val="000000"/>
          <w:sz w:val="20"/>
        </w:rPr>
      </w:pPr>
      <w:r>
        <w:rPr>
          <w:rFonts w:ascii="Times New Roman;serif" w:hAnsi="Times New Roman;serif"/>
          <w:b w:val="false"/>
          <w:color w:val="000000"/>
          <w:sz w:val="20"/>
        </w:rPr>
        <w:t>We look forward to speaking with you on June 11th.</w:t>
      </w:r>
    </w:p>
    <w:p>
      <w:pPr>
        <w:pStyle w:val="TextBody"/>
        <w:bidi w:val="0"/>
        <w:spacing w:before="0" w:after="0"/>
        <w:jc w:val="left"/>
        <w:rPr/>
      </w:pPr>
      <w:r>
        <w:rPr/>
      </w:r>
    </w:p>
    <w:p>
      <w:pPr>
        <w:pStyle w:val="TextBody"/>
        <w:bidi w:val="0"/>
        <w:spacing w:lineRule="auto" w:line="384" w:before="0" w:after="0"/>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before="0" w:after="0"/>
        <w:jc w:val="left"/>
        <w:rPr/>
      </w:pPr>
      <w:r>
        <w:rPr/>
      </w:r>
    </w:p>
    <w:p>
      <w:pPr>
        <w:pStyle w:val="TextBody"/>
        <w:bidi w:val="0"/>
        <w:spacing w:lineRule="auto" w:line="384"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Thomas C. Priore</w:t>
      </w:r>
    </w:p>
    <w:p>
      <w:pPr>
        <w:pStyle w:val="TextBody"/>
        <w:bidi w:val="0"/>
        <w:spacing w:before="0" w:after="0"/>
        <w:jc w:val="left"/>
        <w:rPr/>
      </w:pPr>
      <w:r>
        <w:rPr/>
      </w:r>
    </w:p>
    <w:p>
      <w:pPr>
        <w:pStyle w:val="TextBody"/>
        <w:bidi w:val="0"/>
        <w:spacing w:lineRule="auto" w:line="384" w:before="0" w:after="0"/>
        <w:jc w:val="left"/>
        <w:rPr>
          <w:rFonts w:ascii="Times New Roman;serif" w:hAnsi="Times New Roman;serif"/>
          <w:b w:val="false"/>
          <w:color w:val="000000"/>
          <w:sz w:val="20"/>
        </w:rPr>
      </w:pPr>
      <w:r>
        <w:rPr>
          <w:rFonts w:ascii="Times New Roman;serif" w:hAnsi="Times New Roman;serif"/>
          <w:b w:val="false"/>
          <w:color w:val="000000"/>
          <w:sz w:val="20"/>
        </w:rPr>
        <w:t>Thomas C. Priore</w:t>
      </w:r>
    </w:p>
    <w:p>
      <w:pPr>
        <w:pStyle w:val="TextBody"/>
        <w:bidi w:val="0"/>
        <w:spacing w:lineRule="auto" w:line="384"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Chairman and Chief Executive Officer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1914525" cy="6096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914525" cy="609600"/>
                    </a:xfrm>
                    <a:prstGeom prst="rect">
                      <a:avLst/>
                    </a:prstGeom>
                  </pic:spPr>
                </pic:pic>
              </a:graphicData>
            </a:graphic>
          </wp:inline>
        </w:drawing>
      </w:r>
      <w:bookmarkStart w:id="3" w:name="i-4"/>
      <w:bookmarkEnd w:id="3"/>
    </w:p>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2001 Westside Parkway</w:t>
      </w:r>
    </w:p>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Alpharetta, GA 30004</w:t>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color w:val="000000"/>
          <w:sz w:val="24"/>
        </w:rPr>
      </w:pPr>
      <w:r>
        <w:rPr>
          <w:rFonts w:ascii="Times New Roman;serif" w:hAnsi="Times New Roman;serif"/>
          <w:b/>
          <w:color w:val="000000"/>
          <w:sz w:val="24"/>
        </w:rPr>
        <w:t>NOTICE OF 2026 ANNUAL MEETING OF STOCKHOLDERS</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Notice is hereby given that the 2026 Annual Meeting of Stockholders (the "Annual Meeting") of Priority Technology Holdings, Inc. (the "Company") will be held at 9:30 a.m. EDT on Thursday, June 11, 2026. Our Annual Meeting can be accessed virtually via the Internet at: www.virtualshareholdermeeting.com/PRTH2026.</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At the Annual Meeting, the Company's stockholders will be asked to vote on the following proposals:</w:t>
      </w:r>
    </w:p>
    <w:p>
      <w:pPr>
        <w:pStyle w:val="TextBody"/>
        <w:bidi w:val="0"/>
        <w:spacing w:before="0" w:after="0"/>
        <w:jc w:val="left"/>
        <w:rPr/>
      </w:pPr>
      <w:r>
        <w:rPr/>
      </w:r>
    </w:p>
    <w:p>
      <w:pPr>
        <w:pStyle w:val="TextBody"/>
        <w:bidi w:val="0"/>
        <w:spacing w:lineRule="auto" w:line="384"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elect the six directors nominated by our board of directors (the "Board of Directors") and named in this Proxy Statement.</w:t>
      </w:r>
    </w:p>
    <w:p>
      <w:pPr>
        <w:pStyle w:val="TextBody"/>
        <w:bidi w:val="0"/>
        <w:spacing w:lineRule="auto" w:line="384"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2.To approve Amendment 2 to Priority Technology Holdings, Inc. 2018 Equity Incentive Plan.</w:t>
      </w:r>
    </w:p>
    <w:p>
      <w:pPr>
        <w:pStyle w:val="TextBody"/>
        <w:bidi w:val="0"/>
        <w:spacing w:lineRule="auto" w:line="384"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approve, on a non-binding basis, the compensation of our Named Executive Officers (as defined in this Proxy Statement).</w:t>
      </w:r>
    </w:p>
    <w:p>
      <w:pPr>
        <w:pStyle w:val="TextBody"/>
        <w:bidi w:val="0"/>
        <w:spacing w:lineRule="auto" w:line="384"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4.To ratify the appointment of KPMG LLP ("KPMG") as the Company's Independent Registered Public Accounting Firm for the year ending December 31, 2026.</w:t>
      </w:r>
    </w:p>
    <w:p>
      <w:pPr>
        <w:pStyle w:val="TextBody"/>
        <w:bidi w:val="0"/>
        <w:spacing w:before="0" w:after="0"/>
        <w:jc w:val="left"/>
        <w:rPr/>
      </w:pPr>
      <w:r>
        <w:rPr/>
      </w:r>
    </w:p>
    <w:p>
      <w:pPr>
        <w:pStyle w:val="TextBody"/>
        <w:bidi w:val="0"/>
        <w:spacing w:lineRule="auto" w:line="384" w:before="0" w:after="0"/>
        <w:jc w:val="both"/>
        <w:rPr/>
      </w:pPr>
      <w:r>
        <w:rPr>
          <w:rFonts w:ascii="Times New Roman;serif" w:hAnsi="Times New Roman;serif"/>
          <w:b w:val="false"/>
          <w:color w:val="000000"/>
          <w:sz w:val="20"/>
        </w:rPr>
        <w:t xml:space="preserve">The Board of Directors recommends that you vote </w:t>
      </w: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each of the nominees for directors (Proposal Number One); </w:t>
      </w: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approval of Amendment 2 to Priority Technology Holdings, Inc. 2018 Equity Incentive Plan (Proposal Number Two); </w:t>
      </w: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approval of the compensation of our Named Executive Officers (Proposal Number Three); and </w:t>
      </w: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ratification of the proposed Independent Registered Public Accounting Firm (Proposal Number Four). </w:t>
      </w:r>
    </w:p>
    <w:p>
      <w:pPr>
        <w:pStyle w:val="TextBody"/>
        <w:bidi w:val="0"/>
        <w:spacing w:before="0" w:after="0"/>
        <w:jc w:val="left"/>
        <w:rPr/>
      </w:pPr>
      <w:r>
        <w:rPr/>
      </w:r>
    </w:p>
    <w:p>
      <w:pPr>
        <w:pStyle w:val="TextBody"/>
        <w:bidi w:val="0"/>
        <w:spacing w:lineRule="auto" w:line="384" w:before="0" w:after="0"/>
        <w:jc w:val="left"/>
        <w:rPr>
          <w:rFonts w:ascii="Times New Roman;serif" w:hAnsi="Times New Roman;serif"/>
          <w:b w:val="false"/>
          <w:color w:val="000000"/>
          <w:sz w:val="20"/>
        </w:rPr>
      </w:pPr>
      <w:r>
        <w:rPr>
          <w:rFonts w:ascii="Times New Roman;serif" w:hAnsi="Times New Roman;serif"/>
          <w:b w:val="false"/>
          <w:color w:val="000000"/>
          <w:sz w:val="20"/>
        </w:rPr>
        <w:t>The stockholders may also transact any other business that may properly come before the Annual Meeting or any adjournments or postponements thereof.</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Important Notice Regarding Preliminary Take-Private Proposal.</w:t>
      </w:r>
    </w:p>
    <w:p>
      <w:pPr>
        <w:pStyle w:val="TextBody"/>
        <w:bidi w:val="0"/>
        <w:spacing w:before="0" w:after="0"/>
        <w:jc w:val="left"/>
        <w:rPr/>
      </w:pPr>
      <w:r>
        <w:rPr/>
      </w:r>
    </w:p>
    <w:p>
      <w:pPr>
        <w:pStyle w:val="TextBody"/>
        <w:bidi w:val="0"/>
        <w:spacing w:lineRule="auto" w:line="417" w:before="0" w:after="0"/>
        <w:jc w:val="both"/>
        <w:rPr/>
      </w:pPr>
      <w:r>
        <w:rPr>
          <w:rFonts w:ascii="Times New Roman;serif" w:hAnsi="Times New Roman;serif"/>
          <w:b w:val="false"/>
          <w:color w:val="000000"/>
          <w:sz w:val="20"/>
        </w:rPr>
        <w:t>As previously disclosed, on November 9, 2025, the Company received a preliminary, non-binding proposal from an investor group led by the Company's Chairman and Chief Executive Officer, Thomas Priore, to acquire all of the outstanding shares of the Company's common stock not already held by such investor group for cash consideration in the range of $6.00 to $6.15 per share. The Board of Directors has formed a Special Committee of independent and disinterested directors to evaluate the proposal and any potential strategic alternatives. The Special Committee has retained Barclays as its financial advisor and Paul, Weiss, Rifkind, Wharton &amp; Garrison LLP as its independent legal counsel. As of the date of this Proxy Statement, no definitive agreement has been entered into with respect to the Proposed Take-Private Transaction. The Proposed Take-Private Transaction is not a matter being submitted for a vote at the Annual Meeting. For additional information, please see “</w:t>
      </w:r>
      <w:r>
        <w:rPr>
          <w:rFonts w:ascii="Times New Roman;serif" w:hAnsi="Times New Roman;serif"/>
          <w:b w:val="false"/>
          <w:i/>
          <w:color w:val="000000"/>
          <w:sz w:val="20"/>
        </w:rPr>
        <w:t>Proxy Statement Q&amp;A</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Corporate Governance — Special Committee</w:t>
      </w:r>
      <w:r>
        <w:rPr>
          <w:color w:val="000000"/>
        </w:rPr>
        <w:t xml:space="preserve">” </w:t>
      </w:r>
      <w:r>
        <w:rPr>
          <w:rFonts w:ascii="Times New Roman;serif" w:hAnsi="Times New Roman;serif"/>
          <w:b w:val="false"/>
          <w:color w:val="000000"/>
          <w:sz w:val="20"/>
        </w:rPr>
        <w:t>in the accompanying Proxy Statement.</w:t>
      </w:r>
    </w:p>
    <w:p>
      <w:pPr>
        <w:pStyle w:val="TextBody"/>
        <w:bidi w:val="0"/>
        <w:spacing w:before="0" w:after="0"/>
        <w:jc w:val="left"/>
        <w:rPr/>
      </w:pPr>
      <w:r>
        <w:rPr/>
      </w:r>
    </w:p>
    <w:p>
      <w:pPr>
        <w:pStyle w:val="TextBody"/>
        <w:bidi w:val="0"/>
        <w:spacing w:lineRule="auto" w:line="384" w:before="0" w:after="0"/>
        <w:jc w:val="left"/>
        <w:rPr/>
      </w:pPr>
      <w:r>
        <w:rPr>
          <w:rFonts w:ascii="Times New Roman;serif" w:hAnsi="Times New Roman;serif"/>
          <w:b/>
          <w:color w:val="000000"/>
          <w:sz w:val="20"/>
        </w:rPr>
        <w:t xml:space="preserve">Record Date: </w:t>
      </w:r>
      <w:r>
        <w:rPr>
          <w:rFonts w:ascii="Times New Roman;serif" w:hAnsi="Times New Roman;serif"/>
          <w:b w:val="false"/>
          <w:color w:val="000000"/>
          <w:sz w:val="20"/>
        </w:rPr>
        <w:t>Close of business on April 14,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The solicitation of the enclosed proxy is made on behalf of the Board of Directors for use at the Annual Meeting to be held on Thursday, June 11, 2026. It is expected that this Proxy Statement and related materials will first be provided to stockholders on or about April 28, 2026. Only stockholders of record at the close of business on April 14, 2026 are entitled to receive notice of, and to vote at, the virtual Annual Meeting or any adjournment or postponement thereof. If you do not attend the virtual Annual Meeting, you may vote your shares of stock via the Internet or by mail or telephone, as instructed in the Proxy Statement. Your vote is important.</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Submitting your proxy does not affect your right to vote in person if you attend the virtual Annual Meeting. Therefore, we urge you to submit your proxy as soon as possible, regardless of whether you expect to attend the Annual Meeting.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before="0" w:after="0"/>
        <w:jc w:val="left"/>
        <w:rPr/>
      </w:pPr>
      <w:r>
        <w:rPr/>
      </w:r>
    </w:p>
    <w:p>
      <w:pPr>
        <w:pStyle w:val="TextBody"/>
        <w:bidi w:val="0"/>
        <w:spacing w:lineRule="auto" w:line="384"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Bradley J. Miller</w:t>
      </w:r>
    </w:p>
    <w:p>
      <w:pPr>
        <w:pStyle w:val="TextBody"/>
        <w:bidi w:val="0"/>
        <w:spacing w:before="0" w:after="0"/>
        <w:jc w:val="left"/>
        <w:rPr/>
      </w:pPr>
      <w:r>
        <w:rPr/>
      </w:r>
    </w:p>
    <w:p>
      <w:pPr>
        <w:pStyle w:val="TextBody"/>
        <w:bidi w:val="0"/>
        <w:spacing w:lineRule="auto" w:line="384" w:before="0" w:after="0"/>
        <w:jc w:val="left"/>
        <w:rPr>
          <w:rFonts w:ascii="Times New Roman;serif" w:hAnsi="Times New Roman;serif"/>
          <w:b w:val="false"/>
          <w:color w:val="000000"/>
          <w:sz w:val="20"/>
        </w:rPr>
      </w:pPr>
      <w:r>
        <w:rPr>
          <w:rFonts w:ascii="Times New Roman;serif" w:hAnsi="Times New Roman;serif"/>
          <w:b w:val="false"/>
          <w:color w:val="000000"/>
          <w:sz w:val="20"/>
        </w:rPr>
        <w:t>Bradley J. Miller</w:t>
      </w:r>
    </w:p>
    <w:p>
      <w:pPr>
        <w:pStyle w:val="TextBody"/>
        <w:bidi w:val="0"/>
        <w:spacing w:lineRule="auto" w:line="384" w:before="0" w:after="0"/>
        <w:jc w:val="left"/>
        <w:rPr>
          <w:rFonts w:ascii="Times New Roman;serif" w:hAnsi="Times New Roman;serif"/>
          <w:b w:val="false"/>
          <w:i/>
          <w:color w:val="000000"/>
          <w:sz w:val="20"/>
        </w:rPr>
      </w:pPr>
      <w:r>
        <w:rPr>
          <w:rFonts w:ascii="Times New Roman;serif" w:hAnsi="Times New Roman;serif"/>
          <w:b w:val="false"/>
          <w:i/>
          <w:color w:val="000000"/>
          <w:sz w:val="20"/>
        </w:rPr>
        <w:t>General Counsel, Chief Risk Officer, and Corporate Secretary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Alpharetta, Georgia</w:t>
      </w:r>
    </w:p>
    <w:p>
      <w:pPr>
        <w:pStyle w:val="TextBody"/>
        <w:bidi w:val="0"/>
        <w:spacing w:lineRule="auto" w:line="384" w:before="0" w:after="0"/>
        <w:jc w:val="left"/>
        <w:rPr>
          <w:rFonts w:ascii="Times New Roman;serif" w:hAnsi="Times New Roman;serif"/>
          <w:b w:val="false"/>
          <w:color w:val="000000"/>
          <w:sz w:val="20"/>
        </w:rPr>
      </w:pPr>
      <w:r>
        <w:rPr>
          <w:rFonts w:ascii="Times New Roman;serif" w:hAnsi="Times New Roman;serif"/>
          <w:b w:val="false"/>
          <w:color w:val="000000"/>
          <w:sz w:val="20"/>
        </w:rPr>
        <w:t>April 28,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84" w:before="0" w:after="0"/>
        <w:jc w:val="left"/>
        <w:rPr>
          <w:rFonts w:ascii="Times New Roman;serif" w:hAnsi="Times New Roman;serif"/>
          <w:b/>
          <w:color w:val="000000"/>
          <w:sz w:val="20"/>
        </w:rPr>
      </w:pPr>
      <w:r>
        <w:rPr>
          <w:rFonts w:ascii="Times New Roman;serif" w:hAnsi="Times New Roman;serif"/>
          <w:b/>
          <w:color w:val="000000"/>
          <w:sz w:val="20"/>
        </w:rPr>
        <w:t>IMPORTANT NOTICE REGARDING THE AVAILABILITY OF MATERIALS FOR THE MEETING</w:t>
      </w:r>
    </w:p>
    <w:p>
      <w:pPr>
        <w:pStyle w:val="TextBody"/>
        <w:bidi w:val="0"/>
        <w:spacing w:before="0" w:after="0"/>
        <w:jc w:val="left"/>
        <w:rPr/>
      </w:pPr>
      <w:r>
        <w:rPr/>
      </w:r>
    </w:p>
    <w:p>
      <w:pPr>
        <w:pStyle w:val="TextBody"/>
        <w:bidi w:val="0"/>
        <w:spacing w:lineRule="auto" w:line="384" w:before="0" w:after="0"/>
        <w:jc w:val="both"/>
        <w:rPr/>
      </w:pPr>
      <w:r>
        <w:rPr>
          <w:rFonts w:ascii="Times New Roman;serif" w:hAnsi="Times New Roman;serif"/>
          <w:b w:val="false"/>
          <w:color w:val="000000"/>
          <w:sz w:val="20"/>
        </w:rPr>
        <w:t xml:space="preserve">The Proxy Statement and our Annual Report are available via the Internet at </w:t>
      </w:r>
      <w:r>
        <w:rPr>
          <w:rFonts w:ascii="Times New Roman;serif" w:hAnsi="Times New Roman;serif"/>
          <w:b/>
          <w:color w:val="000000"/>
          <w:sz w:val="20"/>
        </w:rPr>
        <w:t>http://materials.proxyvote.com/74275G</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before="0" w:after="0"/>
        <w:jc w:val="both"/>
        <w:rPr/>
      </w:pPr>
      <w:r>
        <w:rPr/>
      </w:r>
    </w:p>
    <w:p>
      <w:pPr>
        <w:pStyle w:val="TextBody"/>
        <w:bidi w:val="0"/>
        <w:spacing w:lineRule="auto" w:line="386" w:before="0" w:after="0"/>
        <w:jc w:val="center"/>
        <w:rPr>
          <w:rFonts w:ascii="Times New Roman;serif" w:hAnsi="Times New Roman;serif"/>
          <w:b/>
          <w:color w:val="000000"/>
          <w:sz w:val="32"/>
        </w:rPr>
      </w:pPr>
      <w:r>
        <w:rPr>
          <w:rFonts w:ascii="Times New Roman;serif" w:hAnsi="Times New Roman;serif"/>
          <w:b/>
          <w:color w:val="000000"/>
          <w:sz w:val="32"/>
        </w:rPr>
        <w:t>Proxy Statement</w:t>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color w:val="000000"/>
          <w:sz w:val="32"/>
        </w:rPr>
      </w:pPr>
      <w:r>
        <w:rPr>
          <w:rFonts w:ascii="Times New Roman;serif" w:hAnsi="Times New Roman;serif"/>
          <w:b/>
          <w:color w:val="000000"/>
          <w:sz w:val="32"/>
        </w:rPr>
        <w:t>Table of Contents</w:t>
      </w:r>
    </w:p>
    <w:p>
      <w:pPr>
        <w:pStyle w:val="TextBody"/>
        <w:bidi w:val="0"/>
        <w:spacing w:before="0" w:after="100"/>
        <w:jc w:val="center"/>
        <w:rPr/>
      </w:pPr>
      <w:r>
        <w:rPr/>
      </w:r>
    </w:p>
    <w:tbl>
      <w:tblPr>
        <w:tblW w:w="8143" w:type="dxa"/>
        <w:jc w:val="left"/>
        <w:tblInd w:w="0" w:type="dxa"/>
        <w:tblLayout w:type="fixed"/>
        <w:tblCellMar>
          <w:top w:w="28" w:type="dxa"/>
          <w:left w:w="28" w:type="dxa"/>
          <w:bottom w:w="28" w:type="dxa"/>
          <w:right w:w="28" w:type="dxa"/>
        </w:tblCellMar>
      </w:tblPr>
      <w:tblGrid>
        <w:gridCol w:w="2621"/>
        <w:gridCol w:w="2305"/>
        <w:gridCol w:w="2319"/>
        <w:gridCol w:w="109"/>
        <w:gridCol w:w="109"/>
        <w:gridCol w:w="109"/>
        <w:gridCol w:w="167"/>
        <w:gridCol w:w="167"/>
        <w:gridCol w:w="237"/>
      </w:tblGrid>
      <w:tr>
        <w:trPr/>
        <w:tc>
          <w:tcPr>
            <w:tcW w:w="2621"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Information about the Proxy Materials and the Annual Meeting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pPr>
            <w:hyperlink w:anchor="i584f698d6d294df7b07b49f5d3d4b733_16">
              <w:r>
                <w:rPr>
                  <w:rStyle w:val="InternetLink"/>
                  <w:rFonts w:ascii="Times New Roman;serif" w:hAnsi="Times New Roman;serif"/>
                  <w:b w:val="false"/>
                  <w:color w:val="0000FF"/>
                  <w:sz w:val="20"/>
                  <w:u w:val="single"/>
                </w:rPr>
                <w:t>1</w:t>
              </w:r>
            </w:hyperlink>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Officers and Board of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19">
              <w:r>
                <w:rPr>
                  <w:rStyle w:val="InternetLink"/>
                  <w:rFonts w:ascii="Times New Roman;serif" w:hAnsi="Times New Roman;serif"/>
                  <w:b w:val="false"/>
                  <w:color w:val="0000FF"/>
                  <w:sz w:val="20"/>
                  <w:u w:val="single"/>
                </w:rPr>
                <w:t>8</w:t>
              </w:r>
            </w:hyperlink>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Governance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22">
              <w:r>
                <w:rPr>
                  <w:rStyle w:val="InternetLink"/>
                  <w:rFonts w:ascii="Times New Roman;serif" w:hAnsi="Times New Roman;serif"/>
                  <w:b w:val="false"/>
                  <w:color w:val="0000FF"/>
                  <w:sz w:val="20"/>
                  <w:u w:val="single"/>
                </w:rPr>
                <w:t>11</w:t>
              </w:r>
            </w:hyperlink>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 of the 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25">
              <w:r>
                <w:rPr>
                  <w:rStyle w:val="InternetLink"/>
                  <w:rFonts w:ascii="Times New Roman;serif" w:hAnsi="Times New Roman;serif"/>
                  <w:b w:val="false"/>
                  <w:color w:val="0000FF"/>
                  <w:sz w:val="20"/>
                  <w:u w:val="single"/>
                </w:rPr>
                <w:t>16</w:t>
              </w:r>
            </w:hyperlink>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Independent Registered Public Accounting Firm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pPr>
            <w:hyperlink w:anchor="i584f698d6d294df7b07b49f5d3d4b733_316">
              <w:r>
                <w:rPr>
                  <w:rStyle w:val="InternetLink"/>
                  <w:rFonts w:ascii="Times New Roman;serif" w:hAnsi="Times New Roman;serif"/>
                  <w:b w:val="false"/>
                  <w:color w:val="0000FF"/>
                  <w:sz w:val="20"/>
                  <w:u w:val="single"/>
                </w:rPr>
                <w:t>17</w:t>
              </w:r>
            </w:hyperlink>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Delinquent Section 16(a) Reports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28">
              <w:r>
                <w:rPr>
                  <w:rStyle w:val="InternetLink"/>
                  <w:rFonts w:ascii="Times New Roman;serif" w:hAnsi="Times New Roman;serif"/>
                  <w:b w:val="false"/>
                  <w:color w:val="0000FF"/>
                  <w:sz w:val="20"/>
                  <w:u w:val="single"/>
                </w:rPr>
                <w:t>18</w:t>
              </w:r>
            </w:hyperlink>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of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31">
              <w:r>
                <w:rPr>
                  <w:rStyle w:val="InternetLink"/>
                  <w:rFonts w:ascii="Times New Roman;serif" w:hAnsi="Times New Roman;serif"/>
                  <w:b w:val="false"/>
                  <w:color w:val="0000FF"/>
                  <w:sz w:val="20"/>
                  <w:u w:val="single"/>
                </w:rPr>
                <w:t>19</w:t>
              </w:r>
            </w:hyperlink>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of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34">
              <w:r>
                <w:rPr>
                  <w:rStyle w:val="InternetLink"/>
                  <w:rFonts w:ascii="Times New Roman;serif" w:hAnsi="Times New Roman;serif"/>
                  <w:b w:val="false"/>
                  <w:color w:val="0000FF"/>
                  <w:sz w:val="20"/>
                  <w:u w:val="single"/>
                </w:rPr>
                <w:t>22</w:t>
              </w:r>
            </w:hyperlink>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Equity Awards at 2025 Year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37">
              <w:r>
                <w:rPr>
                  <w:rStyle w:val="InternetLink"/>
                  <w:rFonts w:ascii="Times New Roman;serif" w:hAnsi="Times New Roman;serif"/>
                  <w:b w:val="false"/>
                  <w:color w:val="0000FF"/>
                  <w:sz w:val="20"/>
                  <w:u w:val="single"/>
                </w:rPr>
                <w:t>23</w:t>
              </w:r>
            </w:hyperlink>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Directors, and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40">
              <w:r>
                <w:rPr>
                  <w:rStyle w:val="InternetLink"/>
                  <w:rFonts w:ascii="Times New Roman;serif" w:hAnsi="Times New Roman;serif"/>
                  <w:b w:val="false"/>
                  <w:color w:val="0000FF"/>
                  <w:sz w:val="20"/>
                  <w:u w:val="single"/>
                </w:rPr>
                <w:t>24</w:t>
              </w:r>
            </w:hyperlink>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Number One - Election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43">
              <w:r>
                <w:rPr>
                  <w:rStyle w:val="InternetLink"/>
                  <w:rFonts w:ascii="Times New Roman;serif" w:hAnsi="Times New Roman;serif"/>
                  <w:b w:val="false"/>
                  <w:color w:val="0000FF"/>
                  <w:sz w:val="20"/>
                  <w:u w:val="single"/>
                </w:rPr>
                <w:t>25</w:t>
              </w:r>
            </w:hyperlink>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Number Two - Approval of Amendment 2 to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46">
              <w:r>
                <w:rPr>
                  <w:rStyle w:val="InternetLink"/>
                  <w:rFonts w:ascii="Times New Roman;serif" w:hAnsi="Times New Roman;serif"/>
                  <w:b w:val="false"/>
                  <w:color w:val="0000FF"/>
                  <w:sz w:val="20"/>
                  <w:u w:val="single"/>
                </w:rPr>
                <w:t>27</w:t>
              </w:r>
            </w:hyperlink>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Number Three - Approval of Named Executive Officer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49">
              <w:r>
                <w:rPr>
                  <w:rStyle w:val="InternetLink"/>
                  <w:rFonts w:ascii="Times New Roman;serif" w:hAnsi="Times New Roman;serif"/>
                  <w:b w:val="false"/>
                  <w:color w:val="0000FF"/>
                  <w:sz w:val="20"/>
                  <w:u w:val="single"/>
                </w:rPr>
                <w:t>29</w:t>
              </w:r>
            </w:hyperlink>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Number Four - Ratification of Independent Registered Public Accounting Firm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right"/>
              <w:rPr/>
            </w:pPr>
            <w:hyperlink w:anchor="i584f698d6d294df7b07b49f5d3d4b733_52">
              <w:r>
                <w:rPr>
                  <w:rStyle w:val="InternetLink"/>
                  <w:rFonts w:ascii="Times New Roman;serif" w:hAnsi="Times New Roman;serif"/>
                  <w:b w:val="false"/>
                  <w:color w:val="0000FF"/>
                  <w:sz w:val="20"/>
                  <w:u w:val="single"/>
                </w:rPr>
                <w:t>31</w:t>
              </w:r>
            </w:hyperlink>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Matters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55">
              <w:r>
                <w:rPr>
                  <w:rStyle w:val="InternetLink"/>
                  <w:rFonts w:ascii="Times New Roman;serif" w:hAnsi="Times New Roman;serif"/>
                  <w:b w:val="false"/>
                  <w:color w:val="0000FF"/>
                  <w:sz w:val="20"/>
                  <w:u w:val="single"/>
                </w:rPr>
                <w:t>33</w:t>
              </w:r>
            </w:hyperlink>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Proxy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pPr>
            <w:hyperlink w:anchor="i584f698d6d294df7b07b49f5d3d4b733_61">
              <w:r>
                <w:rPr>
                  <w:rStyle w:val="InternetLink"/>
                  <w:rFonts w:ascii="Times New Roman;serif" w:hAnsi="Times New Roman;serif"/>
                  <w:b w:val="false"/>
                  <w:color w:val="0000FF"/>
                  <w:sz w:val="20"/>
                  <w:u w:val="single"/>
                </w:rPr>
                <w:t>34</w:t>
              </w:r>
            </w:hyperlink>
          </w:p>
        </w:tc>
      </w:tr>
    </w:tbl>
    <w:p>
      <w:pPr>
        <w:pStyle w:val="TextBody"/>
        <w:bidi w:val="0"/>
        <w:spacing w:before="120"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drawing>
          <wp:inline distT="0" distB="0" distL="0" distR="0">
            <wp:extent cx="1914525" cy="6096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914525" cy="609600"/>
                    </a:xfrm>
                    <a:prstGeom prst="rect">
                      <a:avLst/>
                    </a:prstGeom>
                  </pic:spPr>
                </pic:pic>
              </a:graphicData>
            </a:graphic>
          </wp:inline>
        </w:drawing>
      </w:r>
      <w:bookmarkStart w:id="4" w:name="i-5"/>
      <w:bookmarkEnd w:id="4"/>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GENERAL INFORMATION ABOUT THE PROXY MATERIALS AND THE ANNUAL MEETING</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i/>
          <w:color w:val="000000"/>
          <w:sz w:val="20"/>
        </w:rPr>
      </w:pPr>
      <w:r>
        <w:rPr>
          <w:rFonts w:ascii="Times New Roman;serif" w:hAnsi="Times New Roman;serif"/>
          <w:b/>
          <w:i/>
          <w:color w:val="000000"/>
          <w:sz w:val="20"/>
        </w:rPr>
        <w:t>Why am I receiving this Proxy Statement?</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Board of Directors (the "Board" or "Board of Directors") of Priority Technology Holdings, Inc. ("we," "us," "our," "Priority," "PRTH," or the "Company") is soliciting proxies for our 2026 Annual Meeting of Stockholders on June 11, 2026 (the "Annual Meeting"). This Proxy Statement and accompanying proxy card are being mailed on or about April 28, 2026 to stockholders of record as of April 14, 2026, the record date (the "Record Date") for the Annual Meeting.</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What am I voting on?</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The purpose of the Annual Meeting is for the Company's stockholders to vote on the following proposals:</w:t>
      </w:r>
    </w:p>
    <w:p>
      <w:pPr>
        <w:pStyle w:val="TextBody"/>
        <w:bidi w:val="0"/>
        <w:spacing w:before="0" w:after="0"/>
        <w:jc w:val="left"/>
        <w:rPr/>
      </w:pPr>
      <w:r>
        <w:rPr/>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elect the six directors nominated by our Board of Directors and named in the Proxy Statement;</w:t>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2.To approve Amendment 2 to the Priority Technology Holdings, Inc. 2018 Equity Incentive Plan</w:t>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approve, on a non-binding basis, the compensation of our Named Executive Officers ("NEOs"); and</w:t>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4.To ratify the appointment of KPMG LLP as the Company's Independent Registered Public Accounting Firm for the year ending December 31, 2026.</w:t>
      </w:r>
    </w:p>
    <w:p>
      <w:pPr>
        <w:pStyle w:val="TextBody"/>
        <w:bidi w:val="0"/>
        <w:spacing w:before="0" w:after="0"/>
        <w:ind w:left="0" w:right="0" w:firstLine="360"/>
        <w:jc w:val="left"/>
        <w:rPr/>
      </w:pPr>
      <w:r>
        <w:rPr/>
      </w:r>
    </w:p>
    <w:p>
      <w:pPr>
        <w:pStyle w:val="TextBody"/>
        <w:bidi w:val="0"/>
        <w:spacing w:lineRule="auto" w:line="417" w:before="0" w:after="0"/>
        <w:jc w:val="left"/>
        <w:rPr>
          <w:rFonts w:ascii="Times New Roman;serif" w:hAnsi="Times New Roman;serif"/>
          <w:b/>
          <w:i/>
          <w:color w:val="000000"/>
          <w:sz w:val="20"/>
        </w:rPr>
      </w:pPr>
      <w:r>
        <w:rPr>
          <w:rFonts w:ascii="Times New Roman;serif" w:hAnsi="Times New Roman;serif"/>
          <w:b/>
          <w:i/>
          <w:color w:val="000000"/>
          <w:sz w:val="20"/>
        </w:rPr>
        <w:t>Who is asking for my vote and approximately how much will these solicitation activities cost?</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soliciting your proxy on behalf of the Board. Solicitation of proxies is being made by the Company through the mail, in person and by telecommunications. The cost of this solicitation will be borne by the Company.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Who can attend the Annual Meeting?</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 shares of common stock issued and [.] outstanding.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How can I attend the Annual Meeting?</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Stockholders as of the Record Date may attend and vote virtually at the Annual Meeting by logging in at www.virtualshareholdermeeting.com/PRTH2026. To log in, stockholders (or their authorized representatives) will need the control number provided on their proxy card, voting instruction form or Notice. If you are not a stockholder or do not have a control number, you may still access the meeting as a guest, but you will not be able to participate.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What are my voting rights?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Each share of common stock is entitled to one vote on each matter submitted to stockholders at the Annual Meeting.</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Can I ask questions at the Virtual Annual Meeting?</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Stockholders as of our record date who attend and participate in our virtual Annual Meeting at www.virtualshareholdermeeting.com/PRTH2026 will have an opportunity to submit questions live via the Internet during a designated portion of the meeting. These stockholders may also submit a question in advance of the Annual Meeting at www.proxyvote.com. In both cases, stockholders must have available their control number provided on their proxy card, voting instruction form or Notice.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What is the difference between holding shares of common stock as a stockholder of record and as a beneficial owner "in street name"?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If your shares of common stock are registered directly in your name with the Company's transfer agent, Equiniti Trust Company, LLC, you are considered the stockholder of record for these shares of stock. As the stockholder of record, you have the right to grant your voting proxy directly to the persons listed on your proxy card or vote in person at the Annual Meeting.</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i/>
          <w:color w:val="000000"/>
          <w:sz w:val="20"/>
        </w:rPr>
      </w:pPr>
      <w:r>
        <w:rPr>
          <w:rFonts w:ascii="Times New Roman;serif" w:hAnsi="Times New Roman;serif"/>
          <w:b/>
          <w:i/>
          <w:color w:val="000000"/>
          <w:sz w:val="20"/>
        </w:rPr>
        <w:t>What is a broker non-vote?</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Four (ratification of auditor appointment). Therefore, your broker will not have discretion to vote on any other proposal unless you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specifically instruct your broker how to vote your shares of stock by returning your completed and signed voting instruction card.</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What constitutes a quorum?</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 quorum is the minimum number of shares of stock required to be present to transact business at the Annual Meeting. Pursuant to the Company's bylaws, the presence at the Annual Meeting, in person, by proxy, or by remote communication, of 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What are my choices when casting a vote with respect to the election of the six nominated directors, and what vote is needed to elect the director nominees?</w:t>
      </w:r>
    </w:p>
    <w:p>
      <w:pPr>
        <w:pStyle w:val="TextBody"/>
        <w:bidi w:val="0"/>
        <w:spacing w:before="0" w:after="0"/>
        <w:jc w:val="both"/>
        <w:rPr/>
      </w:pPr>
      <w:r>
        <w:rPr/>
      </w:r>
    </w:p>
    <w:p>
      <w:pPr>
        <w:pStyle w:val="TextBody"/>
        <w:bidi w:val="0"/>
        <w:spacing w:lineRule="auto" w:line="417" w:before="0" w:after="120"/>
        <w:jc w:val="left"/>
        <w:rPr>
          <w:rFonts w:ascii="Times New Roman;serif" w:hAnsi="Times New Roman;serif"/>
          <w:b w:val="false"/>
          <w:color w:val="000000"/>
          <w:sz w:val="20"/>
        </w:rPr>
      </w:pPr>
      <w:r>
        <w:rPr>
          <w:rFonts w:ascii="Times New Roman;serif" w:hAnsi="Times New Roman;serif"/>
          <w:b w:val="false"/>
          <w:color w:val="000000"/>
          <w:sz w:val="20"/>
        </w:rPr>
        <w:t>In voting on the election of the director nominees ("Proposal Number One"), stockholders may:</w:t>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1.vote for any of the nominees;</w:t>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2.vote against any of the nominees; or</w:t>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3.abstain from voting on any of the nominees.</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our bylaws, a nominee must receive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What are my choices when voting on the approval of amendment two to the Priority Technology Holdings, Inc. 2018 Equity Incentive Plan (the “Purchase Plan”)?</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 voting on the approval of an amendment to the Purchase Plan ("Proposal Number Two"), stockholders may:</w:t>
      </w:r>
    </w:p>
    <w:p>
      <w:pPr>
        <w:pStyle w:val="TextBody"/>
        <w:bidi w:val="0"/>
        <w:spacing w:before="0" w:after="0"/>
        <w:jc w:val="left"/>
        <w:rPr/>
      </w:pPr>
      <w:r>
        <w:rPr/>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1.vote for the amendment;</w:t>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2.vote against the amendment; or</w:t>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3.abstain from voting for the amendment.</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amendment to the Purchase Plan will increase the aggregate number of shares of common stock of the Company authorized for issuance under the Purchase Plan by 8,000,000.</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What are my choices when voting on the approval of the compensation of the Company’s NEOs?</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In voting on the approval of the compensation of the Company’s NEOs ("Proposal Number Three"), stockholders may:</w:t>
      </w:r>
    </w:p>
    <w:p>
      <w:pPr>
        <w:pStyle w:val="TextBody"/>
        <w:bidi w:val="0"/>
        <w:spacing w:before="0" w:after="0"/>
        <w:ind w:left="0" w:right="0" w:firstLine="360"/>
        <w:jc w:val="left"/>
        <w:rPr/>
      </w:pPr>
      <w:r>
        <w:rPr/>
      </w:r>
    </w:p>
    <w:p>
      <w:pPr>
        <w:pStyle w:val="TextBody"/>
        <w:bidi w:val="0"/>
        <w:spacing w:lineRule="auto" w:line="417"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1.vote for the compensation of the Company’s NEOs;</w:t>
      </w:r>
    </w:p>
    <w:p>
      <w:pPr>
        <w:pStyle w:val="TextBody"/>
        <w:bidi w:val="0"/>
        <w:spacing w:lineRule="auto" w:line="417"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2.vote against the compensation of the Company’s NEOs; or</w:t>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3.abstain from voting for the compensation of the Company’s NEOs.</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approval of Proposal Number Three requires the affirmative vote of a majority of the votes properly cast at our Annual Meeting. Abstentions are not considered votes cast and thus will not affect the outcome of this proposal. </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i/>
          <w:color w:val="000000"/>
          <w:sz w:val="20"/>
        </w:rPr>
      </w:pPr>
      <w:r>
        <w:rPr>
          <w:rFonts w:ascii="Times New Roman;serif" w:hAnsi="Times New Roman;serif"/>
          <w:b/>
          <w:i/>
          <w:color w:val="000000"/>
          <w:sz w:val="20"/>
        </w:rPr>
        <w:t>What are my choices when voting on the ratification of the appointment of KPMG as the Company's independent registered public accounting firm for the year ending December 31, 2026, and what vote is needed to approve this proposal?</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In voting on the ratification of KPMG ("Proposal Number Four"), stockholders may:</w:t>
      </w:r>
    </w:p>
    <w:p>
      <w:pPr>
        <w:pStyle w:val="TextBody"/>
        <w:bidi w:val="0"/>
        <w:spacing w:before="0" w:after="0"/>
        <w:jc w:val="left"/>
        <w:rPr/>
      </w:pPr>
      <w:r>
        <w:rPr/>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1.vote to ratify KPMG's appointment;</w:t>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2.vote against ratifying KPMG's appointment; or</w:t>
      </w:r>
    </w:p>
    <w:p>
      <w:pPr>
        <w:pStyle w:val="TextBody"/>
        <w:bidi w:val="0"/>
        <w:spacing w:lineRule="auto" w:line="417"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3.abstain from voting on ratifying KPMG's appointment.</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The approval of Proposal Number Four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How does the Board recommend that I vote?</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The Board recommends a vote:</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the six nominated directors (Proposal Number One);</w:t>
      </w:r>
    </w:p>
    <w:p>
      <w:pPr>
        <w:pStyle w:val="TextBody"/>
        <w:bidi w:val="0"/>
        <w:spacing w:lineRule="auto" w:line="417" w:before="0" w:after="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of Amendment 2 to the Priority Technology Holdings, Inc. 2021 Employee Stock Purchase Agreement (Proposal Number Two);</w:t>
      </w:r>
    </w:p>
    <w:p>
      <w:pPr>
        <w:pStyle w:val="TextBody"/>
        <w:bidi w:val="0"/>
        <w:spacing w:lineRule="auto" w:line="417" w:before="0" w:after="0"/>
        <w:ind w:left="0" w:right="0" w:hanging="360"/>
        <w:jc w:val="left"/>
        <w:rPr/>
      </w:pPr>
      <w:r>
        <w:rPr>
          <w:rFonts w:ascii="Times New Roman;serif" w:hAnsi="Times New Roman;serif"/>
          <w:b w:val="false"/>
          <w:color w:val="000000"/>
          <w:sz w:val="20"/>
        </w:rPr>
        <w:t>3.</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of, on a non-binding basis, the compensation of our Named Executive Officers (Proposal Number Three);</w:t>
      </w:r>
    </w:p>
    <w:p>
      <w:pPr>
        <w:pStyle w:val="TextBody"/>
        <w:bidi w:val="0"/>
        <w:spacing w:lineRule="auto" w:line="417" w:before="0" w:after="0"/>
        <w:ind w:left="0" w:right="0" w:hanging="360"/>
        <w:jc w:val="left"/>
        <w:rPr/>
      </w:pPr>
      <w:r>
        <w:rPr>
          <w:rFonts w:ascii="Times New Roman;serif" w:hAnsi="Times New Roman;serif"/>
          <w:b w:val="false"/>
          <w:color w:val="000000"/>
          <w:sz w:val="20"/>
        </w:rPr>
        <w:t>4.</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ratification of the appointment of KPMG (Proposal Number Four).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How do I vote?</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If you are a stockholder of record, you may vote in one of four ways.</w:t>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First, you may vote over the Internet by completing the voting instructions form found at www.proxyvote.com. You will need your proxy card when voting over the Internet.</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Second, you may vote by touch-tone telephone by calling 1-800-690-6903.</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Third, you may vote by mail by signing, dating, and mailing your proxy card in the enclosed envelope.</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Fourth, you may vote in person at the virtual Annual Meeting.</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If your shares of stock are held in a brokerage account or by another nominee, these proxy materials are being forwarded to you together with a voting instruction card from your broker or nominee. Follow the instructions on the voting instruction card in order to vote your shares of stock by proxy or in person.</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i/>
          <w:color w:val="000000"/>
          <w:sz w:val="20"/>
        </w:rPr>
      </w:pPr>
      <w:r>
        <w:rPr>
          <w:rFonts w:ascii="Times New Roman;serif" w:hAnsi="Times New Roman;serif"/>
          <w:b/>
          <w:i/>
          <w:color w:val="000000"/>
          <w:sz w:val="20"/>
        </w:rPr>
        <w:t>Can I change my vote?</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Yes. Even after you have submitted your proxy card, you may change or revoke your vote at any time before your proxy votes your shares of stock by submitting written notice of revocation to Bradley Miller, the Company's General Counsel, Chief Risk Officer, and Corporate Secretary, at the Company's address set forth in the 2026 Notice of Annual Meeting, or by submitting another proxy card bearing a later date. Alternatively, if you have voted over the Internet or by telephone, you may change your vote by calling 1-800-690-6903 and following the instructions. Attendance at the virtual Annual Meeting will not constitute a revocation of a previously provided proxy unless you affirmatively indicate at the virtual Annual Meeting that you intend to vote your shares of stock in person by completing and delivering a written ballot. If you hold your shares of stock through a broker or other custodian and would like to change your voting instructions, please review the directions provided to you by that broker or custodian.</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May I vote confidentially?</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Yes. Our policy is to keep your individual votes confidential, except as appropriate to meet legal requirements, to allow for the tabulation and certification of votes, or to facilitate proxy solicitation.</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Who will count the votes?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Bradley Miller, our General Counsel, Chief Risk Officer, and Corporate Secretary, will count the votes and act as the inspector of election for the Annual Meeting.</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i/>
          <w:color w:val="000000"/>
          <w:sz w:val="20"/>
        </w:rPr>
      </w:pPr>
      <w:r>
        <w:rPr>
          <w:rFonts w:ascii="Times New Roman;serif" w:hAnsi="Times New Roman;serif"/>
          <w:b/>
          <w:i/>
          <w:color w:val="000000"/>
          <w:sz w:val="20"/>
        </w:rPr>
        <w:t>Where can I find the voting results of the Annual Meeting?</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We intend to announce preliminary voting results at the Annual Meeting and publish final results in our current report on Form 8-K within four business days after the Annual Meeting.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left"/>
        <w:rPr>
          <w:rFonts w:ascii="Times New Roman;serif" w:hAnsi="Times New Roman;serif"/>
          <w:b/>
          <w:i/>
          <w:color w:val="000000"/>
          <w:sz w:val="20"/>
        </w:rPr>
      </w:pPr>
      <w:r>
        <w:rPr>
          <w:rFonts w:ascii="Times New Roman;serif" w:hAnsi="Times New Roman;serif"/>
          <w:b/>
          <w:i/>
          <w:color w:val="000000"/>
          <w:sz w:val="20"/>
        </w:rPr>
        <w:t>What is "householding" of the Annual Meeting materials?</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Miller at the Company's address set forth in the 2026 Notice of Annual Meeting or by calling us at (404) 952-2107.</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i/>
          <w:color w:val="000000"/>
          <w:sz w:val="20"/>
        </w:rPr>
      </w:pPr>
      <w:r>
        <w:rPr>
          <w:rFonts w:ascii="Times New Roman;serif" w:hAnsi="Times New Roman;serif"/>
          <w:b/>
          <w:i/>
          <w:color w:val="000000"/>
          <w:sz w:val="20"/>
        </w:rPr>
        <w:t>How may I obtain a copy of the Company's Annual Report?</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 copy of our 2025 Annual Report on Form 10-K (the "Annual Report") is available at www.prioritycommerce.com. Stockholders may also obtain a free copy of our Annual Report by sending a request in writing to Bradley Miller at the Company's address set forth in the 2026 Notice of Annual Meeting or by calling us at (404) 952-2107.</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What is the preliminary Take-Private proposal?</w:t>
      </w:r>
    </w:p>
    <w:p>
      <w:pPr>
        <w:pStyle w:val="TextBody"/>
        <w:bidi w:val="0"/>
        <w:spacing w:before="0" w:after="0"/>
        <w:jc w:val="left"/>
        <w:rPr/>
      </w:pPr>
      <w:r>
        <w:rPr/>
      </w:r>
    </w:p>
    <w:p>
      <w:pPr>
        <w:pStyle w:val="TextBody"/>
        <w:bidi w:val="0"/>
        <w:spacing w:lineRule="auto" w:line="417" w:before="0" w:after="0"/>
        <w:jc w:val="both"/>
        <w:rPr/>
      </w:pPr>
      <w:r>
        <w:rPr>
          <w:rFonts w:ascii="Times New Roman;serif" w:hAnsi="Times New Roman;serif"/>
          <w:b w:val="false"/>
          <w:color w:val="000000"/>
          <w:sz w:val="20"/>
        </w:rPr>
        <w:t>On November 9, 2025, the Company received a preliminary, non-binding proposal from an investor group led by Thomas Priore, the Company's Chairman and Chief Executive Officer (together with his affiliated entities, the "Proposing Shareholders"), to acquire all of the outstanding shares of the Company's common stock that the Proposing Shareholders do not already own for cash consideration in the range of $6.00 to $6.15 per share (the “Proposed Take-Private Transaction”). As of the date of this Proxy Statement, the Proposal remains preliminary and non-binding, and no definitive agreement has been entered into with respect to the Proposed Take-Private Transaction. There can be no assurance that any definitive offer will be made or accepted, that any agreement will be executed, or that any transaction will be consummated. For additional information regarding the Special Committee's evaluation of the Proposal, see “</w:t>
      </w:r>
      <w:r>
        <w:rPr>
          <w:rFonts w:ascii="Times New Roman;serif" w:hAnsi="Times New Roman;serif"/>
          <w:b w:val="false"/>
          <w:i/>
          <w:color w:val="000000"/>
          <w:sz w:val="20"/>
        </w:rPr>
        <w:t>Corporate Governance — Special Committee</w:t>
      </w:r>
      <w:r>
        <w:rPr>
          <w:rFonts w:ascii="Times New Roman;serif" w:hAnsi="Times New Roman;serif"/>
          <w:b w:val="false"/>
          <w:color w:val="000000"/>
          <w:sz w:val="20"/>
        </w:rPr>
        <w:t xml:space="preserve">.” Stockholders may also review the Company's Current Reports on Form 8-K filed on November 10, 2025 and November 12, 2025, and its Annual Report on Form 10-K for the fiscal year ended December 31, 2025, available at </w:t>
      </w:r>
      <w:r>
        <w:rPr>
          <w:rFonts w:ascii="Times New Roman;serif" w:hAnsi="Times New Roman;serif"/>
          <w:b w:val="false"/>
          <w:color w:val="467886"/>
          <w:sz w:val="20"/>
        </w:rPr>
        <w:t>www.sec.gov</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Is the Take-Private proposal being voted on at the Annual Meeting?</w:t>
      </w:r>
    </w:p>
    <w:p>
      <w:pPr>
        <w:pStyle w:val="TextBody"/>
        <w:bidi w:val="0"/>
        <w:spacing w:before="0" w:after="0"/>
        <w:jc w:val="left"/>
        <w:rPr/>
      </w:pPr>
      <w:r>
        <w:rPr/>
      </w:r>
    </w:p>
    <w:p>
      <w:pPr>
        <w:pStyle w:val="TextBody"/>
        <w:bidi w:val="0"/>
        <w:spacing w:lineRule="auto" w:line="417" w:before="0" w:after="0"/>
        <w:jc w:val="both"/>
        <w:rPr/>
      </w:pPr>
      <w:r>
        <w:rPr>
          <w:rFonts w:ascii="Times New Roman;serif" w:hAnsi="Times New Roman;serif"/>
          <w:b w:val="false"/>
          <w:color w:val="000000"/>
          <w:sz w:val="20"/>
        </w:rPr>
        <w:t>No. The Proposed Take-Private Transaction is not a proposal being submitted for a vote at this Annual Meeting. If a definitive agreement is entered into with respect to the Proposed Take-Private Transaction, stockholder approval would be solicited pursuant to a separate proxy statement at that time. The matters being submitted for your vote at this Annual Meeting are described under “</w:t>
      </w:r>
      <w:r>
        <w:rPr>
          <w:rFonts w:ascii="Times New Roman;serif" w:hAnsi="Times New Roman;serif"/>
          <w:b w:val="false"/>
          <w:i/>
          <w:color w:val="000000"/>
          <w:sz w:val="24"/>
        </w:rPr>
        <w:t>What am I voting on</w:t>
      </w:r>
      <w:r>
        <w:rPr>
          <w:rFonts w:ascii="Times New Roman;serif" w:hAnsi="Times New Roman;serif"/>
          <w:b w:val="false"/>
          <w:color w:val="000000"/>
          <w:sz w:val="20"/>
        </w:rPr>
        <w:t>?” above.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Does Mr. Priore have a conflict of interest with respect to the proposals at the Annual Meeting?</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Priore is the Company's Chairman and Chief Executive Officer, a nominee for director at this Annual Meeting, and the leader of the investor group that submitted the Proposal. As a result, Mr. Priore has interests in the proposals at this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Meeting, including the election of directors and the equity plan amendment, that may differ from, or be in addition to, the interests of the Company's other stockholders. Stockholders should consider these interests when evaluating the proposals at this Annual Meeting.</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Who can help answer my questions?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If you have any questions about the Annual Meeting or how to submit or revoke your proxy, or to request an invitation to the Annual Meeting, contact Bradley Miller at the Company's address set forth in the 2026 Notice of Annual Meeting or by calling us at (404) 952-2107.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EXECUTIVE OFFICERS AND BOARD OF DIRECTORS</w:t>
      </w:r>
    </w:p>
    <w:p>
      <w:pPr>
        <w:pStyle w:val="TextBody"/>
        <w:bidi w:val="0"/>
        <w:spacing w:lineRule="auto" w:line="386" w:before="0" w:after="0"/>
        <w:jc w:val="left"/>
        <w:rPr>
          <w:color w:val="000000"/>
        </w:rPr>
      </w:pPr>
      <w:r>
        <w:rPr>
          <w:color w:val="000000"/>
        </w:rPr>
        <w:t> </w:t>
      </w:r>
    </w:p>
    <w:p>
      <w:pPr>
        <w:pStyle w:val="TextBody"/>
        <w:bidi w:val="0"/>
        <w:spacing w:lineRule="auto" w:line="386"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with respect to our executive officers and directors, as of the date of this Proxy Statement: </w:t>
      </w:r>
    </w:p>
    <w:tbl>
      <w:tblPr>
        <w:tblW w:w="7674" w:type="dxa"/>
        <w:jc w:val="left"/>
        <w:tblInd w:w="0" w:type="dxa"/>
        <w:tblLayout w:type="fixed"/>
        <w:tblCellMar>
          <w:top w:w="28" w:type="dxa"/>
          <w:left w:w="28" w:type="dxa"/>
          <w:bottom w:w="28" w:type="dxa"/>
          <w:right w:w="28" w:type="dxa"/>
        </w:tblCellMar>
      </w:tblPr>
      <w:tblGrid>
        <w:gridCol w:w="537"/>
        <w:gridCol w:w="471"/>
        <w:gridCol w:w="476"/>
        <w:gridCol w:w="109"/>
        <w:gridCol w:w="109"/>
        <w:gridCol w:w="109"/>
        <w:gridCol w:w="145"/>
        <w:gridCol w:w="145"/>
        <w:gridCol w:w="146"/>
        <w:gridCol w:w="109"/>
        <w:gridCol w:w="109"/>
        <w:gridCol w:w="109"/>
        <w:gridCol w:w="1489"/>
        <w:gridCol w:w="1489"/>
        <w:gridCol w:w="2122"/>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Position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Priore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 O’Leary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Kiewiet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Strategy Officer</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Miller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Chief Risk Officer, and Corporate Secretary</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Ranjana Ram</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Crisafulli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Marietta Davis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Christina Favilla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0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Clayton Main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Passilla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before="120" w:after="283"/>
        <w:jc w:val="left"/>
        <w:rPr/>
      </w:pPr>
      <w:r>
        <w:rPr/>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Executive Officers</w:t>
      </w:r>
    </w:p>
    <w:p>
      <w:pPr>
        <w:pStyle w:val="TextBody"/>
        <w:bidi w:val="0"/>
        <w:spacing w:lineRule="auto" w:line="417" w:before="0" w:after="240"/>
        <w:jc w:val="both"/>
        <w:rPr/>
      </w:pPr>
      <w:r>
        <w:rPr>
          <w:rFonts w:ascii="Times New Roman;serif" w:hAnsi="Times New Roman;serif"/>
          <w:b/>
          <w:color w:val="000000"/>
          <w:sz w:val="20"/>
        </w:rPr>
        <w:t>Thomas Priore</w:t>
      </w:r>
      <w:r>
        <w:rPr>
          <w:color w:val="000000"/>
        </w:rPr>
        <w:t xml:space="preserve"> </w:t>
      </w:r>
      <w:r>
        <w:rPr>
          <w:rFonts w:ascii="Times New Roman;serif" w:hAnsi="Times New Roman;serif"/>
          <w:b w:val="false"/>
          <w:color w:val="000000"/>
          <w:sz w:val="20"/>
        </w:rPr>
        <w:t xml:space="preserve">has served as Chairman and Chief Executive Officer since December 2018 and as Executive Chairman and founding member of Priority from August 2005 through November 2018. Under Mr. Priore's strategic direction, Priority has grown from a founder-financed technology startup to become the 5th largest non-bank merchant acquirer (after considering the merger of Global Payments and Worldpay) in the U.S. by volume, according to the Nilson Report issued in March 2025. Priority is a solutions provider in Payments and BaaS industry, operating at scale with 1.2 million customer accounts across its SMB, B2B and Enterprise customers channels. Priority processes $130 billion in annual transaction activity while administering approximately $1.2 billion in account balances.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w:t>
      </w:r>
    </w:p>
    <w:p>
      <w:pPr>
        <w:pStyle w:val="TextBody"/>
        <w:bidi w:val="0"/>
        <w:spacing w:lineRule="auto" w:line="417" w:before="0" w:after="240"/>
        <w:jc w:val="both"/>
        <w:rPr/>
      </w:pPr>
      <w:r>
        <w:rPr>
          <w:rFonts w:ascii="Times New Roman;serif" w:hAnsi="Times New Roman;serif"/>
          <w:b/>
          <w:color w:val="222222"/>
          <w:sz w:val="20"/>
          <w:shd w:fill="FFFFFF" w:val="clear"/>
        </w:rPr>
        <w:t>Tim O’Leary</w:t>
      </w:r>
      <w:r>
        <w:rPr>
          <w:color w:val="222222"/>
          <w:shd w:fill="FFFFFF" w:val="clear"/>
        </w:rPr>
        <w:t xml:space="preserve"> </w:t>
      </w:r>
      <w:r>
        <w:rPr>
          <w:rFonts w:ascii="Times New Roman;serif" w:hAnsi="Times New Roman;serif"/>
          <w:b w:val="false"/>
          <w:color w:val="222222"/>
          <w:sz w:val="20"/>
          <w:shd w:fill="FFFFFF" w:val="clear"/>
        </w:rPr>
        <w:t>has served as Chief Financial Officer of Priority since September 2022. Mr. O’Leary has over 20 years of capital markets and banking experience, primarily in the technology sector. Prior to joining Priority, Mr. O’Leary most recently served as Managing Director and Group Head of the Technology, Media and Telecom leveraged finance team at Truist Securities where he led financings for numerous payment and technology companies – including Priority. Mr. O’Leary holds an MBA from the Kelley School of Business at Indiana University and a B.A. in Business Administration from Northern Arizona University.</w:t>
      </w:r>
    </w:p>
    <w:p>
      <w:pPr>
        <w:pStyle w:val="TextBody"/>
        <w:bidi w:val="0"/>
        <w:spacing w:lineRule="auto" w:line="417" w:before="0" w:after="240"/>
        <w:jc w:val="both"/>
        <w:rPr/>
      </w:pPr>
      <w:r>
        <w:rPr>
          <w:rFonts w:ascii="Times New Roman;serif" w:hAnsi="Times New Roman;serif"/>
          <w:b/>
          <w:color w:val="000000"/>
          <w:sz w:val="20"/>
        </w:rPr>
        <w:t>Sean Kiewiet</w:t>
      </w:r>
      <w:r>
        <w:rPr>
          <w:color w:val="000000"/>
        </w:rPr>
        <w:t xml:space="preserve"> </w:t>
      </w:r>
      <w:r>
        <w:rPr>
          <w:rFonts w:ascii="Times New Roman;serif" w:hAnsi="Times New Roman;serif"/>
          <w:b w:val="false"/>
          <w:color w:val="000000"/>
          <w:sz w:val="20"/>
        </w:rPr>
        <w:t xml:space="preserve">has served as Chief Strategy Officer since 2022 and co-founded Priority after serving as the Director of Technology for Cornerstone Payment Systems. Mr. Kiewiet served as Chief Technology Officer of Priority from August 2005 until December 2021. 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240"/>
        <w:jc w:val="both"/>
        <w:rPr/>
      </w:pPr>
      <w:r>
        <w:rPr>
          <w:rFonts w:ascii="Times New Roman;serif" w:hAnsi="Times New Roman;serif"/>
          <w:b/>
          <w:color w:val="000000"/>
          <w:sz w:val="20"/>
        </w:rPr>
        <w:t>Bradley Miller</w:t>
      </w:r>
      <w:r>
        <w:rPr>
          <w:color w:val="222222"/>
        </w:rPr>
        <w:t xml:space="preserve"> </w:t>
      </w:r>
      <w:r>
        <w:rPr>
          <w:rFonts w:ascii="Times New Roman;serif" w:hAnsi="Times New Roman;serif"/>
          <w:b w:val="false"/>
          <w:color w:val="222222"/>
          <w:sz w:val="20"/>
        </w:rPr>
        <w:t>has served as Priority’s General Counsel and Chief Risk Officer since February 2020. Mr. Miller has over 25 years of legal and financial industry experience having served as EVP, General Counsel, and Chief Risk Officer of United Community Banks, Inc. for over 12 years, responsible for the oversight of all legal, compliance, and enterprise risk functions. Prior to that, Mr. Miller began his career with Kilpatrick Stockton LLP (now Kilpatrick Townsend LLP) focusing his practice on consumer and commercial litigation, privacy, and regulatory matters. Mr. Miller is responsible for all facets of Priority’s legal, risk, and compliance functions.</w:t>
      </w:r>
    </w:p>
    <w:p>
      <w:pPr>
        <w:pStyle w:val="TextBody"/>
        <w:bidi w:val="0"/>
        <w:spacing w:lineRule="auto" w:line="417" w:before="0" w:after="240"/>
        <w:jc w:val="both"/>
        <w:rPr/>
      </w:pPr>
      <w:r>
        <w:rPr>
          <w:rFonts w:ascii="Times New Roman;serif" w:hAnsi="Times New Roman;serif"/>
          <w:b/>
          <w:color w:val="222222"/>
          <w:sz w:val="20"/>
        </w:rPr>
        <w:t xml:space="preserve">Ranjana Ram </w:t>
      </w:r>
      <w:r>
        <w:rPr>
          <w:rFonts w:ascii="Times New Roman;serif" w:hAnsi="Times New Roman;serif"/>
          <w:b w:val="false"/>
          <w:color w:val="222222"/>
          <w:sz w:val="20"/>
        </w:rPr>
        <w:t>serves as Chief Operating Officer at Priority. Ms. Ram is a CFA charterholder and has been focused on executing on strategic growth and investment opportunities for the business going back to inception. Prior to working with Priority, Ms. Ram most recently served as Director at Institutional Credit Partners, an investment bank, where she led over 7 billion in publicly rated structured credit securitizations. Prior to that Ms. Ram worked at Credit Suisse focusing on portfolio and investment strategies.</w:t>
      </w:r>
      <w:r>
        <w:rPr>
          <w:color w:val="000000"/>
        </w:rPr>
        <w:t xml:space="preserve">  </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Non-Employee Directors</w:t>
      </w:r>
    </w:p>
    <w:p>
      <w:pPr>
        <w:pStyle w:val="TextBody"/>
        <w:bidi w:val="0"/>
        <w:spacing w:lineRule="auto" w:line="417" w:before="0" w:after="240"/>
        <w:jc w:val="both"/>
        <w:rPr/>
      </w:pPr>
      <w:r>
        <w:rPr>
          <w:rFonts w:ascii="Times New Roman;serif" w:hAnsi="Times New Roman;serif"/>
          <w:b/>
          <w:color w:val="000000"/>
          <w:sz w:val="20"/>
        </w:rPr>
        <w:t xml:space="preserve">Marc Crisafulli </w:t>
      </w:r>
      <w:r>
        <w:rPr>
          <w:rFonts w:ascii="Times New Roman;serif" w:hAnsi="Times New Roman;serif"/>
          <w:b w:val="false"/>
          <w:color w:val="000000"/>
          <w:sz w:val="20"/>
        </w:rPr>
        <w:t>is an experienced executive and has over 30 years in legal, compliance and regulatory governance roles with various companies and was appointed as a director of Priority in 2022. Mr. Crisafulli is currently Counsel at Nixon Peabody and serves as chair of Bally Corporation's Rhode Island Board, director for Pavillion Payments and chair of Rhode Island's I-195 Redevelopment District Commission. Prior to that, Mr. Crisafulli served as Executive Vice President, Government Relations, Legal and Regulatory at Bally’s Corporation. Mr. Crisafulli has also held senior leadership roles with Brightstar Corporation and Suffolk Construction Company and was managing partner at Hinkley Allen &amp; Snyder.</w:t>
      </w:r>
    </w:p>
    <w:p>
      <w:pPr>
        <w:pStyle w:val="TextBody"/>
        <w:bidi w:val="0"/>
        <w:spacing w:lineRule="auto" w:line="417" w:before="0" w:after="240"/>
        <w:jc w:val="both"/>
        <w:rPr/>
      </w:pPr>
      <w:r>
        <w:rPr>
          <w:rFonts w:ascii="Times New Roman;serif" w:hAnsi="Times New Roman;serif"/>
          <w:b/>
          <w:color w:val="000000"/>
          <w:sz w:val="20"/>
        </w:rPr>
        <w:t>Marietta Davis</w:t>
      </w:r>
      <w:r>
        <w:rPr>
          <w:color w:val="000000"/>
        </w:rPr>
        <w:t xml:space="preserve"> </w:t>
      </w:r>
      <w:r>
        <w:rPr>
          <w:rFonts w:ascii="Times New Roman;serif" w:hAnsi="Times New Roman;serif"/>
          <w:b w:val="false"/>
          <w:color w:val="000000"/>
          <w:sz w:val="20"/>
        </w:rPr>
        <w:t>has served as a director of Priority since January 2021. Ms. Davis worked for IBM where she was the worldwide Vice President and Managing Director for the Accenture relationship where she led a global team focusing on growing IBM’s Cloud and Cognitive Application portfolio. Prior to joining IBM, Ms. Davis spent 17 years at Microsoft Corporation in a variety of leadership roles. Ms. Davis also serves in an advisory board role for The Posse Foundation, a non-profit organization that identifies, trains and mentors young, diverse leaders as they navigate college and enter the workforce.</w:t>
      </w:r>
    </w:p>
    <w:p>
      <w:pPr>
        <w:pStyle w:val="TextBody"/>
        <w:bidi w:val="0"/>
        <w:spacing w:lineRule="auto" w:line="417" w:before="0" w:after="240"/>
        <w:jc w:val="both"/>
        <w:rPr/>
      </w:pPr>
      <w:r>
        <w:rPr>
          <w:rFonts w:ascii="Times New Roman;serif" w:hAnsi="Times New Roman;serif"/>
          <w:b/>
          <w:color w:val="000000"/>
          <w:sz w:val="20"/>
        </w:rPr>
        <w:t xml:space="preserve">Christina Favilla </w:t>
      </w:r>
      <w:r>
        <w:rPr>
          <w:rFonts w:ascii="Times New Roman;serif" w:hAnsi="Times New Roman;serif"/>
          <w:b w:val="false"/>
          <w:color w:val="000000"/>
          <w:sz w:val="20"/>
        </w:rPr>
        <w:t>has served as a director of Priority since October 2019. She previously served as Chief Operating Officer of Sterling National Bank from July 2017 until December 2018 and as Chief Operating Officer of GE Capital’s lending and leasing business from February 2012 until June 2017. Prior to 2012, she served as President of Discover Bank for six years. She currently serves as a board member of a privately held fintech company and Opportunity Financial (NYSE: OPFI), a specialty consumer finance company.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pStyle w:val="TextBody"/>
        <w:bidi w:val="0"/>
        <w:spacing w:lineRule="auto" w:line="417" w:before="0" w:after="0"/>
        <w:jc w:val="both"/>
        <w:rPr/>
      </w:pPr>
      <w:r>
        <w:rPr>
          <w:rFonts w:ascii="Times New Roman;serif" w:hAnsi="Times New Roman;serif"/>
          <w:b/>
          <w:color w:val="000000"/>
          <w:sz w:val="20"/>
        </w:rPr>
        <w:t xml:space="preserve">Clayton Main </w:t>
      </w:r>
      <w:r>
        <w:rPr>
          <w:rFonts w:ascii="Times New Roman;serif" w:hAnsi="Times New Roman;serif"/>
          <w:b w:val="false"/>
          <w:color w:val="000000"/>
          <w:sz w:val="20"/>
        </w:rPr>
        <w:t xml:space="preserve">is a seasoned financial executive with over two decades of experience in investment management, structured finance, and capital markets. As a Partner and Investment Committee member at Bregal Sagemount, he helps oversee $7.5 billion in capital across multiple fund strategies, with a focus on senior debt, junior debt, and structured equity investments in the software, financial technology, and business services sectors. Before joining Bregal Sagemount, Clayton spent 12 years at Goldman, Sachs &amp; Co., where he was a founding member of the Goldman Sachs Specialty Lending Group. In this role, he led business development efforts in the Southwest U.S. and was responsible for originating, structuring, and managing leveraged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transactions across various industries. Clayton holds a BBA from Southern Methodist University, where he graduated Magna Cum Laude with Honors in Business.</w:t>
      </w:r>
    </w:p>
    <w:p>
      <w:pPr>
        <w:pStyle w:val="TextBody"/>
        <w:bidi w:val="0"/>
        <w:spacing w:before="0" w:after="0"/>
        <w:jc w:val="both"/>
        <w:rPr/>
      </w:pPr>
      <w:r>
        <w:rPr/>
      </w:r>
    </w:p>
    <w:p>
      <w:pPr>
        <w:pStyle w:val="TextBody"/>
        <w:bidi w:val="0"/>
        <w:spacing w:lineRule="auto" w:line="417" w:before="0" w:after="240"/>
        <w:jc w:val="both"/>
        <w:rPr/>
      </w:pPr>
      <w:r>
        <w:rPr>
          <w:rFonts w:ascii="Times New Roman;serif" w:hAnsi="Times New Roman;serif"/>
          <w:b/>
          <w:color w:val="000000"/>
          <w:sz w:val="20"/>
        </w:rPr>
        <w:t>Michael Passilla</w:t>
      </w:r>
      <w:r>
        <w:rPr>
          <w:color w:val="000000"/>
        </w:rPr>
        <w:t xml:space="preserve"> </w:t>
      </w:r>
      <w:r>
        <w:rPr>
          <w:rFonts w:ascii="Times New Roman;serif" w:hAnsi="Times New Roman;serif"/>
          <w:b w:val="false"/>
          <w:color w:val="000000"/>
          <w:sz w:val="20"/>
        </w:rPr>
        <w:t>has served as a director of Priority since June 2019. Mr. Passilla served as Vice Chairman for JP Morgan Chase &amp; Company from July 2016 until his retirement in June 2018, after serving as Chief Executive Officer of Chase Merchant Services from May 2013 to June 2016. He previously served as Chief Executive Officer of Elavon - US Bank, Inc. from August 2010 to April 2013, after serving as EVP of Global Business Development since August 2007. Mr. Passilla received a Bachelor of Business Administration from the University of Notre Dame and an MBA from Northwestern University.</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before="0" w:after="0"/>
        <w:jc w:val="center"/>
        <w:rPr/>
      </w:pPr>
      <w:r>
        <w:rPr/>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Code of Ethics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www.prioritycommerce.com.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 xml:space="preserve">Insider Trading Policies and Procedures </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val="false"/>
          <w:color w:val="000000"/>
          <w:sz w:val="20"/>
        </w:rPr>
        <w:t>The Company maintains an Insider Trading Policy Statement that governs the purchase, sale, and/or other dispositions of its securities by directors, officers and employees. The Corporation believes that the Insider Trading Policy Statement is reasonably designed to promote compliance with insider trading laws, rules and regulations, and Nasdaq listing standards. The Insider Trading Policy Statement is available as an exhibit to the Company's Form 10-K for the year ended December 31, 2025, filed with the SEC</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 xml:space="preserve">Board Leadership Structure and Role in Risk Oversight </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Currently, the positions of Chairman and Chief Executive Officer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 and having him serve in both roles is in the best interests of our stockholders.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pStyle w:val="TextBody"/>
        <w:bidi w:val="0"/>
        <w:spacing w:lineRule="auto" w:line="417" w:before="0" w:after="0"/>
        <w:jc w:val="both"/>
        <w:rPr>
          <w:rFonts w:ascii="Times New Roman;serif" w:hAnsi="Times New Roman;serif"/>
          <w:b/>
          <w:i/>
          <w:color w:val="000000"/>
          <w:sz w:val="20"/>
        </w:rPr>
      </w:pPr>
      <w:r>
        <w:rPr>
          <w:rFonts w:ascii="Times New Roman;serif" w:hAnsi="Times New Roman;serif"/>
          <w:b/>
          <w:i/>
          <w:color w:val="000000"/>
          <w:sz w:val="20"/>
        </w:rPr>
        <w:t>Special Committee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12, 2025, in response to the receipt of the preliminary, non-binding proposal dated November 9, 2025 from Thomas Priore, the Company's Chairman and Chief Executive Officer, to acquire all of the outstanding shares of the Company's common stock not already owned by the Proposing Shareholders for cash consideration in the range of $6.00 to $6.15 per share, the Board formed a special committee (the “Special Committee”) comprised solely of independent and disinterested directors. The Special Committee is authorized, among other things, to evaluate the Proposal and potential strategic alternatives. The members of the Special Committee are Mike Passilla, Clayton Main, and Chris Favilla. Mr. Priore is not a member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Special Committee and has not participated, and will not participate, in the Special Committee's deliberations or its evaluation of the Proposal.</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8, 2025, the Company announced that the Special Committee retained Barclays to act as its financial advisor and Paul, Weiss, Rifkind, Wharton &amp; Garrison LLP to act as its independent legal counsel. As of the date of this Proxy Statement, the Special Committee has not set a definitive timetable for completion of its evaluation of the Proposal or any alternative. There can be no assurance that any definitive offer will be made or accepted, that any agreement will be executed, or that any transaction will be consummated. A copy of the proposal letter from Mr. Priore is available as an exhibit to the Company's Current Report on Form 8-K filed with the Securities and Exchange Commission on November 10, 2025.</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Special Committee provides reports and recommendations to the Board at such times as the Special Committee deems appropriate, and the Board has resolved that it will not approve any action related to the Proposed Take-Private Transaction that is required to be taken by the full Board unless the Special Committee has previously recommended such approval. The Company does not intend to comment further or disclose developments regarding the Proposal unless and until further disclosure is appropriate or required.</w:t>
      </w:r>
    </w:p>
    <w:p>
      <w:pPr>
        <w:pStyle w:val="TextBody"/>
        <w:bidi w:val="0"/>
        <w:spacing w:before="0" w:after="0"/>
        <w:jc w:val="both"/>
        <w:rPr/>
      </w:pPr>
      <w:r>
        <w:rPr/>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Independence of Directors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As a result of our common stock being listed on the NASDAQ,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a majority of our directors, specifically, Messrs, Crisafulli, Davis, Favilla, Main, and Passilla, are independent directors. Our independent directors have regularly scheduled meetings at which only independent directors are present.</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Guidelines for Selecting Director Nominees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The Nominating and Governance Committee considers persons identified by its members, management, stockholders, investment bankers and others. The guidelines for selecting nominees, which the Nominating and Governance Committee will take into consideration, include, but are not limited to, providing those persons to be nominated:</w:t>
      </w:r>
    </w:p>
    <w:p>
      <w:pPr>
        <w:pStyle w:val="TextBody"/>
        <w:bidi w:val="0"/>
        <w:spacing w:lineRule="auto" w:line="417" w:before="0" w:after="240"/>
        <w:ind w:left="0" w:right="0" w:hanging="360"/>
        <w:jc w:val="both"/>
        <w:rPr/>
      </w:pPr>
      <w:r>
        <w:rPr>
          <w:color w:val="000000"/>
        </w:rPr>
        <w:t>•</w:t>
      </w:r>
      <w:r>
        <w:rPr>
          <w:rFonts w:ascii="Times New Roman;serif" w:hAnsi="Times New Roman;serif"/>
          <w:b w:val="false"/>
          <w:color w:val="000000"/>
          <w:sz w:val="20"/>
        </w:rPr>
        <w:t>should have demonstrated notable or significant achievements in business, education or public service;</w:t>
      </w:r>
    </w:p>
    <w:p>
      <w:pPr>
        <w:pStyle w:val="TextBody"/>
        <w:bidi w:val="0"/>
        <w:spacing w:lineRule="auto" w:line="417" w:before="0" w:after="240"/>
        <w:ind w:left="0" w:right="0" w:hanging="360"/>
        <w:jc w:val="both"/>
        <w:rPr/>
      </w:pPr>
      <w:r>
        <w:rPr>
          <w:color w:val="000000"/>
        </w:rPr>
        <w:t>•</w:t>
      </w:r>
      <w:r>
        <w:rPr>
          <w:rFonts w:ascii="Times New Roman;serif" w:hAnsi="Times New Roman;serif"/>
          <w:b w:val="false"/>
          <w:color w:val="000000"/>
          <w:sz w:val="20"/>
        </w:rPr>
        <w:t>should possess the requisite intelligence, education and experience to make a significant contribution to the Board and bring a range of skills, diverse perspectives and backgrounds to its deliberations; and</w:t>
      </w:r>
    </w:p>
    <w:p>
      <w:pPr>
        <w:pStyle w:val="TextBody"/>
        <w:bidi w:val="0"/>
        <w:spacing w:lineRule="auto" w:line="417" w:before="0" w:after="240"/>
        <w:ind w:left="0" w:right="0" w:hanging="360"/>
        <w:jc w:val="both"/>
        <w:rPr/>
      </w:pPr>
      <w:r>
        <w:rPr>
          <w:color w:val="000000"/>
        </w:rPr>
        <w:t>•</w:t>
      </w:r>
      <w:r>
        <w:rPr>
          <w:rFonts w:ascii="Times New Roman;serif" w:hAnsi="Times New Roman;serif"/>
          <w:b w:val="false"/>
          <w:color w:val="000000"/>
          <w:sz w:val="20"/>
        </w:rPr>
        <w:t>should have the highest ethical standards, a strong sense of professionalism and intense dedication to serving the interest of stockholders.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Nominating and Governance Committee considers a number of qualifications relating to management and leadership experience, background, diversity of viewpoints, professional experience, education and skills, and integrity and professionalism in evaluating a person's candidacy for membership on the Board. The Nominating and Governance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may require certain skills or attributes, such as financial or accounting experience, to meet specific Board needs that arise from time to time and will also consider the overall experience and makeup of its members to obtain a broad and diverse mix of Board members. Any shareholder wishing to recommend a candidate for consideration as a possible director nominee for election at an upcoming meeting of shareholders must provide timely, written notice to Bradley Miller, the Company's General Counsel, Chief Risk Officer, and Corporate Secretary, at the Company's address set forth in the 2026 Notice of Annual Meeting. The Nominating and Governance Committee does not distinguish among nominees recommended by stockholders and other persons.</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Stockholder and Interested Party Communications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Limitation on Directors' Liability</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will indemnify our directors to the fullest extent permitted by the Delaware General Corporation Law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Board Meetings</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Our Board met ten times during 2025. Also during 2025, the Audit Committee met four times, the Nominating and Governance Committee met once, and the Compensation Committee met three times. All of our then directors attended all of the Board meetings during 2025 and all of our then members of the Audit Committee, the Nominating and Governance Committee, and the Compensation Committee attended all of the respective committee meetings during 2025.</w:t>
      </w:r>
    </w:p>
    <w:p>
      <w:pPr>
        <w:pStyle w:val="TextBody"/>
        <w:bidi w:val="0"/>
        <w:spacing w:before="0" w:after="0"/>
        <w:jc w:val="both"/>
        <w:rPr/>
      </w:pPr>
      <w:r>
        <w:rPr/>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Policy Regarding Attendance at Annual Meetings of Stockholders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Each director of the Company is expected to be present at annual meetings of stockholders, absent exigent circumstances that prevents their attendance. Where a director is unable to attend an annual meeting in person but is able to do so by electronic conferencing, the Company will arrange for the director's participation by means where the director can hear, and be heard, by those present at the meeting. </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Executive Sessions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Executive sessions of non-management directors are held regularly throughout the year. </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Board Committees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Our Board has the following standing committees: Audit Committee, Compensation Committee, and Nominating and Governance Committee. The charters for each committee are available in the investor relations section of our website at www.prioritycommerce.com or in print by contacting Mr. Miller at the Company's address. The Board may also establish other committees to assist in the discharge of its responsibilities.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The table below identifies the committee members and committee chairperson (as indicated by a "C") as of the date of this Proxy Statement:</w:t>
      </w:r>
    </w:p>
    <w:tbl>
      <w:tblPr>
        <w:tblW w:w="8031" w:type="dxa"/>
        <w:jc w:val="left"/>
        <w:tblInd w:w="0" w:type="dxa"/>
        <w:tblLayout w:type="fixed"/>
        <w:tblCellMar>
          <w:top w:w="28" w:type="dxa"/>
          <w:left w:w="28" w:type="dxa"/>
          <w:bottom w:w="28" w:type="dxa"/>
          <w:right w:w="28" w:type="dxa"/>
        </w:tblCellMar>
      </w:tblPr>
      <w:tblGrid>
        <w:gridCol w:w="590"/>
        <w:gridCol w:w="521"/>
        <w:gridCol w:w="523"/>
        <w:gridCol w:w="109"/>
        <w:gridCol w:w="109"/>
        <w:gridCol w:w="109"/>
        <w:gridCol w:w="190"/>
        <w:gridCol w:w="190"/>
        <w:gridCol w:w="191"/>
        <w:gridCol w:w="109"/>
        <w:gridCol w:w="109"/>
        <w:gridCol w:w="109"/>
        <w:gridCol w:w="440"/>
        <w:gridCol w:w="440"/>
        <w:gridCol w:w="441"/>
        <w:gridCol w:w="109"/>
        <w:gridCol w:w="109"/>
        <w:gridCol w:w="109"/>
        <w:gridCol w:w="1031"/>
        <w:gridCol w:w="1031"/>
        <w:gridCol w:w="1462"/>
      </w:tblGrid>
      <w:tr>
        <w:trPr/>
        <w:tc>
          <w:tcPr>
            <w:tcW w:w="59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Nominating and Corporate Governance</w:t>
            </w:r>
          </w:p>
        </w:tc>
      </w:tr>
      <w:tr>
        <w:trPr/>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Priore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Crisafulli*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Marietta Davis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Christina Favilla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24"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Clayton Main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Passilla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417" w:before="120" w:after="240"/>
        <w:jc w:val="both"/>
        <w:rPr>
          <w:rFonts w:ascii="Times New Roman;serif" w:hAnsi="Times New Roman;serif"/>
          <w:b w:val="false"/>
          <w:color w:val="000000"/>
          <w:sz w:val="20"/>
        </w:rPr>
      </w:pPr>
      <w:r>
        <w:rPr>
          <w:rFonts w:ascii="Times New Roman;serif" w:hAnsi="Times New Roman;serif"/>
          <w:b w:val="false"/>
          <w:color w:val="000000"/>
          <w:sz w:val="20"/>
        </w:rPr>
        <w:t>* Independent director</w:t>
      </w:r>
    </w:p>
    <w:p>
      <w:pPr>
        <w:pStyle w:val="TextBody"/>
        <w:bidi w:val="0"/>
        <w:spacing w:lineRule="auto" w:line="417"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Audit Committee </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Board has established an Audit Committee comprised of independent directors. The Audit Committee consists of Michael Passilla, Marc Crisafulli, Marietta Davis, Christina Favilla, and Clayton Main, with Mr. Passilla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registered public accountants, review the results and scope of the audit and other accounting related services and review our accounting practices and systems of internal accounting and disclosure controls.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Mr. Passilla serves as the financial expert on the Audit Committee.</w:t>
      </w:r>
    </w:p>
    <w:p>
      <w:pPr>
        <w:pStyle w:val="TextBody"/>
        <w:bidi w:val="0"/>
        <w:spacing w:before="0" w:after="0"/>
        <w:jc w:val="both"/>
        <w:rPr/>
      </w:pPr>
      <w:r>
        <w:rPr/>
      </w:r>
    </w:p>
    <w:p>
      <w:pPr>
        <w:pStyle w:val="TextBody"/>
        <w:bidi w:val="0"/>
        <w:spacing w:lineRule="auto" w:line="417"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both"/>
        <w:rPr/>
      </w:pPr>
      <w:r>
        <w:rPr>
          <w:rFonts w:ascii="Times New Roman;serif" w:hAnsi="Times New Roman;serif"/>
          <w:b w:val="false"/>
          <w:color w:val="000000"/>
          <w:sz w:val="20"/>
        </w:rPr>
        <w:t>The Board has established a Compensation Committee consisting of Marc Crisafulli, Marietta Davis, Christina Favilla, Clayton Main and Michael Passilla, with Mr. Crisafulli as the chairman of the Compensation Committee. The Compensation Committee has a written charter. Each member of the Compensation Committee is independent under NASDAQ listing standards. The purpose of the Compensation Committee is to review and approve compensation paid to our executive officers and directors and to administer incentive compensation plans, including authority to make and modify awards under such plans. Although the Compensation Committee values and solicits our executive officers’ input regarding executive and director compensation, it retains and exercises sole authority to make decisions regarding such compensation.</w:t>
      </w:r>
      <w:r>
        <w:rPr>
          <w:color w:val="000000"/>
        </w:rPr>
        <w:t xml:space="preserve"> </w:t>
      </w:r>
    </w:p>
    <w:p>
      <w:pPr>
        <w:pStyle w:val="TextBody"/>
        <w:bidi w:val="0"/>
        <w:spacing w:before="0" w:after="0"/>
        <w:jc w:val="both"/>
        <w:rPr/>
      </w:pPr>
      <w:r>
        <w:rPr/>
      </w:r>
    </w:p>
    <w:p>
      <w:pPr>
        <w:pStyle w:val="TextBody"/>
        <w:bidi w:val="0"/>
        <w:spacing w:lineRule="auto" w:line="417"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Nominating and Governance Committee</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Board has established a Nominating and Governance Committee comprised of Christina Favilla, Marc Crisafulli, Marietta Davis, Clayton Main and Michael Passilla, with Ms. Favilla as the chairwoman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561" w:before="0" w:after="0"/>
        <w:jc w:val="center"/>
        <w:rPr>
          <w:rFonts w:ascii="Times New Roman;serif" w:hAnsi="Times New Roman;serif"/>
          <w:b/>
          <w:color w:val="000000"/>
          <w:sz w:val="20"/>
        </w:rPr>
      </w:pPr>
      <w:r>
        <w:rPr>
          <w:rFonts w:ascii="Times New Roman;serif" w:hAnsi="Times New Roman;serif"/>
          <w:b/>
          <w:color w:val="000000"/>
          <w:sz w:val="20"/>
        </w:rPr>
        <w:t>REPORT OF THE AUDIT COMMITTEE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EY, our Independent Registered Public Accounting Firm, is responsible for auditing our financial statements and expressing an opinion as to their conformity with accounting principles generally accepted in the United States of America. </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performance of its oversight function, the Audit Committee reviewed and discussed the audited financial statements with management and EY. The Audit Committee also discussed with EY the matters required to be discussed by applicable requirements of the Public Company Accounting Oversight Board and the Securities and Exchange Commission. In addition, the Audit Committee received the written disclosures and the letters from EY required by applicable requirements of the Public Company Accounting Oversight Board regarding EY's communications with the Audit Committee concerning independence, and discussed with EY their independence. </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the review and discussions described in the preceding paragraph, the Audit Committee recommended to the Board that the audited financial statements of the Company be included in its Annual Report on Form 10-K for the year ended December 31, 2025, filed with the SEC.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Priority Technology Holdings, Inc.'s Independent Registered Public Accounting Firm for the years ended December 31, 2025, 2024, 2023, 2022, and 2021 was Ernst &amp; Young LLP. The Audit Committee of the Board has appointed KPMG LLP as its Independent Registered Public Accounting Firm for the year ended December 31, 2026. </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Submitted by the Audit Committee of the Company's Board of Directors: </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Michael Passilla</w:t>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Marc Crisafulli</w:t>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Marietta Davis</w:t>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Christina Favilla</w:t>
      </w:r>
    </w:p>
    <w:p>
      <w:pPr>
        <w:pStyle w:val="TextBody"/>
        <w:bidi w:val="0"/>
        <w:spacing w:lineRule="auto" w:line="384" w:before="0" w:after="0"/>
        <w:jc w:val="both"/>
        <w:rPr>
          <w:rFonts w:ascii="Times New Roman;serif" w:hAnsi="Times New Roman;serif"/>
          <w:b w:val="false"/>
          <w:color w:val="000000"/>
          <w:sz w:val="20"/>
        </w:rPr>
      </w:pPr>
      <w:r>
        <w:rPr>
          <w:rFonts w:ascii="Times New Roman;serif" w:hAnsi="Times New Roman;serif"/>
          <w:b w:val="false"/>
          <w:color w:val="000000"/>
          <w:sz w:val="20"/>
        </w:rPr>
        <w:t>Clayton Main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IN INDEPENDENT REGISTERED PUBLIC ACCOUNTING FIRM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On March 11, 2026, the Audit Committee of the Board of Directors approved the dismissal of Ernst &amp; Young LLP as Company’s independent registered public accounting firm.</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as described below, the reports of EY on the consolidated financial statements of the Company and its subsidiaries as of and for the fiscal years ended December 31, 2025, and 2024 did not contain an adverse opinion or a disclaimer of opinion and were not qualified or modified as to uncertainty, audit scope, or accounting principles.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years ended December 31, 2025 and 2024, and the subsequent interim period through March 11, 2026, there were no: (1) disagreements (within the meaning of Item 304(a)(1)(iv) of Regulation S-K) between the Company and EY on any matter of accounting principles or practices, financial statement disclosure, or auditing scope or procedures, any of which, if not resolved to EY’s satisfaction, would have caused EY to make reference thereto in their reports, or (2) “reportable events” (as defined in Item 304(a)(1)(v) of Regulation S-K), except for the material weaknesses in the Company’s internal control over financial reporting related to the design and operation of certain automated controls (including related information technology general controls) for certain tools or applications involved in the transformation and ingestion of third-party processors’ data in the Company’s control environment, as reported in Part II, Item 9A, “Controls and Procedures,” in the Company’s annual reports on Form 10</w:t>
        <w:noBreakHyphen/>
        <w:t>K for the year ended December 31, 2024, filed with the Securities and Exchange Commission (the “SEC”) on March 6, 2025, and in Part I, Item 4, “Controls and Procedures,” in the Company’s quarterly reports on Form 10</w:t>
        <w:noBreakHyphen/>
        <w:t>Q for the quarters ended March 31, 2025, June 30, 2025, and September 30, 2025, filed with the SEC on May 6, 2025, August 7, 2025, and November 6, 2025, respectively. The material weakness was subsequently remediated as reported in the Company’s Annual Report on Form 10-K for the fiscal year ended on December 31, 2025, filed with SEC on March 10, 2026. This reportable event was discussed among the Audit Committee and EY. EY has been authorized by the Company to respond fully to the inquiries of KPMG, the successor independent registered public accounting firm, concerning this reportable event.</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provided EY with a copy of the foregoing disclosures and requested that EY furnish a letter addressed to the Securities and Exchange Commission stating whether it agrees with the statements made herein. A copy of such letter from EY is attached as Exhibit 16.1 on the Form 8-K filed by the Company on March 11, 2026.</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On March 11, 2026, KPMG LLP was engaged by the Audit Committee as the Company’s independent registered public accounting firm.</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years ended December 31, 2025 and 2024, and the subsequent interim period through March 11, 2026, neither the Company nor anyone on its behalf consulted with KPMG regarding: (i) the application of accounting principles to a specific transaction, either completed or proposed, or the type of audit opinion that might be rendered on the Company’s financial statements, and neither a written report nor oral advice was provided to the Company that KPMG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561" w:before="0" w:after="0"/>
        <w:jc w:val="center"/>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The following had late Form 4s: Brad Miller (1), Timothy O'Leary (1), Marietta Davis (1), Marc Crisafulli (1), Clayton Main (1), Christina Favilla (1), and Michael Passilla (1). All Form 4s have since been filed.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COMPENSATION OF EXECUTIVE OFFICERS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Overview -</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Priority has opted to comply with the executive compensation disclosure rules applicable to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("NEOs"). </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The NEOs for Priority's year ended December 31, 2025 were: </w:t>
      </w:r>
    </w:p>
    <w:p>
      <w:pPr>
        <w:pStyle w:val="TextBody"/>
        <w:bidi w:val="0"/>
        <w:spacing w:lineRule="auto" w:line="417" w:before="0" w:after="240"/>
        <w:ind w:left="0" w:right="0" w:hanging="360"/>
        <w:jc w:val="both"/>
        <w:rPr/>
      </w:pPr>
      <w:r>
        <w:rPr>
          <w:color w:val="000000"/>
        </w:rPr>
        <w:t>•</w:t>
      </w:r>
      <w:r>
        <w:rPr>
          <w:rFonts w:ascii="Times New Roman;serif" w:hAnsi="Times New Roman;serif"/>
          <w:b w:val="false"/>
          <w:color w:val="000000"/>
          <w:sz w:val="20"/>
        </w:rPr>
        <w:t>Thomas Priore, its Chairman and Chief Executive Officer;</w:t>
      </w:r>
    </w:p>
    <w:p>
      <w:pPr>
        <w:pStyle w:val="TextBody"/>
        <w:bidi w:val="0"/>
        <w:spacing w:lineRule="auto" w:line="417" w:before="0" w:after="240"/>
        <w:ind w:left="0" w:right="0" w:hanging="360"/>
        <w:jc w:val="both"/>
        <w:rPr/>
      </w:pPr>
      <w:r>
        <w:rPr>
          <w:color w:val="000000"/>
        </w:rPr>
        <w:t>•</w:t>
      </w:r>
      <w:r>
        <w:rPr>
          <w:rFonts w:ascii="Times New Roman;serif" w:hAnsi="Times New Roman;serif"/>
          <w:b w:val="false"/>
          <w:color w:val="000000"/>
          <w:sz w:val="20"/>
        </w:rPr>
        <w:t>Timothy O’Leary, its Chief Financial Officer</w:t>
      </w:r>
    </w:p>
    <w:p>
      <w:pPr>
        <w:pStyle w:val="TextBody"/>
        <w:bidi w:val="0"/>
        <w:spacing w:lineRule="auto" w:line="417" w:before="0" w:after="240"/>
        <w:ind w:left="0" w:right="0" w:hanging="360"/>
        <w:jc w:val="both"/>
        <w:rPr/>
      </w:pPr>
      <w:r>
        <w:rPr>
          <w:color w:val="000000"/>
        </w:rPr>
        <w:t>•</w:t>
      </w:r>
      <w:r>
        <w:rPr>
          <w:rFonts w:ascii="Times New Roman;serif" w:hAnsi="Times New Roman;serif"/>
          <w:b w:val="false"/>
          <w:color w:val="000000"/>
          <w:sz w:val="20"/>
        </w:rPr>
        <w:t>Bradley Miller, its General Counsel and Chief Risk Officer</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Summary Compensation Table</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Summary Compensation Table, ("SCT") presents summary information regarding the total compensation for Priority's years ended December 31, 2025 and 2024 for the Named Executive Officers:</w:t>
      </w:r>
    </w:p>
    <w:tbl>
      <w:tblPr>
        <w:tblW w:w="10205" w:type="dxa"/>
        <w:jc w:val="left"/>
        <w:tblInd w:w="0" w:type="dxa"/>
        <w:tblLayout w:type="fixed"/>
        <w:tblCellMar>
          <w:top w:w="28" w:type="dxa"/>
          <w:left w:w="28" w:type="dxa"/>
          <w:bottom w:w="28" w:type="dxa"/>
          <w:right w:w="28" w:type="dxa"/>
        </w:tblCellMar>
      </w:tblPr>
      <w:tblGrid>
        <w:gridCol w:w="858"/>
        <w:gridCol w:w="742"/>
        <w:gridCol w:w="745"/>
        <w:gridCol w:w="160"/>
        <w:gridCol w:w="160"/>
        <w:gridCol w:w="161"/>
        <w:gridCol w:w="196"/>
        <w:gridCol w:w="871"/>
        <w:gridCol w:w="109"/>
        <w:gridCol w:w="196"/>
        <w:gridCol w:w="871"/>
        <w:gridCol w:w="109"/>
        <w:gridCol w:w="214"/>
        <w:gridCol w:w="954"/>
        <w:gridCol w:w="118"/>
        <w:gridCol w:w="337"/>
        <w:gridCol w:w="702"/>
        <w:gridCol w:w="190"/>
        <w:gridCol w:w="109"/>
        <w:gridCol w:w="196"/>
        <w:gridCol w:w="871"/>
        <w:gridCol w:w="109"/>
        <w:gridCol w:w="196"/>
        <w:gridCol w:w="871"/>
        <w:gridCol w:w="160"/>
      </w:tblGrid>
      <w:tr>
        <w:trPr/>
        <w:tc>
          <w:tcPr>
            <w:tcW w:w="85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and Principal Position</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117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8"/>
              </w:rPr>
            </w:pPr>
            <w:r>
              <w:rPr>
                <w:rFonts w:ascii="Times New Roman;serif" w:hAnsi="Times New Roman;serif"/>
                <w:b/>
                <w:color w:val="000000"/>
                <w:sz w:val="18"/>
              </w:rPr>
              <w:t>Salary $</w:t>
            </w:r>
          </w:p>
        </w:tc>
        <w:tc>
          <w:tcPr>
            <w:tcW w:w="117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Bonus $</w:t>
            </w:r>
          </w:p>
        </w:tc>
        <w:tc>
          <w:tcPr>
            <w:tcW w:w="128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Stock Awards $</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 Awards $</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333" w:before="53" w:after="30"/>
              <w:jc w:val="center"/>
              <w:rPr/>
            </w:pPr>
            <w:r>
              <w:rPr>
                <w:rFonts w:ascii="Times New Roman;serif" w:hAnsi="Times New Roman;serif"/>
                <w:b/>
                <w:color w:val="000000"/>
                <w:sz w:val="18"/>
              </w:rPr>
              <w:t xml:space="preserve">All Other </w:t>
            </w:r>
            <w:r>
              <w:rPr>
                <w:rFonts w:ascii="Times New Roman;serif" w:hAnsi="Times New Roman;serif"/>
                <w:b/>
                <w:color w:val="000000"/>
                <w:sz w:val="12"/>
              </w:rPr>
              <w:t>1,3</w:t>
            </w:r>
            <w:r>
              <w:rPr>
                <w:color w:val="000000"/>
              </w:rPr>
              <w:t xml:space="preserve"> </w:t>
            </w:r>
            <w:r>
              <w:rPr>
                <w:rFonts w:ascii="Times New Roman;serif" w:hAnsi="Times New Roman;serif"/>
                <w:b/>
                <w:color w:val="000000"/>
                <w:sz w:val="18"/>
              </w:rPr>
              <w:t>$</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w:t>
            </w:r>
          </w:p>
        </w:tc>
      </w:tr>
      <w:tr>
        <w:trPr/>
        <w:tc>
          <w:tcPr>
            <w:tcW w:w="23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Thomas Priore </w:t>
            </w:r>
          </w:p>
          <w:p>
            <w:pPr>
              <w:pStyle w:val="TableContents"/>
              <w:bidi w:val="0"/>
              <w:spacing w:lineRule="auto" w:line="333" w:before="0" w:after="30"/>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and Chairman</w:t>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2,996,498 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8,004,152 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5,003,399 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vMerge w:val="restart"/>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Timothy O'Leary</w:t>
            </w:r>
          </w:p>
          <w:p>
            <w:pPr>
              <w:pStyle w:val="TableContents"/>
              <w:bidi w:val="0"/>
              <w:spacing w:lineRule="auto" w:line="333"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1,273,800 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vMerge w:val="restart"/>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Bradley Miller </w:t>
            </w:r>
          </w:p>
          <w:p>
            <w:pPr>
              <w:pStyle w:val="TableContents"/>
              <w:bidi w:val="0"/>
              <w:spacing w:lineRule="auto" w:line="333" w:before="0" w:after="0"/>
              <w:jc w:val="left"/>
              <w:rPr>
                <w:rFonts w:ascii="Times New Roman;serif" w:hAnsi="Times New Roman;serif"/>
                <w:b w:val="false"/>
                <w:i/>
                <w:color w:val="000000"/>
                <w:sz w:val="18"/>
              </w:rPr>
            </w:pPr>
            <w:r>
              <w:rPr>
                <w:rFonts w:ascii="Times New Roman;serif" w:hAnsi="Times New Roman;serif"/>
                <w:b w:val="false"/>
                <w:i/>
                <w:color w:val="000000"/>
                <w:sz w:val="18"/>
              </w:rPr>
              <w:t>General Counsel and Chief Risk Officer</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1,237,760 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1,791,760 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576,300 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Reflects 401(k) matching contributions for Mr. O'Leary and Mr. Miller.</w:t>
      </w:r>
    </w:p>
    <w:p>
      <w:pPr>
        <w:pStyle w:val="TextBody"/>
        <w:bidi w:val="0"/>
        <w:spacing w:lineRule="auto" w:line="240" w:before="0" w:after="12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Non-equity compensation represents the earned cash portion of the long-term incentive granted in February 2023, vesting over two years.</w:t>
      </w:r>
    </w:p>
    <w:p>
      <w:pPr>
        <w:pStyle w:val="TextBody"/>
        <w:bidi w:val="0"/>
        <w:spacing w:lineRule="auto" w:line="240" w:before="0" w:after="12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 xml:space="preserve">Reflects medical insurance premium paid by the Company on behalf of Mr. Priore. Amount also includes long-term incentive award of $2.4 million approved by the Compensation Committee of the Board with a three-year cliff performance based vesting. These awards may be settled in cash or Common shares of the Company. </w:t>
      </w:r>
    </w:p>
    <w:p>
      <w:pPr>
        <w:pStyle w:val="TextBody"/>
        <w:bidi w:val="0"/>
        <w:spacing w:before="0" w:after="0"/>
        <w:jc w:val="both"/>
        <w:rPr/>
      </w:pPr>
      <w:r>
        <w:rPr/>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Narrative Disclosure to Summary Compensation Table</w:t>
      </w:r>
    </w:p>
    <w:p>
      <w:pPr>
        <w:pStyle w:val="TextBody"/>
        <w:bidi w:val="0"/>
        <w:spacing w:lineRule="auto" w:line="417"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Mr. Thomas Priore</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 independent contractor. Effective December 1, 2018, he also became our Chief Executive Officer. As Chief Executive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240"/>
        <w:jc w:val="both"/>
        <w:rPr/>
      </w:pPr>
      <w:r>
        <w:rPr>
          <w:rFonts w:ascii="Times New Roman;serif" w:hAnsi="Times New Roman;serif"/>
          <w:b w:val="false"/>
          <w:color w:val="000000"/>
          <w:sz w:val="20"/>
        </w:rPr>
        <w:t>the Compensation Committee set performance goals for Mr. Priore based upon revenue, adjusted EBITDA ( i.e. earnings before interest, income tax, and depreciation and amortization expenses, a non-GAAP measure), and personal performance goals for determining his short-term and long-term incentive. Mr. Priore’s annual short-term incentive bonus target is 100% of his base salary and his annual long-term incentive bonus target is 200% of his base salary.</w:t>
      </w:r>
      <w:r>
        <w:rPr>
          <w:color w:val="000000"/>
        </w:rPr>
        <w:t xml:space="preserve"> </w:t>
      </w:r>
      <w:r>
        <w:rPr>
          <w:rFonts w:ascii="Times New Roman;serif" w:hAnsi="Times New Roman;serif"/>
          <w:b w:val="false"/>
          <w:color w:val="000000"/>
          <w:sz w:val="20"/>
        </w:rPr>
        <w:t>Given the Company’s performance and Mr. Priore’s leadership and meaningful contributions, the 2025 annual short-term incentive bonus and long-term incentive bonus were achieved.</w:t>
      </w:r>
    </w:p>
    <w:p>
      <w:pPr>
        <w:pStyle w:val="TextBody"/>
        <w:bidi w:val="0"/>
        <w:spacing w:lineRule="auto" w:line="417"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Mr. Tim O’Leary</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Mr. O’Leary is eligible for an annual discretionary bonus at a target of up to 65% of his base salary. As a result of his meaningful contributions, Mr. O’Leary was awarded an annual incentive bonus in the amount of $260,000. Mr. O’Leary was granted a total award of 276,923 shares, consisting of 138,462 RSUs that vest in equal installments over three years on each anniversary of the grant date, and 138,461 PSUs with a three-year cliff performance based vesting.</w:t>
      </w:r>
    </w:p>
    <w:p>
      <w:pPr>
        <w:pStyle w:val="TextBody"/>
        <w:bidi w:val="0"/>
        <w:spacing w:lineRule="auto" w:line="417"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Mr. Bradley Miller</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Mr. Miller is eligible for a discretionary target bonus of up to 50% of his base salary. Additionally, Mr. Miller may be awarded equity grants from time to time in the discretion of the Compensation Committee. As a result of his meaningful contributions in 2025, Mr. Miller was awarded an annual incentive bonus in the amount of $187,500. Mr. Miller was granted an RSU award that fully vested upon grant of 52,301 shares. Mr. Miller was also granted a stock award of 123,077 shares, consisting of 61,539 RSUs that vest in equal installments over three years on each anniversary of the grant date, and 61,538 PSUs with a three-year cliff performance based vesting.</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401(k) Plan</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Priority maintains a tax-qualified 401(k) defined contribution plan available to substantially all of our employees. The 401(k) plan is available on the same terms to all of its U.S. employees, including Mr. O'Leary and Mr. Miller. Mr. Priore does not participate in the plan. Each participant may elect to make a voluntary contribution of an amount between 0% to 100% of their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Pay Versus Performance Table</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Pay Versus Performance ("PVP") tables set forth compensation information for our PEO and non-PEO NEOs in accordance with SEC guidance for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4"/>
        <w:gridCol w:w="153"/>
        <w:gridCol w:w="154"/>
        <w:gridCol w:w="267"/>
        <w:gridCol w:w="1188"/>
        <w:gridCol w:w="148"/>
        <w:gridCol w:w="253"/>
        <w:gridCol w:w="1126"/>
        <w:gridCol w:w="141"/>
        <w:gridCol w:w="305"/>
        <w:gridCol w:w="1355"/>
        <w:gridCol w:w="169"/>
        <w:gridCol w:w="288"/>
        <w:gridCol w:w="1280"/>
        <w:gridCol w:w="160"/>
        <w:gridCol w:w="474"/>
        <w:gridCol w:w="1020"/>
        <w:gridCol w:w="266"/>
        <w:gridCol w:w="251"/>
        <w:gridCol w:w="829"/>
        <w:gridCol w:w="20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Summary Compensation Table Total for PEO ($)(a)</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Compensation Actually Paid to PEO ($)(b)</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Average Summary Compensation Table Total for Non-PEO NEOs ($)(c)</w:t>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Average Compensation Actually Paid to Non-PEO NEOs ($)(d)</w:t>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Initial Fixed $100 Investment Based On Total Shareholder Return ($)(e)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Net Income (loss) ($ in thousands)(f)</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8,004,152 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6,297,363 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2,132,880 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(142,451)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55,681 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5,003,399 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7,074,347 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1,856,750 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6,723,595 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5,008,055 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4,918,784 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924,450 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pPr>
      <w:r>
        <w:rPr>
          <w:rFonts w:ascii="Times New Roman;serif" w:hAnsi="Times New Roman;serif"/>
          <w:b w:val="false"/>
          <w:i/>
          <w:color w:val="000000"/>
          <w:sz w:val="20"/>
        </w:rPr>
        <w:t>(a)</w:t>
      </w:r>
      <w:r>
        <w:rPr>
          <w:rFonts w:ascii="Times New Roman;serif" w:hAnsi="Times New Roman;serif"/>
          <w:b w:val="false"/>
          <w:color w:val="000000"/>
          <w:sz w:val="20"/>
        </w:rPr>
        <w:t>Represents the compensation from the Summary Compensation Table for the Company's PEO, Thomas Priore for 2025, 2024 and 2023.</w:t>
      </w:r>
    </w:p>
    <w:p>
      <w:pPr>
        <w:pStyle w:val="TextBody"/>
        <w:bidi w:val="0"/>
        <w:spacing w:lineRule="auto" w:line="288" w:before="0" w:after="0"/>
        <w:ind w:left="0" w:right="0" w:hanging="360"/>
        <w:jc w:val="left"/>
        <w:rPr/>
      </w:pPr>
      <w:r>
        <w:rPr>
          <w:rFonts w:ascii="Times New Roman;serif" w:hAnsi="Times New Roman;serif"/>
          <w:b w:val="false"/>
          <w:i/>
          <w:color w:val="000000"/>
          <w:sz w:val="20"/>
        </w:rPr>
        <w:t>(b)</w:t>
      </w:r>
      <w:r>
        <w:rPr>
          <w:rFonts w:ascii="Times New Roman;serif" w:hAnsi="Times New Roman;serif"/>
          <w:b w:val="false"/>
          <w:color w:val="000000"/>
          <w:sz w:val="20"/>
        </w:rPr>
        <w:t>Represents the compensation actually paid to the Company's PEO, as adjusted in the table below.</w:t>
      </w:r>
    </w:p>
    <w:p>
      <w:pPr>
        <w:pStyle w:val="TextBody"/>
        <w:bidi w:val="0"/>
        <w:spacing w:lineRule="auto" w:line="288" w:before="0" w:after="0"/>
        <w:ind w:left="0" w:right="0" w:hanging="360"/>
        <w:jc w:val="left"/>
        <w:rPr/>
      </w:pPr>
      <w:r>
        <w:rPr>
          <w:rFonts w:ascii="Times New Roman;serif" w:hAnsi="Times New Roman;serif"/>
          <w:b w:val="false"/>
          <w:i/>
          <w:color w:val="000000"/>
          <w:sz w:val="20"/>
        </w:rPr>
        <w:t>(c)</w:t>
      </w:r>
      <w:r>
        <w:rPr>
          <w:rFonts w:ascii="Times New Roman;serif" w:hAnsi="Times New Roman;serif"/>
          <w:b w:val="false"/>
          <w:color w:val="000000"/>
          <w:sz w:val="20"/>
        </w:rPr>
        <w:t>Represents the average summary compensation for all NEOs from the Summary Compensation Table for the named executive officers.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i.For 2025, NEOs were Timothy O'Leary and Bradley Miller.</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ii.For 2024, NEOs were Timothy O'Leary and Ranjana Ram.</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iii.For 2023, NEOs were Timothy O'Leary and Bradley Miller.</w:t>
      </w:r>
    </w:p>
    <w:p>
      <w:pPr>
        <w:pStyle w:val="TextBody"/>
        <w:bidi w:val="0"/>
        <w:spacing w:lineRule="auto" w:line="288" w:before="0" w:after="0"/>
        <w:ind w:left="0" w:right="0" w:hanging="360"/>
        <w:jc w:val="left"/>
        <w:rPr/>
      </w:pPr>
      <w:r>
        <w:rPr>
          <w:rFonts w:ascii="Times New Roman;serif" w:hAnsi="Times New Roman;serif"/>
          <w:b w:val="false"/>
          <w:i/>
          <w:color w:val="000000"/>
          <w:sz w:val="20"/>
        </w:rPr>
        <w:t>(d)</w:t>
      </w:r>
      <w:r>
        <w:rPr>
          <w:rFonts w:ascii="Times New Roman;serif" w:hAnsi="Times New Roman;serif"/>
          <w:b w:val="false"/>
          <w:color w:val="000000"/>
          <w:sz w:val="20"/>
        </w:rPr>
        <w:t>Represents the compensation actually paid to the Company's NEOs, as adjusted in the tables below.</w:t>
      </w:r>
    </w:p>
    <w:p>
      <w:pPr>
        <w:pStyle w:val="TextBody"/>
        <w:bidi w:val="0"/>
        <w:spacing w:lineRule="auto" w:line="288" w:before="0" w:after="0"/>
        <w:ind w:left="0" w:right="0" w:hanging="360"/>
        <w:jc w:val="left"/>
        <w:rPr/>
      </w:pPr>
      <w:r>
        <w:rPr>
          <w:rFonts w:ascii="Times New Roman;serif" w:hAnsi="Times New Roman;serif"/>
          <w:b w:val="false"/>
          <w:i/>
          <w:color w:val="000000"/>
          <w:sz w:val="20"/>
        </w:rPr>
        <w:t>(e)</w:t>
      </w:r>
      <w:r>
        <w:rPr>
          <w:rFonts w:ascii="Times New Roman;serif" w:hAnsi="Times New Roman;serif"/>
          <w:b w:val="false"/>
          <w:color w:val="000000"/>
          <w:sz w:val="20"/>
        </w:rPr>
        <w:t>Assumes $100 investment on December 31, 2020 in our common stock.</w:t>
      </w:r>
    </w:p>
    <w:p>
      <w:pPr>
        <w:pStyle w:val="TextBody"/>
        <w:bidi w:val="0"/>
        <w:spacing w:lineRule="auto" w:line="288" w:before="0" w:after="0"/>
        <w:ind w:left="0" w:right="0" w:hanging="360"/>
        <w:jc w:val="left"/>
        <w:rPr/>
      </w:pPr>
      <w:r>
        <w:rPr>
          <w:rFonts w:ascii="Times New Roman;serif" w:hAnsi="Times New Roman;serif"/>
          <w:b w:val="false"/>
          <w:i/>
          <w:color w:val="000000"/>
          <w:sz w:val="20"/>
        </w:rPr>
        <w:t>(f)</w:t>
      </w:r>
      <w:r>
        <w:rPr>
          <w:rFonts w:ascii="Times New Roman;serif" w:hAnsi="Times New Roman;serif"/>
          <w:b w:val="false"/>
          <w:color w:val="000000"/>
          <w:sz w:val="20"/>
        </w:rPr>
        <w:t>Represents the Company's net income on the consolidated statements of income reported in the Company's Annual Report on Form 10K.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Deductions from, and additions to, total compensation in the Summary Compensation Table by year to calculate Compensation Actually Paid to the PEO consist of: </w:t>
      </w:r>
    </w:p>
    <w:tbl>
      <w:tblPr>
        <w:tblW w:w="10205" w:type="dxa"/>
        <w:jc w:val="left"/>
        <w:tblInd w:w="0" w:type="dxa"/>
        <w:tblLayout w:type="fixed"/>
        <w:tblCellMar>
          <w:top w:w="28" w:type="dxa"/>
          <w:left w:w="28" w:type="dxa"/>
          <w:bottom w:w="28" w:type="dxa"/>
          <w:right w:w="28" w:type="dxa"/>
        </w:tblCellMar>
      </w:tblPr>
      <w:tblGrid>
        <w:gridCol w:w="2292"/>
        <w:gridCol w:w="1978"/>
        <w:gridCol w:w="1989"/>
        <w:gridCol w:w="109"/>
        <w:gridCol w:w="109"/>
        <w:gridCol w:w="109"/>
        <w:gridCol w:w="196"/>
        <w:gridCol w:w="886"/>
        <w:gridCol w:w="109"/>
        <w:gridCol w:w="196"/>
        <w:gridCol w:w="886"/>
        <w:gridCol w:w="109"/>
        <w:gridCol w:w="196"/>
        <w:gridCol w:w="886"/>
        <w:gridCol w:w="155"/>
      </w:tblGrid>
      <w:tr>
        <w:trPr/>
        <w:tc>
          <w:tcPr>
            <w:tcW w:w="2292"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Summary Compensation Table Total for PEO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8,004,152 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5,008,055 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Determine Compensation "Actually Paid" for PEO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Deductions for amounts reported under the "Stock Awards" column in the SCT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awards granted during the year that remain outstanding at year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awards granted in prior years that remain outstanding at year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from the end of the prior year to the vesting date for awards granted in prior years and vested in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compensation actually paid for PEO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6,297,363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7,074,347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4,918,784</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Deductions from, and additions to, average compensation in the Summary Compensation Table by year to calculate Compensation Actually Paid to the Non-PEO NEOs consist of: </w:t>
      </w:r>
    </w:p>
    <w:tbl>
      <w:tblPr>
        <w:tblW w:w="10205" w:type="dxa"/>
        <w:jc w:val="left"/>
        <w:tblInd w:w="0" w:type="dxa"/>
        <w:tblLayout w:type="fixed"/>
        <w:tblCellMar>
          <w:top w:w="28" w:type="dxa"/>
          <w:left w:w="28" w:type="dxa"/>
          <w:bottom w:w="28" w:type="dxa"/>
          <w:right w:w="28" w:type="dxa"/>
        </w:tblCellMar>
      </w:tblPr>
      <w:tblGrid>
        <w:gridCol w:w="2344"/>
        <w:gridCol w:w="2027"/>
        <w:gridCol w:w="2037"/>
        <w:gridCol w:w="109"/>
        <w:gridCol w:w="109"/>
        <w:gridCol w:w="109"/>
        <w:gridCol w:w="196"/>
        <w:gridCol w:w="871"/>
        <w:gridCol w:w="109"/>
        <w:gridCol w:w="196"/>
        <w:gridCol w:w="886"/>
        <w:gridCol w:w="109"/>
        <w:gridCol w:w="196"/>
        <w:gridCol w:w="751"/>
        <w:gridCol w:w="156"/>
      </w:tblGrid>
      <w:tr>
        <w:trPr/>
        <w:tc>
          <w:tcPr>
            <w:tcW w:w="234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Summary Compensation Table Total for Non-PEO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924,450 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Determine Compensation "Actually Paid" for Non-PEO NEOs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Deductions for amounts reported under the "Stock Awards" column in the SCT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awards granted during the year that remain outstanding at year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awards granted in prior years that remain outstanding at year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from the end of the prior year to the vesting date for awards granted in prior years and vested in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compensation actually paid for Non-PEO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(142,451)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6,723,595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376,895</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COMPENSATION OF DIRECTORS</w:t>
      </w:r>
    </w:p>
    <w:p>
      <w:pPr>
        <w:pStyle w:val="TextBody"/>
        <w:bidi w:val="0"/>
        <w:spacing w:before="0" w:after="0"/>
        <w:jc w:val="both"/>
        <w:rPr/>
      </w:pPr>
      <w:r>
        <w:rPr/>
      </w:r>
    </w:p>
    <w:p>
      <w:pPr>
        <w:pStyle w:val="TextBody"/>
        <w:bidi w:val="0"/>
        <w:spacing w:lineRule="auto" w:line="384" w:before="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summary information regarding the total compensation for Priority's year ended December 31, 2025 for our non-employee directors:</w:t>
      </w:r>
    </w:p>
    <w:tbl>
      <w:tblPr>
        <w:tblW w:w="10205" w:type="dxa"/>
        <w:jc w:val="left"/>
        <w:tblInd w:w="0" w:type="dxa"/>
        <w:tblLayout w:type="fixed"/>
        <w:tblCellMar>
          <w:top w:w="28" w:type="dxa"/>
          <w:left w:w="28" w:type="dxa"/>
          <w:bottom w:w="28" w:type="dxa"/>
          <w:right w:w="28" w:type="dxa"/>
        </w:tblCellMar>
      </w:tblPr>
      <w:tblGrid>
        <w:gridCol w:w="432"/>
        <w:gridCol w:w="369"/>
        <w:gridCol w:w="371"/>
        <w:gridCol w:w="573"/>
        <w:gridCol w:w="573"/>
        <w:gridCol w:w="576"/>
        <w:gridCol w:w="361"/>
        <w:gridCol w:w="361"/>
        <w:gridCol w:w="363"/>
        <w:gridCol w:w="382"/>
        <w:gridCol w:w="382"/>
        <w:gridCol w:w="384"/>
        <w:gridCol w:w="854"/>
        <w:gridCol w:w="854"/>
        <w:gridCol w:w="856"/>
        <w:gridCol w:w="588"/>
        <w:gridCol w:w="588"/>
        <w:gridCol w:w="590"/>
        <w:gridCol w:w="214"/>
        <w:gridCol w:w="214"/>
        <w:gridCol w:w="320"/>
      </w:tblGrid>
      <w:tr>
        <w:trPr/>
        <w:tc>
          <w:tcPr>
            <w:tcW w:w="43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Director</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Fees Earned or Paid in Cash $</w:t>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Awards $</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 Awards $</w:t>
            </w:r>
          </w:p>
        </w:tc>
        <w:tc>
          <w:tcPr>
            <w:tcW w:w="256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18"/>
              </w:rPr>
            </w:pPr>
            <w:r>
              <w:rPr>
                <w:rFonts w:ascii="Times New Roman;serif" w:hAnsi="Times New Roman;serif"/>
                <w:b/>
                <w:color w:val="000000"/>
                <w:sz w:val="18"/>
              </w:rPr>
              <w:t>Non-Equity Incentive Plan Compensation $</w:t>
            </w:r>
          </w:p>
        </w:tc>
        <w:tc>
          <w:tcPr>
            <w:tcW w:w="17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8"/>
              </w:rPr>
            </w:pPr>
            <w:r>
              <w:rPr>
                <w:rFonts w:ascii="Times New Roman;serif" w:hAnsi="Times New Roman;serif"/>
                <w:b/>
                <w:color w:val="000000"/>
                <w:sz w:val="18"/>
              </w:rPr>
              <w:t>All Other Compensation $</w:t>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w:t>
            </w:r>
          </w:p>
        </w:tc>
      </w:tr>
      <w:tr>
        <w:trPr/>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 Crisafulli</w:t>
            </w:r>
          </w:p>
        </w:tc>
        <w:tc>
          <w:tcPr>
            <w:tcW w:w="1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65,000</w:t>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100,000</w:t>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165,000</w:t>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Marietta Davis</w:t>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100,000</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160,000</w:t>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Christina Favilla</w:t>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65,000</w:t>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100,000</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165,000</w:t>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 Passilla</w:t>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85,000</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100,000</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185,000</w:t>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Clayton Main</w:t>
            </w:r>
            <w:r>
              <w:rPr>
                <w:rFonts w:ascii="Times New Roman;serif" w:hAnsi="Times New Roman;serif"/>
                <w:b w:val="false"/>
                <w:color w:val="000000"/>
                <w:sz w:val="12"/>
              </w:rPr>
              <w:t>(1)</w:t>
            </w:r>
          </w:p>
        </w:tc>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100,000</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140,000</w:t>
            </w:r>
          </w:p>
        </w:tc>
      </w:tr>
    </w:tbl>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Appointed to the board on April 1,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240"/>
        <w:jc w:val="left"/>
        <w:rPr>
          <w:rFonts w:ascii="Times New Roman;serif" w:hAnsi="Times New Roman;serif"/>
          <w:b/>
          <w:i/>
          <w:color w:val="000000"/>
          <w:sz w:val="20"/>
        </w:rPr>
      </w:pPr>
      <w:r>
        <w:rPr>
          <w:rFonts w:ascii="Times New Roman;serif" w:hAnsi="Times New Roman;serif"/>
          <w:b/>
          <w:i/>
          <w:color w:val="000000"/>
          <w:sz w:val="20"/>
        </w:rPr>
        <w:t>Narrative Disclosure to Director Compensation Table</w:t>
      </w:r>
    </w:p>
    <w:p>
      <w:pPr>
        <w:pStyle w:val="TextBody"/>
        <w:bidi w:val="0"/>
        <w:spacing w:lineRule="auto" w:line="417" w:before="0" w:after="2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Independent Director Compensation</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The independent directors have each entered an agreement to which each receives cash compensation of $60,000 per year, payable in monthly installments and a grant of restricted stock with a grant date fair value $100,000 which vests over four quarters. The chair of the Audit Committee received $25,000 in 2025 in addition to their director cash compensation. The chair of the Nominating and Corporate Governance Committee and the chair of the Compensation Committee both received $5,000 in 2025 in addition to their director cash compensation.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The independent directors are reimbursed for reasonable and documented out-of-pocket expenses incurred by him or her in the performance of their duties.</w:t>
      </w:r>
    </w:p>
    <w:p>
      <w:pPr>
        <w:pStyle w:val="TextBody"/>
        <w:bidi w:val="0"/>
        <w:spacing w:before="0" w:after="2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OUTSTANDING EQUITY AWARDS AT 2025 YEAR END</w:t>
      </w:r>
    </w:p>
    <w:p>
      <w:pPr>
        <w:pStyle w:val="TextBody"/>
        <w:bidi w:val="0"/>
        <w:spacing w:before="0" w:after="0"/>
        <w:jc w:val="center"/>
        <w:rPr/>
      </w:pPr>
      <w:r>
        <w:rPr/>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stock options not exercised, stock that has not yet vested, and equity incentive plan awards for each NEO outstanding as of the end of 2025. Each outstanding award is represented by a separate row that indicates the number of securities underlying the award.</w:t>
      </w:r>
    </w:p>
    <w:tbl>
      <w:tblPr>
        <w:tblW w:w="10205" w:type="dxa"/>
        <w:jc w:val="left"/>
        <w:tblInd w:w="0" w:type="dxa"/>
        <w:tblLayout w:type="fixed"/>
        <w:tblCellMar>
          <w:top w:w="28" w:type="dxa"/>
          <w:left w:w="28" w:type="dxa"/>
          <w:bottom w:w="28" w:type="dxa"/>
          <w:right w:w="28" w:type="dxa"/>
        </w:tblCellMar>
      </w:tblPr>
      <w:tblGrid>
        <w:gridCol w:w="292"/>
        <w:gridCol w:w="231"/>
        <w:gridCol w:w="235"/>
        <w:gridCol w:w="420"/>
        <w:gridCol w:w="420"/>
        <w:gridCol w:w="421"/>
        <w:gridCol w:w="480"/>
        <w:gridCol w:w="480"/>
        <w:gridCol w:w="481"/>
        <w:gridCol w:w="458"/>
        <w:gridCol w:w="458"/>
        <w:gridCol w:w="459"/>
        <w:gridCol w:w="261"/>
        <w:gridCol w:w="261"/>
        <w:gridCol w:w="262"/>
        <w:gridCol w:w="314"/>
        <w:gridCol w:w="314"/>
        <w:gridCol w:w="316"/>
        <w:gridCol w:w="626"/>
        <w:gridCol w:w="443"/>
        <w:gridCol w:w="445"/>
        <w:gridCol w:w="109"/>
        <w:gridCol w:w="109"/>
        <w:gridCol w:w="109"/>
        <w:gridCol w:w="287"/>
        <w:gridCol w:w="1278"/>
        <w:gridCol w:w="236"/>
      </w:tblGrid>
      <w:tr>
        <w:trPr/>
        <w:tc>
          <w:tcPr>
            <w:tcW w:w="2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3642" w:type="dxa"/>
            <w:gridSpan w:val="9"/>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 (Exercisable) (#)</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 (Unexercisable) (#)</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Incentive Plan Awards: Number of Securities Underlying Unexercised Unearned Options (#)</w:t>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Exercise Price ($)</w:t>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Expiration Date</w:t>
            </w:r>
          </w:p>
        </w:tc>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Incentive Plan Awards: Number of Unearned Shares of Stock, Units, or Other Rights That Have Not Yet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Incentive Plan Awards: Market or Payout Value of Unearned Shares of Stock, Units or Other Rights That Have Not Yet Vested ($)</w:t>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Thomas Priore</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555,506 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(a)</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3,027,508 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O'Leary</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401,642 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(b)</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2,188,949 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Bradley Miller</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123,077 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(c)</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670,770 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both"/>
        <w:rPr/>
      </w:pPr>
      <w:r>
        <w:rPr>
          <w:rFonts w:ascii="Times New Roman;serif" w:hAnsi="Times New Roman;serif"/>
          <w:b w:val="false"/>
          <w:i/>
          <w:color w:val="000000"/>
          <w:sz w:val="18"/>
        </w:rPr>
        <w:t>(a)</w:t>
      </w:r>
      <w:r>
        <w:rPr>
          <w:rFonts w:ascii="Times New Roman;serif" w:hAnsi="Times New Roman;serif"/>
          <w:b w:val="false"/>
          <w:color w:val="000000"/>
          <w:sz w:val="18"/>
        </w:rPr>
        <w:t>The awards outstanding for Mr. Priore are 127,795 shares granted on February 8, 2024 and 58,480 shares granted on February 5, 2025. Awards outstanding also includes 369,231 shares subject to certain conditions.</w:t>
      </w:r>
    </w:p>
    <w:p>
      <w:pPr>
        <w:pStyle w:val="TextBody"/>
        <w:bidi w:val="0"/>
        <w:spacing w:lineRule="auto" w:line="288" w:before="0" w:after="60"/>
        <w:ind w:left="0" w:right="0" w:hanging="360"/>
        <w:jc w:val="both"/>
        <w:rPr/>
      </w:pPr>
      <w:r>
        <w:rPr>
          <w:rFonts w:ascii="Times New Roman;serif" w:hAnsi="Times New Roman;serif"/>
          <w:b w:val="false"/>
          <w:i/>
          <w:color w:val="000000"/>
          <w:sz w:val="18"/>
        </w:rPr>
        <w:t>(b)</w:t>
      </w:r>
      <w:r>
        <w:rPr>
          <w:rFonts w:ascii="Times New Roman;serif" w:hAnsi="Times New Roman;serif"/>
          <w:b w:val="false"/>
          <w:color w:val="000000"/>
          <w:sz w:val="18"/>
        </w:rPr>
        <w:t>The awards outstanding for Mr. O'Leary are 61,727 shares granted on September 19, 2023, 62,992 shares granted on September 19, 2024 and 276,923 shares granted on November 21, 2025.</w:t>
      </w:r>
    </w:p>
    <w:p>
      <w:pPr>
        <w:pStyle w:val="TextBody"/>
        <w:bidi w:val="0"/>
        <w:spacing w:lineRule="auto" w:line="288" w:before="0" w:after="0"/>
        <w:ind w:left="0" w:right="0" w:hanging="360"/>
        <w:jc w:val="both"/>
        <w:rPr/>
      </w:pPr>
      <w:r>
        <w:rPr>
          <w:rFonts w:ascii="Times New Roman;serif" w:hAnsi="Times New Roman;serif"/>
          <w:b w:val="false"/>
          <w:i/>
          <w:color w:val="000000"/>
          <w:sz w:val="18"/>
        </w:rPr>
        <w:t>(c)</w:t>
      </w:r>
      <w:r>
        <w:rPr>
          <w:rFonts w:ascii="Times New Roman;serif" w:hAnsi="Times New Roman;serif"/>
          <w:b w:val="false"/>
          <w:color w:val="000000"/>
          <w:sz w:val="18"/>
        </w:rPr>
        <w:t xml:space="preserve">The awards outstanding for Mr. Miller are 123,077 shares granted on November 21,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DIRECTORS, AND EXECUTIVE OFFICERS</w:t>
      </w:r>
    </w:p>
    <w:p>
      <w:pPr>
        <w:pStyle w:val="TextBody"/>
        <w:bidi w:val="0"/>
        <w:spacing w:before="0" w:after="0"/>
        <w:jc w:val="both"/>
        <w:rPr/>
      </w:pPr>
      <w:r>
        <w:rPr/>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as of the Record Date regarding the beneficial ownership of our common stock by:</w:t>
      </w:r>
    </w:p>
    <w:p>
      <w:pPr>
        <w:pStyle w:val="TextBody"/>
        <w:bidi w:val="0"/>
        <w:spacing w:lineRule="auto" w:line="417" w:before="0" w:after="240"/>
        <w:ind w:left="0" w:right="0" w:hanging="360"/>
        <w:jc w:val="both"/>
        <w:rPr/>
      </w:pPr>
      <w:r>
        <w:rPr>
          <w:color w:val="000000"/>
        </w:rPr>
        <w:t>•</w:t>
      </w:r>
      <w:r>
        <w:rPr>
          <w:rFonts w:ascii="Times New Roman;serif" w:hAnsi="Times New Roman;serif"/>
          <w:b w:val="false"/>
          <w:color w:val="000000"/>
          <w:sz w:val="20"/>
        </w:rPr>
        <w:t>each person known to be the beneficial owner of more than 5% of our outstanding shares of common stock;</w:t>
      </w:r>
    </w:p>
    <w:p>
      <w:pPr>
        <w:pStyle w:val="TextBody"/>
        <w:bidi w:val="0"/>
        <w:spacing w:lineRule="auto" w:line="417" w:before="0" w:after="240"/>
        <w:ind w:left="0" w:right="0" w:hanging="360"/>
        <w:jc w:val="left"/>
        <w:rPr/>
      </w:pPr>
      <w:r>
        <w:rPr>
          <w:color w:val="000000"/>
        </w:rPr>
        <w:t>•</w:t>
      </w:r>
      <w:r>
        <w:rPr>
          <w:rFonts w:ascii="Times New Roman;serif" w:hAnsi="Times New Roman;serif"/>
          <w:b w:val="false"/>
          <w:color w:val="000000"/>
          <w:sz w:val="20"/>
        </w:rPr>
        <w:t>each director and each named executive officer; and</w:t>
      </w:r>
    </w:p>
    <w:p>
      <w:pPr>
        <w:pStyle w:val="TextBody"/>
        <w:bidi w:val="0"/>
        <w:spacing w:lineRule="auto" w:line="417" w:before="0" w:after="240"/>
        <w:ind w:left="0" w:right="0" w:hanging="360"/>
        <w:jc w:val="left"/>
        <w:rPr/>
      </w:pPr>
      <w:r>
        <w:rPr>
          <w:color w:val="000000"/>
        </w:rPr>
        <w:t>•</w:t>
      </w:r>
      <w:r>
        <w:rPr>
          <w:rFonts w:ascii="Times New Roman;serif" w:hAnsi="Times New Roman;serif"/>
          <w:b w:val="false"/>
          <w:color w:val="000000"/>
          <w:sz w:val="20"/>
        </w:rPr>
        <w:t>all current executive officers and directors as a group.</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we believe that all persons named in the table have sole voting and investment power with respect to all shares of common stock beneficially owned by them.</w:t>
      </w:r>
    </w:p>
    <w:tbl>
      <w:tblPr>
        <w:tblW w:w="10205" w:type="dxa"/>
        <w:jc w:val="left"/>
        <w:tblInd w:w="0" w:type="dxa"/>
        <w:tblLayout w:type="fixed"/>
        <w:tblCellMar>
          <w:top w:w="28" w:type="dxa"/>
          <w:left w:w="28" w:type="dxa"/>
          <w:bottom w:w="28" w:type="dxa"/>
          <w:right w:w="28" w:type="dxa"/>
        </w:tblCellMar>
      </w:tblPr>
      <w:tblGrid>
        <w:gridCol w:w="1223"/>
        <w:gridCol w:w="1060"/>
        <w:gridCol w:w="1068"/>
        <w:gridCol w:w="109"/>
        <w:gridCol w:w="109"/>
        <w:gridCol w:w="109"/>
        <w:gridCol w:w="901"/>
        <w:gridCol w:w="901"/>
        <w:gridCol w:w="903"/>
        <w:gridCol w:w="109"/>
        <w:gridCol w:w="109"/>
        <w:gridCol w:w="109"/>
        <w:gridCol w:w="542"/>
        <w:gridCol w:w="542"/>
        <w:gridCol w:w="542"/>
        <w:gridCol w:w="542"/>
        <w:gridCol w:w="542"/>
        <w:gridCol w:w="785"/>
      </w:tblGrid>
      <w:tr>
        <w:trPr/>
        <w:tc>
          <w:tcPr>
            <w:tcW w:w="122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Name and Address of Beneficial Owner</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and Nature of Beneficial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Percentage of Outstanding Common Stock </w:t>
            </w:r>
            <w:r>
              <w:rPr>
                <w:rFonts w:ascii="Times New Roman;serif" w:hAnsi="Times New Roman;serif"/>
                <w:b/>
                <w:color w:val="000000"/>
                <w:sz w:val="13"/>
              </w:rPr>
              <w:t>2</w:t>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Thomas Priore </w:t>
            </w:r>
            <w:r>
              <w:rPr>
                <w:rFonts w:ascii="Times New Roman;serif" w:hAnsi="Times New Roman;serif"/>
                <w:b w:val="false"/>
                <w:color w:val="000000"/>
                <w:sz w:val="12"/>
              </w:rPr>
              <w:t>(</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46,566,776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Sean Kiewiet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417"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Bradley Miller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Ranjana Ram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417"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 O'Leary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 Crisafulli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417"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Marietta Davis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Christina Favilla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417"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Clayton Main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Michael Passilla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417"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directors and executive officers as a group (10 individuals)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48,939,539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417"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6" w:before="120" w:after="283"/>
        <w:jc w:val="both"/>
        <w:rPr>
          <w:rFonts w:ascii="Times New Roman;serif" w:hAnsi="Times New Roman;serif"/>
          <w:b/>
          <w:color w:val="000000"/>
          <w:sz w:val="20"/>
        </w:rPr>
      </w:pPr>
      <w:r>
        <w:rPr>
          <w:rFonts w:ascii="Times New Roman;serif" w:hAnsi="Times New Roman;serif"/>
          <w:b/>
          <w:color w:val="000000"/>
          <w:sz w:val="20"/>
        </w:rPr>
        <w:t>______________________________</w:t>
      </w:r>
    </w:p>
    <w:p>
      <w:pPr>
        <w:pStyle w:val="TextBody"/>
        <w:bidi w:val="0"/>
        <w:spacing w:lineRule="auto" w:line="386" w:before="0" w:after="0"/>
        <w:jc w:val="both"/>
        <w:rPr>
          <w:color w:val="000000"/>
        </w:rPr>
      </w:pPr>
      <w:r>
        <w:rPr>
          <w:color w:val="000000"/>
        </w:rPr>
        <w:t>    </w:t>
      </w:r>
    </w:p>
    <w:p>
      <w:pPr>
        <w:pStyle w:val="TextBody"/>
        <w:bidi w:val="0"/>
        <w:spacing w:lineRule="auto" w:line="288" w:before="0" w:after="120"/>
        <w:ind w:left="0" w:right="0" w:hanging="360"/>
        <w:jc w:val="both"/>
        <w:rPr/>
      </w:pPr>
      <w:r>
        <w:rPr>
          <w:rFonts w:ascii="Times New Roman;serif" w:hAnsi="Times New Roman;serif"/>
          <w:b w:val="false"/>
          <w:i/>
          <w:color w:val="000000"/>
          <w:sz w:val="20"/>
        </w:rPr>
        <w:t>(1)</w:t>
      </w:r>
      <w:r>
        <w:rPr>
          <w:rFonts w:ascii="Times New Roman;serif" w:hAnsi="Times New Roman;serif"/>
          <w:b w:val="false"/>
          <w:color w:val="000000"/>
          <w:sz w:val="18"/>
        </w:rPr>
        <w:t>Unless otherwise indicated, the business address of each of the individuals is c/o Priority Technology Holdings, Inc., 2001 Westside Parkway, Alpharetta, GA 30004.</w:t>
      </w:r>
    </w:p>
    <w:p>
      <w:pPr>
        <w:pStyle w:val="TextBody"/>
        <w:bidi w:val="0"/>
        <w:spacing w:lineRule="auto" w:line="288" w:before="0" w:after="120"/>
        <w:ind w:left="0" w:right="0" w:hanging="360"/>
        <w:jc w:val="both"/>
        <w:rPr/>
      </w:pPr>
      <w:r>
        <w:rPr>
          <w:rFonts w:ascii="Times New Roman;serif" w:hAnsi="Times New Roman;serif"/>
          <w:b w:val="false"/>
          <w:i/>
          <w:color w:val="000000"/>
          <w:sz w:val="20"/>
        </w:rPr>
        <w:t>(2)</w:t>
      </w:r>
      <w:r>
        <w:rPr>
          <w:rFonts w:ascii="Times New Roman;serif" w:hAnsi="Times New Roman;serif"/>
          <w:b w:val="false"/>
          <w:color w:val="000000"/>
          <w:sz w:val="18"/>
        </w:rPr>
        <w:t>The percentage of beneficial ownership of Priority is calculated based on [.] shares of common stock outstanding. Unless otherwise indicated, we believe that all persons named in the table have sole voting and investment power with respect to all shares of common stock beneficially owned by them as of the date indicated.</w:t>
      </w:r>
    </w:p>
    <w:p>
      <w:pPr>
        <w:pStyle w:val="TextBody"/>
        <w:bidi w:val="0"/>
        <w:spacing w:lineRule="auto" w:line="288" w:before="0" w:after="120"/>
        <w:ind w:left="0" w:right="0" w:hanging="360"/>
        <w:jc w:val="both"/>
        <w:rPr/>
      </w:pPr>
      <w:r>
        <w:rPr>
          <w:rFonts w:ascii="Times New Roman;serif" w:hAnsi="Times New Roman;serif"/>
          <w:b w:val="false"/>
          <w:i/>
          <w:color w:val="000000"/>
          <w:sz w:val="18"/>
        </w:rPr>
        <w:t>(3)</w:t>
      </w:r>
      <w:r>
        <w:rPr>
          <w:rFonts w:ascii="Times New Roman;serif" w:hAnsi="Times New Roman;serif"/>
          <w:b w:val="false"/>
          <w:color w:val="000000"/>
          <w:sz w:val="18"/>
        </w:rPr>
        <w:t>Includes 2,500,000 shares of the Company's common stock held by Lori A. Priore, the spouse of Thomas C. Priore, and Bernard H. Smyers, in their capacity as trustees of the Thomas C. Priore Irrevocable Insurance Trust u/a/d 1/8/2010, for the benefit of Lori A. Priore and the children of Thomas C. Priore and Lori A. Priore.</w:t>
      </w:r>
    </w:p>
    <w:p>
      <w:pPr>
        <w:pStyle w:val="TextBody"/>
        <w:bidi w:val="0"/>
        <w:spacing w:lineRule="auto" w:line="268" w:before="0" w:after="0"/>
        <w:ind w:left="0" w:right="0" w:hanging="360"/>
        <w:jc w:val="both"/>
        <w:rPr/>
      </w:pPr>
      <w:r>
        <w:rPr>
          <w:rFonts w:ascii="Times New Roman;serif" w:hAnsi="Times New Roman;serif"/>
          <w:b w:val="false"/>
          <w:color w:val="000000"/>
          <w:sz w:val="18"/>
        </w:rPr>
        <w:t xml:space="preserve">(4)Mr. Priore is the leader of an investor group that submitted a preliminary, non-binding proposal, dated November 9, 2025, to acquire all of the outstanding shares of the Company's common stock not already owned by such investor group for cash consideration in the range of $6.00 to $6.15 per share. See </w:t>
      </w:r>
      <w:r>
        <w:rPr>
          <w:color w:val="000000"/>
        </w:rPr>
        <w:t>“</w:t>
      </w:r>
      <w:r>
        <w:rPr>
          <w:rFonts w:ascii="Times New Roman;serif" w:hAnsi="Times New Roman;serif"/>
          <w:b w:val="false"/>
          <w:i/>
          <w:color w:val="000000"/>
          <w:sz w:val="18"/>
        </w:rPr>
        <w:t>Corporate Governance — Special Committee."</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386" w:before="0" w:after="0"/>
        <w:jc w:val="center"/>
        <w:rPr>
          <w:rFonts w:ascii="Times New Roman;serif" w:hAnsi="Times New Roman;serif"/>
          <w:b/>
          <w:color w:val="000000"/>
          <w:sz w:val="22"/>
        </w:rPr>
      </w:pPr>
      <w:r>
        <w:rPr>
          <w:rFonts w:ascii="Times New Roman;serif" w:hAnsi="Times New Roman;serif"/>
          <w:b/>
          <w:color w:val="000000"/>
          <w:sz w:val="22"/>
        </w:rPr>
        <w:t>PROPOSAL NUMBER ONE</w:t>
      </w:r>
    </w:p>
    <w:p>
      <w:pPr>
        <w:pStyle w:val="TextBody"/>
        <w:bidi w:val="0"/>
        <w:spacing w:lineRule="auto" w:line="386" w:before="0" w:after="0"/>
        <w:jc w:val="center"/>
        <w:rPr>
          <w:rFonts w:ascii="Times New Roman;serif" w:hAnsi="Times New Roman;serif"/>
          <w:b/>
          <w:color w:val="000000"/>
          <w:sz w:val="22"/>
        </w:rPr>
      </w:pPr>
      <w:r>
        <w:rPr>
          <w:rFonts w:ascii="Times New Roman;serif" w:hAnsi="Times New Roman;serif"/>
          <w:b/>
          <w:color w:val="000000"/>
          <w:sz w:val="22"/>
        </w:rPr>
        <w:t>ELECTION OF DIRECTORS</w:t>
      </w:r>
    </w:p>
    <w:p>
      <w:pPr>
        <w:pStyle w:val="TextBody"/>
        <w:bidi w:val="0"/>
        <w:spacing w:before="0" w:after="0"/>
        <w:jc w:val="both"/>
        <w:rPr/>
      </w:pPr>
      <w:r>
        <w:rPr/>
      </w:r>
    </w:p>
    <w:p>
      <w:pPr>
        <w:pStyle w:val="TextBody"/>
        <w:bidi w:val="0"/>
        <w:spacing w:lineRule="auto" w:line="417" w:before="0" w:after="24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currently provide that the number of directors constituting the Board shall be determined solely and exclusively by resolution duly adopted from time to time by the Board. There are six directors presently serving on our Board, and the number of directors to be elected at this Annual Meeting is six.</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proposes that the following six director nominees be elected to the Board to serve until the next annual meeting in 2027, or until his or her earlier resignation, death, or removal. </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Nominees for Directors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Each nominee is listed below, along with their age as of the date of this Proxy Statement.</w:t>
      </w:r>
    </w:p>
    <w:tbl>
      <w:tblPr>
        <w:tblW w:w="2292" w:type="dxa"/>
        <w:jc w:val="left"/>
        <w:tblInd w:w="0" w:type="dxa"/>
        <w:tblLayout w:type="fixed"/>
        <w:tblCellMar>
          <w:top w:w="28" w:type="dxa"/>
          <w:left w:w="28" w:type="dxa"/>
          <w:bottom w:w="28" w:type="dxa"/>
          <w:right w:w="28" w:type="dxa"/>
        </w:tblCellMar>
      </w:tblPr>
      <w:tblGrid>
        <w:gridCol w:w="537"/>
        <w:gridCol w:w="471"/>
        <w:gridCol w:w="476"/>
        <w:gridCol w:w="109"/>
        <w:gridCol w:w="109"/>
        <w:gridCol w:w="109"/>
        <w:gridCol w:w="140"/>
        <w:gridCol w:w="140"/>
        <w:gridCol w:w="201"/>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Priore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Crisafulli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Marietta Davis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Christina Favilla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Clayton Main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Passilla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bl>
    <w:p>
      <w:pPr>
        <w:pStyle w:val="TextBody"/>
        <w:bidi w:val="0"/>
        <w:spacing w:lineRule="auto" w:line="417" w:before="120" w:after="240"/>
        <w:jc w:val="both"/>
        <w:rPr>
          <w:rFonts w:ascii="Times New Roman;serif" w:hAnsi="Times New Roman;serif"/>
          <w:b w:val="false"/>
          <w:color w:val="000000"/>
          <w:sz w:val="20"/>
        </w:rPr>
      </w:pPr>
      <w:r>
        <w:rPr>
          <w:rFonts w:ascii="Times New Roman;serif" w:hAnsi="Times New Roman;serif"/>
          <w:b w:val="false"/>
          <w:color w:val="000000"/>
          <w:sz w:val="20"/>
        </w:rPr>
        <w:t>Certain biographical information about the nominees as of the date of this Proxy Statement can be found above under "Executive Officers and Board of Directors."</w:t>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Interests of Mr. Priore in the Election of Directors</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val="false"/>
          <w:color w:val="000000"/>
          <w:sz w:val="20"/>
        </w:rPr>
        <w:t>Stockholders should be aware that Thomas Priore, a nominee for election as a director at this Annual Meeting, is also the leader of the investor group that submitted the preliminary, non-binding proposal to acquire all of the outstanding shares of the Company's common stock not already owned by the Proposing Shareholders for cash consideration in the range of $6.00 to $6.15 per share, as described in “</w:t>
      </w:r>
      <w:r>
        <w:rPr>
          <w:rFonts w:ascii="Times New Roman;serif" w:hAnsi="Times New Roman;serif"/>
          <w:b w:val="false"/>
          <w:i/>
          <w:color w:val="000000"/>
          <w:sz w:val="20"/>
        </w:rPr>
        <w:t>Corporate Governance — Special Committee</w:t>
      </w:r>
      <w:r>
        <w:rPr>
          <w:rFonts w:ascii="Times New Roman;serif" w:hAnsi="Times New Roman;serif"/>
          <w:b w:val="false"/>
          <w:color w:val="000000"/>
          <w:sz w:val="20"/>
        </w:rPr>
        <w:t>.” Mr. Priore serves as the Company's Chairman and Chief Executive Officer. As of November 9, 2025, Mr. Priore beneficially owned approximately 56.7% of the Company's outstanding common stock, including shares held by his affiliated entities. Mr. Priore has interests in the outcome of this election, and the other proposals at this Annual Meeting, that may differ from, or be in addition to, the interests of the Company's other stockholders. The Special Committee of independent and disinterested directors is evaluating the Proposal independently of Mr. Priore, and Mr. Priore has not participated, and will not participate, in the Special Committee's evaluation or deliberations.</w:t>
      </w:r>
    </w:p>
    <w:p>
      <w:pPr>
        <w:pStyle w:val="TextBody"/>
        <w:bidi w:val="0"/>
        <w:spacing w:before="0" w:after="0"/>
        <w:jc w:val="left"/>
        <w:rPr/>
      </w:pPr>
      <w:r>
        <w:rPr/>
      </w:r>
    </w:p>
    <w:p>
      <w:pPr>
        <w:pStyle w:val="TextBody"/>
        <w:bidi w:val="0"/>
        <w:spacing w:lineRule="auto" w:line="417" w:before="0" w:after="240"/>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bylaws, a nominee must receive the vote of a plurality of the votes cast with respect to that director's election by the shares present or represented by proxy at the Annual Meeting and entitled to vote on the election of directors. This means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pStyle w:val="TextBody"/>
        <w:bidi w:val="0"/>
        <w:spacing w:lineRule="auto" w:line="417" w:before="0" w:after="240"/>
        <w:jc w:val="both"/>
        <w:rPr>
          <w:rFonts w:ascii="Times New Roman;serif" w:hAnsi="Times New Roman;serif"/>
          <w:b/>
          <w:color w:val="000000"/>
          <w:sz w:val="20"/>
        </w:rPr>
      </w:pPr>
      <w:r>
        <w:rPr>
          <w:rFonts w:ascii="Times New Roman;serif" w:hAnsi="Times New Roman;serif"/>
          <w:b/>
          <w:color w:val="000000"/>
          <w:sz w:val="20"/>
        </w:rPr>
        <w:t>The Board recommends a vote "FOR" the election of each of the director nominees listed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417" w:before="0" w:after="240"/>
        <w:jc w:val="center"/>
        <w:rPr>
          <w:rFonts w:ascii="Times New Roman;serif" w:hAnsi="Times New Roman;serif"/>
          <w:b/>
          <w:color w:val="000000"/>
          <w:sz w:val="22"/>
        </w:rPr>
      </w:pPr>
      <w:r>
        <w:rPr>
          <w:rFonts w:ascii="Times New Roman;serif" w:hAnsi="Times New Roman;serif"/>
          <w:b/>
          <w:color w:val="000000"/>
          <w:sz w:val="22"/>
        </w:rPr>
        <w:t>PROPOSAL NUMBER TWO</w:t>
      </w:r>
    </w:p>
    <w:p>
      <w:pPr>
        <w:pStyle w:val="TextBody"/>
        <w:bidi w:val="0"/>
        <w:spacing w:lineRule="auto" w:line="417" w:before="0" w:after="240"/>
        <w:jc w:val="center"/>
        <w:rPr>
          <w:rFonts w:ascii="Times New Roman;serif" w:hAnsi="Times New Roman;serif"/>
          <w:b/>
          <w:color w:val="000000"/>
          <w:sz w:val="22"/>
        </w:rPr>
      </w:pPr>
      <w:r>
        <w:rPr>
          <w:rFonts w:ascii="Times New Roman;serif" w:hAnsi="Times New Roman;serif"/>
          <w:b/>
          <w:color w:val="000000"/>
          <w:sz w:val="22"/>
        </w:rPr>
        <w:t>APPROVAL OF PROPOSED AMENDMENT NO. 2 TO THE PRIORITY TECHNOLOGY HOLDINGS, INC. 2018 EQUITY INCENTIVE PLAN</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Priority Technology Holdings, Inc. 2018 Equity Incentive Plan (the “Equity Plan”) allows us to provide a variety of equity-based incentives and rewards to selected directors, consultants, officers and other key employees of the Company. We offer these incentives and rewards in order to assist in recruiting and retaining directors, consultants, advisors, officers and other employees. The plan previously reserved for issuance pursuant to awards up to an aggregate of 9,185,696 shares of our common stock. Additionally, if any award granted under the Equity Plan expires, terminates or is canceled or forfeited without being settled or exercised, or if a stock appreciation rights is settled in cash or otherwise without the issuance of shares, shares of our common stock subject to such award will again be made available for future grants. In addition, if any shares are surrendered or tendered to pay the exercise price of an award or to satisfy withholding taxes owed, such shares will again be available for grants under the Equity Plan.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5, 2026, the Board unanimously approved an amendment to the Equity Plan, subject to approval by our shareholders at this Annual Meeting, to increase the number of shares authorized for issuance under the plan by 8,000,000 shares of our common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Proposed Amendment </w: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Times New Roman;serif" w:hAnsi="Times New Roman;serif"/>
          <w:b/>
          <w:i/>
          <w:color w:val="000000"/>
          <w:sz w:val="20"/>
        </w:rPr>
        <w:t xml:space="preserve">The amendment would increase the number of shares authorized for issuance under the Plan by 8,000,000 shares to a total of 17,185,696 </w:t>
      </w:r>
      <w:r>
        <w:rPr>
          <w:rFonts w:ascii="Times New Roman;serif" w:hAnsi="Times New Roman;serif"/>
          <w:b/>
          <w:color w:val="000000"/>
          <w:sz w:val="20"/>
        </w:rPr>
        <w:t xml:space="preserve">shares. </w:t>
      </w:r>
      <w:r>
        <w:rPr>
          <w:rFonts w:ascii="Times New Roman;serif" w:hAnsi="Times New Roman;serif"/>
          <w:b w:val="false"/>
          <w:color w:val="000000"/>
          <w:sz w:val="20"/>
        </w:rPr>
        <w:t xml:space="preserve">An increase in the aggregate number of shares authorized for issuance or transfer under the Equity Plan will allow us to continue to grant a variety of equity and incentive awards as a valuable tool to help us attract and retain our directors, consultants, advisors, officers and other employees, more closely align their interests with those of our shareholders, and motivate award recipients to increase shareholder value by contributing to the long-term growth and success of the Company. </w:t>
      </w:r>
    </w:p>
    <w:p>
      <w:pPr>
        <w:pStyle w:val="TextBody"/>
        <w:bidi w:val="0"/>
        <w:spacing w:before="0" w:after="0"/>
        <w:ind w:left="0" w:right="0" w:firstLine="720"/>
        <w:jc w:val="both"/>
        <w:rPr/>
      </w:pPr>
      <w:r>
        <w:rPr/>
      </w:r>
    </w:p>
    <w:p>
      <w:pPr>
        <w:pStyle w:val="TextBody"/>
        <w:bidi w:val="0"/>
        <w:spacing w:lineRule="auto" w:line="41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carefully manages the equity awards and share usage under our equity plans. The requested increase is intended to provide the Company with a moderate pool to fund equity and incentive awards, which we believe are in line with competitive practices and will further shareholder interests. </w:t>
      </w:r>
    </w:p>
    <w:p>
      <w:pPr>
        <w:pStyle w:val="TextBody"/>
        <w:bidi w:val="0"/>
        <w:spacing w:before="0" w:after="0"/>
        <w:ind w:left="0" w:right="0" w:firstLine="720"/>
        <w:jc w:val="both"/>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Relationship to the Preliminary Take-Private Proposal</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received a preliminary, non-binding proposal from the Proposing Shareholders to acquire all of the outstanding shares of the Company's common stock not already owned by the Proposing Shareholders in a Take-Private transaction. If Amendment No. 2 is approved and additional awards are subsequently granted under the Equity Plan, those awards may be affected by any definitive agreement entered into with respect to the Proposed Take-Private Transaction, including with respect to the treatment of outstanding equity awards upon consummation of any such transaction. No definitive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both"/>
        <w:rPr/>
      </w:pPr>
      <w:r>
        <w:rPr>
          <w:rFonts w:ascii="Times New Roman;serif" w:hAnsi="Times New Roman;serif"/>
          <w:b w:val="false"/>
          <w:color w:val="000000"/>
          <w:sz w:val="20"/>
        </w:rPr>
        <w:t>agreement has been reached as of the date of this Proxy Statement, and there can be no assurance that any transaction will be consummated. The Board believes that the approval of Amendment No. 2 is in the best interests of the Company and its stockholders regardless of the outcome of the Special Committee's evaluation of the Proposal, because the additional shares are needed to support the Company's ability to attract and retain key personnel. Stockholders should consider the pendency of the Proposal in evaluating this proposal. For additional information, see “</w:t>
      </w:r>
      <w:r>
        <w:rPr>
          <w:rFonts w:ascii="Times New Roman;serif" w:hAnsi="Times New Roman;serif"/>
          <w:b w:val="false"/>
          <w:i/>
          <w:color w:val="000000"/>
          <w:sz w:val="20"/>
        </w:rPr>
        <w:t>Corporate Governance — Special Committee</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approval of Proposal Number Two requires the affirmative vote of a majority of the votes properly cast at our Annual Meeting. Abstentions are not considered votes cast and thus will not affect the outcome of this proposal. </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The Board recommends that you vote FOR approval of the amendment No. 2 to the Priority Technology Holdings, Inc. 2018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240"/>
        <w:jc w:val="center"/>
        <w:rPr>
          <w:rFonts w:ascii="Times New Roman;serif" w:hAnsi="Times New Roman;serif"/>
          <w:b/>
          <w:color w:val="000000"/>
          <w:sz w:val="22"/>
        </w:rPr>
      </w:pPr>
      <w:r>
        <w:rPr>
          <w:rFonts w:ascii="Times New Roman;serif" w:hAnsi="Times New Roman;serif"/>
          <w:b/>
          <w:color w:val="000000"/>
          <w:sz w:val="22"/>
        </w:rPr>
        <w:t>PROPOSAL NUMBER THREE</w:t>
      </w:r>
    </w:p>
    <w:p>
      <w:pPr>
        <w:pStyle w:val="TextBody"/>
        <w:bidi w:val="0"/>
        <w:spacing w:lineRule="auto" w:line="417" w:before="0" w:after="240"/>
        <w:jc w:val="center"/>
        <w:rPr>
          <w:rFonts w:ascii="Times New Roman;serif" w:hAnsi="Times New Roman;serif"/>
          <w:b/>
          <w:color w:val="000000"/>
          <w:sz w:val="22"/>
        </w:rPr>
      </w:pPr>
      <w:r>
        <w:rPr>
          <w:rFonts w:ascii="Times New Roman;serif" w:hAnsi="Times New Roman;serif"/>
          <w:b/>
          <w:color w:val="000000"/>
          <w:sz w:val="22"/>
        </w:rPr>
        <w:t>APPROVAL OF ADVISORY VOTE ON NAMED EXECUTIVE OFFICER COMPENSATION</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Section 14A of the Securities Exchange Act (the “Exchange Act”), we are required to provide our stockholders with the opportunity to vote to approve, on an advisory, non-binding basis, the compensation of our NEOs as disclosed in this Proxy Statement in accordance with the SEC’s rules.</w:t>
      </w:r>
    </w:p>
    <w:p>
      <w:pPr>
        <w:pStyle w:val="TextBody"/>
        <w:bidi w:val="0"/>
        <w:spacing w:lineRule="auto" w:line="417" w:before="0" w:after="240"/>
        <w:jc w:val="both"/>
        <w:rPr/>
      </w:pPr>
      <w:r>
        <w:rPr>
          <w:rFonts w:ascii="Times New Roman;serif" w:hAnsi="Times New Roman;serif"/>
          <w:b w:val="false"/>
          <w:color w:val="000000"/>
          <w:sz w:val="20"/>
        </w:rPr>
        <w:t xml:space="preserve">As described in detail in the </w:t>
      </w:r>
      <w:r>
        <w:rPr>
          <w:rFonts w:ascii="Times New Roman;serif" w:hAnsi="Times New Roman;serif"/>
          <w:b w:val="false"/>
          <w:i/>
          <w:color w:val="000000"/>
          <w:sz w:val="20"/>
        </w:rPr>
        <w:t>Compensation of Executive Officers and Compensation of Directors</w:t>
      </w:r>
      <w:r>
        <w:rPr>
          <w:color w:val="000000"/>
        </w:rPr>
        <w:t xml:space="preserve"> </w:t>
      </w:r>
      <w:r>
        <w:rPr>
          <w:rFonts w:ascii="Times New Roman;serif" w:hAnsi="Times New Roman;serif"/>
          <w:b w:val="false"/>
          <w:color w:val="000000"/>
          <w:sz w:val="20"/>
        </w:rPr>
        <w:t xml:space="preserve">sections above, our executive compensation programs are designed to attract, retain, and motivate executives of superior ability who are dedicated to the long-term interests of our stockholders. Under these programs, our NEOs are rewarded for the achievement of specific annual, long-term, and strategic goals, corporate goals, and the realization of increased stockholder value. </w:t>
      </w:r>
    </w:p>
    <w:p>
      <w:pPr>
        <w:pStyle w:val="TextBody"/>
        <w:bidi w:val="0"/>
        <w:spacing w:lineRule="auto" w:line="417" w:before="0" w:after="240"/>
        <w:jc w:val="both"/>
        <w:rPr/>
      </w:pPr>
      <w:r>
        <w:rPr>
          <w:rFonts w:ascii="Times New Roman;serif" w:hAnsi="Times New Roman;serif"/>
          <w:b w:val="false"/>
          <w:color w:val="000000"/>
          <w:sz w:val="20"/>
        </w:rPr>
        <w:t xml:space="preserve">Highlights of our executive compensation program, as described in the </w:t>
      </w:r>
      <w:r>
        <w:rPr>
          <w:rFonts w:ascii="Times New Roman;serif" w:hAnsi="Times New Roman;serif"/>
          <w:b w:val="false"/>
          <w:i/>
          <w:color w:val="000000"/>
          <w:sz w:val="20"/>
        </w:rPr>
        <w:t>Compensation of Executive Officers and Compensation of Directors</w:t>
      </w:r>
      <w:r>
        <w:rPr>
          <w:color w:val="000000"/>
        </w:rPr>
        <w:t xml:space="preserve"> </w:t>
      </w:r>
      <w:r>
        <w:rPr>
          <w:rFonts w:ascii="Times New Roman;serif" w:hAnsi="Times New Roman;serif"/>
          <w:b w:val="false"/>
          <w:color w:val="000000"/>
          <w:sz w:val="20"/>
        </w:rPr>
        <w:t xml:space="preserve">section, include: </w:t>
      </w:r>
    </w:p>
    <w:p>
      <w:pPr>
        <w:pStyle w:val="TextBody"/>
        <w:bidi w:val="0"/>
        <w:spacing w:lineRule="auto" w:line="417" w:before="0" w:after="240"/>
        <w:ind w:left="0" w:right="0" w:hanging="360"/>
        <w:jc w:val="both"/>
        <w:rPr/>
      </w:pPr>
      <w:r>
        <w:rPr>
          <w:color w:val="000000"/>
        </w:rPr>
        <w:t>•</w:t>
      </w:r>
      <w:r>
        <w:rPr>
          <w:rFonts w:ascii="Times New Roman;serif" w:hAnsi="Times New Roman;serif"/>
          <w:b w:val="false"/>
          <w:color w:val="000000"/>
          <w:sz w:val="20"/>
        </w:rPr>
        <w:t>compensation programs that are performance-based and align executive officer incentives with stockholder interests over multiple timeframes;</w:t>
      </w:r>
    </w:p>
    <w:p>
      <w:pPr>
        <w:pStyle w:val="TextBody"/>
        <w:bidi w:val="0"/>
        <w:spacing w:lineRule="auto" w:line="417" w:before="0" w:after="240"/>
        <w:ind w:left="0" w:right="0" w:hanging="360"/>
        <w:jc w:val="both"/>
        <w:rPr/>
      </w:pPr>
      <w:r>
        <w:rPr>
          <w:color w:val="000000"/>
        </w:rPr>
        <w:t>•</w:t>
      </w:r>
      <w:r>
        <w:rPr>
          <w:rFonts w:ascii="Times New Roman;serif" w:hAnsi="Times New Roman;serif"/>
          <w:b w:val="false"/>
          <w:color w:val="000000"/>
          <w:sz w:val="20"/>
        </w:rPr>
        <w:t>annual incentives that are earned based on performance measured against specific financial and strategic objectives for an executive’s area of responsibility, together with a qualitative assessment of performance;</w:t>
      </w:r>
    </w:p>
    <w:p>
      <w:pPr>
        <w:pStyle w:val="TextBody"/>
        <w:bidi w:val="0"/>
        <w:spacing w:lineRule="auto" w:line="417" w:before="0" w:after="240"/>
        <w:ind w:left="0" w:right="0" w:hanging="360"/>
        <w:jc w:val="both"/>
        <w:rPr/>
      </w:pPr>
      <w:r>
        <w:rPr>
          <w:color w:val="000000"/>
        </w:rPr>
        <w:t>•</w:t>
      </w:r>
      <w:r>
        <w:rPr>
          <w:rFonts w:ascii="Times New Roman;serif" w:hAnsi="Times New Roman;serif"/>
          <w:b w:val="false"/>
          <w:color w:val="000000"/>
          <w:sz w:val="20"/>
        </w:rPr>
        <w:t>at-risk pay and compensation design that reflect an executive officer’s impact on Corporation performance over time; and</w:t>
      </w:r>
    </w:p>
    <w:p>
      <w:pPr>
        <w:pStyle w:val="TextBody"/>
        <w:bidi w:val="0"/>
        <w:spacing w:lineRule="auto" w:line="417" w:before="0" w:after="240"/>
        <w:ind w:left="0" w:right="0" w:hanging="360"/>
        <w:jc w:val="both"/>
        <w:rPr/>
      </w:pPr>
      <w:r>
        <w:rPr>
          <w:color w:val="000000"/>
        </w:rPr>
        <w:t>•</w:t>
      </w:r>
      <w:r>
        <w:rPr>
          <w:rFonts w:ascii="Times New Roman;serif" w:hAnsi="Times New Roman;serif"/>
          <w:b w:val="false"/>
          <w:color w:val="000000"/>
          <w:sz w:val="20"/>
        </w:rPr>
        <w:t>appropriate risk management practices, including a clawback policy, anti-hedging policy, anti-pledging policy, stock ownership requirements, net share retention ratio, and net hold requirements with respect to equity grants.</w:t>
      </w:r>
    </w:p>
    <w:p>
      <w:pPr>
        <w:pStyle w:val="TextBody"/>
        <w:bidi w:val="0"/>
        <w:spacing w:lineRule="auto" w:line="417" w:before="0" w:after="240"/>
        <w:jc w:val="both"/>
        <w:rPr/>
      </w:pPr>
      <w:r>
        <w:rPr>
          <w:rFonts w:ascii="Times New Roman;serif" w:hAnsi="Times New Roman;serif"/>
          <w:b w:val="false"/>
          <w:color w:val="000000"/>
          <w:sz w:val="20"/>
        </w:rPr>
        <w:t xml:space="preserve">We are asking our shareholders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ask our stockholders to vote FOR the approval, on an advisory basis, of the compensation of our NEOs, as disclosed in this Proxy Statement, including the </w:t>
      </w:r>
      <w:r>
        <w:rPr>
          <w:rFonts w:ascii="Times New Roman;serif" w:hAnsi="Times New Roman;serif"/>
          <w:b w:val="false"/>
          <w:i/>
          <w:color w:val="000000"/>
          <w:sz w:val="20"/>
        </w:rPr>
        <w:t>Compensation of Executive Officers and Compensation of Directors</w:t>
      </w:r>
      <w:r>
        <w:rPr>
          <w:color w:val="000000"/>
        </w:rPr>
        <w:t xml:space="preserve"> </w:t>
      </w:r>
      <w:r>
        <w:rPr>
          <w:rFonts w:ascii="Times New Roman;serif" w:hAnsi="Times New Roman;serif"/>
          <w:b w:val="false"/>
          <w:color w:val="000000"/>
          <w:sz w:val="20"/>
        </w:rPr>
        <w:t>section, the 2025 Summary Compensation Table, and the other related tables and narrative discussion.</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Though the say-on-pay vote is advisory, and therefore not binding, our Board of Directors and the Compensation Committee value the opinions of our stockholders, and the Compensation Committee will consider the voting results when making future decisions regarding executive compensation as it deems appropriate. We expect to hold our next say-on-pay vote in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240"/>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approval of Proposal Number Three requires the affirmative vote of a majority of the votes properly cast at our Annual Meeting. Abstentions are not considered votes cast and thus will not affect the outcome of this proposal. </w:t>
      </w:r>
    </w:p>
    <w:p>
      <w:pPr>
        <w:pStyle w:val="TextBody"/>
        <w:bidi w:val="0"/>
        <w:spacing w:lineRule="auto" w:line="417" w:before="0" w:after="240"/>
        <w:jc w:val="both"/>
        <w:rPr>
          <w:rFonts w:ascii="Times New Roman;serif" w:hAnsi="Times New Roman;serif"/>
          <w:b/>
          <w:color w:val="000000"/>
          <w:sz w:val="20"/>
        </w:rPr>
      </w:pPr>
      <w:r>
        <w:rPr>
          <w:rFonts w:ascii="Times New Roman;serif" w:hAnsi="Times New Roman;serif"/>
          <w:b/>
          <w:color w:val="000000"/>
          <w:sz w:val="20"/>
        </w:rPr>
        <w:t>The Board recommends a vote “FOR” Proposal Number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417" w:before="0" w:after="240"/>
        <w:jc w:val="center"/>
        <w:rPr>
          <w:rFonts w:ascii="Times New Roman;serif" w:hAnsi="Times New Roman;serif"/>
          <w:b/>
          <w:color w:val="000000"/>
          <w:sz w:val="22"/>
        </w:rPr>
      </w:pPr>
      <w:r>
        <w:rPr>
          <w:rFonts w:ascii="Times New Roman;serif" w:hAnsi="Times New Roman;serif"/>
          <w:b/>
          <w:color w:val="000000"/>
          <w:sz w:val="22"/>
        </w:rPr>
        <w:t>PROPOSAL NUMBER FOUR</w:t>
      </w:r>
    </w:p>
    <w:p>
      <w:pPr>
        <w:pStyle w:val="TextBody"/>
        <w:bidi w:val="0"/>
        <w:spacing w:lineRule="auto" w:line="417" w:before="0" w:after="240"/>
        <w:jc w:val="center"/>
        <w:rPr>
          <w:rFonts w:ascii="Times New Roman;serif" w:hAnsi="Times New Roman;serif"/>
          <w:b/>
          <w:color w:val="000000"/>
          <w:sz w:val="22"/>
        </w:rPr>
      </w:pPr>
      <w:r>
        <w:rPr>
          <w:rFonts w:ascii="Times New Roman;serif" w:hAnsi="Times New Roman;serif"/>
          <w:b/>
          <w:color w:val="000000"/>
          <w:sz w:val="22"/>
        </w:rPr>
        <w:t>RATIFICATION OF INDEPENDENT REGISTERED PUBLIC ACCOUNTING FIRM</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of the Board has appointed KPMG to serve as the Company's independent registered public accounting firm for the year ending December 31, 2026. The Board is submitting the appointment of KPMG as the Company's independent registered public accounting firm for stockholder ratification and recommends that stockholders ratify this appointment. Stockholder ratification of the appointment of KPMG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KPMG.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KPMG is expected to attend the Annual Meeting, and he or she will have the opportunity to make a statement and will be available to respond to appropriate questions. For additional information regarding the Company's relationship with KPMG, please refer to the Audit Committee Report above. </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 xml:space="preserve">Principal Accounting Fees and Services </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fees for professional services provided by EY, our independent registered public accounting firm for fiscal years 2025 and 2024 prior to the appointment of KPMG for fiscal year 2026. </w:t>
      </w:r>
    </w:p>
    <w:tbl>
      <w:tblPr>
        <w:tblW w:w="4524" w:type="dxa"/>
        <w:jc w:val="left"/>
        <w:tblInd w:w="0" w:type="dxa"/>
        <w:tblLayout w:type="fixed"/>
        <w:tblCellMar>
          <w:top w:w="28" w:type="dxa"/>
          <w:left w:w="28" w:type="dxa"/>
          <w:bottom w:w="28" w:type="dxa"/>
          <w:right w:w="28" w:type="dxa"/>
        </w:tblCellMar>
      </w:tblPr>
      <w:tblGrid>
        <w:gridCol w:w="564"/>
        <w:gridCol w:w="495"/>
        <w:gridCol w:w="501"/>
        <w:gridCol w:w="211"/>
        <w:gridCol w:w="976"/>
        <w:gridCol w:w="109"/>
        <w:gridCol w:w="109"/>
        <w:gridCol w:w="109"/>
        <w:gridCol w:w="109"/>
        <w:gridCol w:w="211"/>
        <w:gridCol w:w="97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3,577,781 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240"/>
        <w:jc w:val="left"/>
        <w:rPr>
          <w:rFonts w:ascii="Times New Roman;serif" w:hAnsi="Times New Roman;serif"/>
          <w:b w:val="false"/>
          <w:color w:val="000000"/>
          <w:sz w:val="20"/>
        </w:rPr>
      </w:pPr>
      <w:r>
        <w:rPr>
          <w:rFonts w:ascii="Times New Roman;serif" w:hAnsi="Times New Roman;serif"/>
          <w:b w:val="false"/>
          <w:color w:val="000000"/>
          <w:sz w:val="20"/>
        </w:rPr>
        <w:br/>
        <w:t xml:space="preserve">The amounts reported as audit fees are fees, including out-of-pocket expenses, for the current-year audit and related quarterly reviews irrespective of the period in which the related services are rendered or billed. Audit fees include fees associated with the annual audit of the Company’s consolidated financial statements included in the Annual Report on Form 10-K, review of quarterly reports on Form 10-Q, SEC regulatory filings, and statutory audits. </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The amounts reported as audit-related, tax and all other fees are fees billed, including out-of-pocket expenses, for services rendered during the fiscal year, even if the auditor did not bill the registrant for those services until after year end. The audit-related fees for 2025 include fees billed for professional services in connection with review of the Form S-8. Tax fees include fees associated with tax compliance services, including the preparation, review and filing of certain tax returns, as well as tax advisory services. All other fees include fees associated with advisory services, including fees associated with the Company’s acquisition in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Policy on Audit Committee Pre-Approval of Audit and Permissible Non-Audit Services of Independent Auditors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The Audit Committee has also adopted policies and procedures for pre-approving all non-audit work performed by KPMG. The Audit Committee has pre-approved the use, as needed, of KPMG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 and pre-approval by the Audit Committee. All services rendered by KPMG in the table above were pre-approved by the Audit Committee.</w:t>
      </w:r>
    </w:p>
    <w:p>
      <w:pPr>
        <w:pStyle w:val="TextBody"/>
        <w:bidi w:val="0"/>
        <w:spacing w:lineRule="auto" w:line="417" w:before="0" w:after="240"/>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The approval of Proposal Number Four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pStyle w:val="TextBody"/>
        <w:bidi w:val="0"/>
        <w:spacing w:lineRule="auto" w:line="417" w:before="0" w:after="240"/>
        <w:jc w:val="both"/>
        <w:rPr>
          <w:rFonts w:ascii="Times New Roman;serif" w:hAnsi="Times New Roman;serif"/>
          <w:b/>
          <w:color w:val="000000"/>
          <w:sz w:val="20"/>
        </w:rPr>
      </w:pPr>
      <w:r>
        <w:rPr>
          <w:rFonts w:ascii="Times New Roman;serif" w:hAnsi="Times New Roman;serif"/>
          <w:b/>
          <w:color w:val="000000"/>
          <w:sz w:val="20"/>
        </w:rPr>
        <w:t>The Board recommends a vote "FOR" the ratification of the appointment of KPMG LLP as the Company's independent registered public accounting firm for the year ending December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86" w:before="0" w:after="0"/>
        <w:jc w:val="both"/>
        <w:rPr/>
      </w:pPr>
      <w:hyperlink w:anchor="i584f698d6d294df7b07b49f5d3d4b733_13">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417" w:before="0" w:after="240"/>
        <w:jc w:val="center"/>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pStyle w:val="TextBody"/>
        <w:bidi w:val="0"/>
        <w:spacing w:lineRule="auto" w:line="417" w:before="0" w:after="240"/>
        <w:jc w:val="both"/>
        <w:rPr>
          <w:rFonts w:ascii="Times New Roman;serif" w:hAnsi="Times New Roman;serif"/>
          <w:b/>
          <w:i/>
          <w:color w:val="000000"/>
          <w:sz w:val="20"/>
        </w:rPr>
      </w:pPr>
      <w:r>
        <w:rPr>
          <w:rFonts w:ascii="Times New Roman;serif" w:hAnsi="Times New Roman;serif"/>
          <w:b/>
          <w:i/>
          <w:color w:val="000000"/>
          <w:sz w:val="20"/>
        </w:rPr>
        <w:t>Stockholder Proposals and Director Nominations for the 2027 Annual Meeting</w:t>
      </w:r>
    </w:p>
    <w:p>
      <w:pPr>
        <w:pStyle w:val="TextBody"/>
        <w:bidi w:val="0"/>
        <w:spacing w:lineRule="auto" w:line="417"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our 2027 Annual Meeting will be held in June 2027. Stockholders of record who intend to nominate a candidate for director or submit a proposal at the annual meeting of stockholders in 2027 must provide written notice to the Company in accordance with our bylaws. Under our bylaws, such notice must be received at the Company's principal executive offices, addressed to the Secretary of the Company, not earlier than February 11, 2027 nor later than March 13, 2027, which are dates at least 90 days but not more than 120 days in advance of the first anniversary of the date of the 2026 Annual Meeting. Stockholders are also advised to review our bylaws, which contain additional requirements about advance notice of stockholder proposals and director nominations.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28"/>
        <w:gridCol w:w="551"/>
        <w:gridCol w:w="553"/>
        <w:gridCol w:w="2479"/>
        <w:gridCol w:w="2479"/>
        <w:gridCol w:w="3515"/>
      </w:tblGrid>
      <w:tr>
        <w:trPr/>
        <w:tc>
          <w:tcPr>
            <w:tcW w:w="6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PRIORITY TECHNOLOGY HOLDINGS, INC.</w:t>
            </w:r>
          </w:p>
        </w:tc>
        <w:tc>
          <w:tcPr>
            <w:tcW w:w="8473" w:type="dxa"/>
            <w:gridSpan w:val="3"/>
            <w:vMerge w:val="restart"/>
            <w:tcBorders/>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color w:val="000000"/>
                <w:sz w:val="16"/>
              </w:rPr>
            </w:pPr>
            <w:r>
              <w:rPr>
                <w:rFonts w:ascii="Times New Roman;serif" w:hAnsi="Times New Roman;serif"/>
                <w:b/>
                <w:color w:val="000000"/>
                <w:sz w:val="16"/>
              </w:rPr>
              <w:t>VOTE BY INTERNET</w:t>
            </w:r>
          </w:p>
          <w:p>
            <w:pPr>
              <w:pStyle w:val="TableContents"/>
              <w:bidi w:val="0"/>
              <w:spacing w:lineRule="auto" w:line="333" w:before="0" w:after="0"/>
              <w:jc w:val="left"/>
              <w:rPr>
                <w:rFonts w:ascii="Times New Roman;serif" w:hAnsi="Times New Roman;serif"/>
                <w:b/>
                <w:color w:val="000000"/>
                <w:sz w:val="16"/>
              </w:rPr>
            </w:pPr>
            <w:r>
              <w:rPr>
                <w:rFonts w:ascii="Times New Roman;serif" w:hAnsi="Times New Roman;serif"/>
                <w:b/>
                <w:color w:val="000000"/>
                <w:sz w:val="16"/>
              </w:rPr>
              <w:t xml:space="preserve">Before the Annual Meeting - Go to www.proxyvote.com </w:t>
            </w:r>
          </w:p>
          <w:p>
            <w:pPr>
              <w:pStyle w:val="TableContents"/>
              <w:bidi w:val="0"/>
              <w:spacing w:before="0" w:after="0"/>
              <w:jc w:val="left"/>
              <w:rPr/>
            </w:pPr>
            <w:r>
              <w:rPr/>
            </w:r>
          </w:p>
          <w:p>
            <w:pPr>
              <w:pStyle w:val="TableContents"/>
              <w:bidi w:val="0"/>
              <w:spacing w:lineRule="auto" w:line="333" w:before="0" w:after="0"/>
              <w:jc w:val="left"/>
              <w:rPr>
                <w:rFonts w:ascii="Times New Roman;serif" w:hAnsi="Times New Roman;serif"/>
                <w:b/>
                <w:color w:val="000000"/>
                <w:sz w:val="16"/>
              </w:rPr>
            </w:pPr>
            <w:r>
              <w:rPr>
                <w:rFonts w:ascii="Times New Roman;serif" w:hAnsi="Times New Roman;serif"/>
                <w:b/>
                <w:color w:val="000000"/>
                <w:sz w:val="16"/>
              </w:rPr>
              <w:t xml:space="preserve">Use the Internet to transmit your voting instructions and for electronic delivery of information. Vote by 11:59 P.M. ET on June 10, 2026 for shares held directly and by 11:59 P.M. ET on June 8, 2026 for shares held in a Plan. Have your proxy card in hand when you access the web site and follow the instructions to obtain your records and to create an electronic voting instruction form. </w:t>
            </w:r>
          </w:p>
          <w:p>
            <w:pPr>
              <w:pStyle w:val="TableContents"/>
              <w:bidi w:val="0"/>
              <w:spacing w:before="0" w:after="0"/>
              <w:jc w:val="left"/>
              <w:rPr/>
            </w:pPr>
            <w:r>
              <w:rPr/>
            </w:r>
          </w:p>
          <w:p>
            <w:pPr>
              <w:pStyle w:val="TableContents"/>
              <w:bidi w:val="0"/>
              <w:spacing w:lineRule="auto" w:line="333" w:before="0" w:after="0"/>
              <w:jc w:val="left"/>
              <w:rPr/>
            </w:pPr>
            <w:r>
              <w:rPr>
                <w:rFonts w:ascii="Times New Roman;serif" w:hAnsi="Times New Roman;serif"/>
                <w:b/>
                <w:color w:val="000000"/>
                <w:sz w:val="16"/>
              </w:rPr>
              <w:t xml:space="preserve">During the Annual Meeting - Go to </w:t>
            </w:r>
            <w:r>
              <w:rPr>
                <w:rFonts w:ascii="Times New Roman;serif" w:hAnsi="Times New Roman;serif"/>
                <w:b/>
                <w:color w:val="000000"/>
                <w:sz w:val="16"/>
                <w:u w:val="single"/>
              </w:rPr>
              <w:t>www.virtualshareholdermeeting.com/PRTH2026</w:t>
            </w:r>
            <w:r>
              <w:rPr>
                <w:rFonts w:ascii="Times New Roman;serif" w:hAnsi="Times New Roman;serif"/>
                <w:b/>
                <w:color w:val="000000"/>
                <w:sz w:val="16"/>
              </w:rPr>
              <w:t xml:space="preserve">. </w:t>
            </w:r>
          </w:p>
          <w:p>
            <w:pPr>
              <w:pStyle w:val="TableContents"/>
              <w:bidi w:val="0"/>
              <w:spacing w:lineRule="auto" w:line="333" w:before="0" w:after="0"/>
              <w:jc w:val="left"/>
              <w:rPr>
                <w:rFonts w:ascii="Times New Roman;serif" w:hAnsi="Times New Roman;serif"/>
                <w:b/>
                <w:color w:val="000000"/>
                <w:sz w:val="16"/>
              </w:rPr>
            </w:pPr>
            <w:r>
              <w:rPr>
                <w:rFonts w:ascii="Times New Roman;serif" w:hAnsi="Times New Roman;serif"/>
                <w:b/>
                <w:color w:val="000000"/>
                <w:sz w:val="16"/>
              </w:rPr>
              <w:t>You may attend the meeting via the Internet and vote during the meeting. Have the information that is printed in the box marked by the arrow available and follow the instructions.</w:t>
            </w:r>
          </w:p>
          <w:p>
            <w:pPr>
              <w:pStyle w:val="TableContents"/>
              <w:bidi w:val="0"/>
              <w:spacing w:before="0" w:after="0"/>
              <w:jc w:val="left"/>
              <w:rPr/>
            </w:pPr>
            <w:r>
              <w:rPr/>
            </w:r>
          </w:p>
          <w:p>
            <w:pPr>
              <w:pStyle w:val="TableContents"/>
              <w:bidi w:val="0"/>
              <w:spacing w:lineRule="auto" w:line="333" w:before="0" w:after="160"/>
              <w:jc w:val="left"/>
              <w:rPr>
                <w:rFonts w:ascii="Times New Roman;serif" w:hAnsi="Times New Roman;serif"/>
                <w:b/>
                <w:color w:val="000000"/>
                <w:sz w:val="16"/>
              </w:rPr>
            </w:pPr>
            <w:r>
              <w:rPr>
                <w:rFonts w:ascii="Times New Roman;serif" w:hAnsi="Times New Roman;serif"/>
                <w:b/>
                <w:color w:val="000000"/>
                <w:sz w:val="16"/>
              </w:rPr>
              <w:t xml:space="preserve">VOTE BY PHONE - 1-800-690-6903 </w:t>
            </w:r>
          </w:p>
          <w:p>
            <w:pPr>
              <w:pStyle w:val="TableContents"/>
              <w:bidi w:val="0"/>
              <w:spacing w:lineRule="auto" w:line="333" w:before="0" w:after="160"/>
              <w:jc w:val="left"/>
              <w:rPr>
                <w:rFonts w:ascii="Times New Roman;serif" w:hAnsi="Times New Roman;serif"/>
                <w:b/>
                <w:color w:val="000000"/>
                <w:sz w:val="16"/>
              </w:rPr>
            </w:pPr>
            <w:r>
              <w:rPr>
                <w:rFonts w:ascii="Times New Roman;serif" w:hAnsi="Times New Roman;serif"/>
                <w:b/>
                <w:color w:val="000000"/>
                <w:sz w:val="16"/>
              </w:rPr>
              <w:t xml:space="preserve">Use any touch-tone telephone to transmit your voting instructions. Vote by 11:59 P.M. ET on June 10, 2026 for shares held directly and by 11:59 P.M. ET on June 8, 2026 for shares held in a Plan. Have your proxy card in hand when you call and then follow the instructions. </w:t>
            </w:r>
          </w:p>
          <w:p>
            <w:pPr>
              <w:pStyle w:val="TableContents"/>
              <w:bidi w:val="0"/>
              <w:spacing w:lineRule="auto" w:line="333" w:before="0" w:after="160"/>
              <w:jc w:val="left"/>
              <w:rPr>
                <w:rFonts w:ascii="Times New Roman;serif" w:hAnsi="Times New Roman;serif"/>
                <w:b/>
                <w:color w:val="000000"/>
                <w:sz w:val="16"/>
              </w:rPr>
            </w:pPr>
            <w:r>
              <w:rPr>
                <w:rFonts w:ascii="Times New Roman;serif" w:hAnsi="Times New Roman;serif"/>
                <w:b/>
                <w:color w:val="000000"/>
                <w:sz w:val="16"/>
              </w:rPr>
              <w:t xml:space="preserve">VOTE BY MAIL </w:t>
            </w:r>
          </w:p>
          <w:p>
            <w:pPr>
              <w:pStyle w:val="TableContents"/>
              <w:bidi w:val="0"/>
              <w:spacing w:lineRule="auto" w:line="333" w:before="0" w:after="30"/>
              <w:jc w:val="left"/>
              <w:rPr>
                <w:rFonts w:ascii="Times New Roman;serif" w:hAnsi="Times New Roman;serif"/>
                <w:b/>
                <w:color w:val="000000"/>
                <w:sz w:val="16"/>
              </w:rPr>
            </w:pPr>
            <w:r>
              <w:rPr>
                <w:rFonts w:ascii="Times New Roman;serif" w:hAnsi="Times New Roman;serif"/>
                <w:b/>
                <w:color w:val="000000"/>
                <w:sz w:val="16"/>
              </w:rPr>
              <w:t>Mark, sign and date your proxy card and return it in the postage-paid envelope we have provided or return it to Vote Processing, c/o Broadridge, 51 Mercedes Way, Edgewood, NY 11717.</w:t>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2001 WESTSIDE PARKWAY</w:t>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SUITE 155</w:t>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ALPHARETTA, GEORGIA 30004</w:t>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 VOTE, MARK BLOCKS BELOW IN BLUE OR BLACK INK AS FOLLOWS: </w:t>
      </w:r>
    </w:p>
    <w:p>
      <w:pPr>
        <w:pStyle w:val="TextBody"/>
        <w:bidi w:val="0"/>
        <w:spacing w:lineRule="auto" w:line="386" w:before="0" w:after="0"/>
        <w:jc w:val="right"/>
        <w:rPr>
          <w:rFonts w:ascii="Times New Roman;serif" w:hAnsi="Times New Roman;serif"/>
          <w:b w:val="false"/>
          <w:color w:val="000000"/>
          <w:sz w:val="16"/>
        </w:rPr>
      </w:pPr>
      <w:r>
        <w:rPr>
          <w:rFonts w:ascii="Times New Roman;serif" w:hAnsi="Times New Roman;serif"/>
          <w:b w:val="false"/>
          <w:color w:val="000000"/>
          <w:sz w:val="16"/>
        </w:rPr>
        <w:t xml:space="preserve">KEEP THIS PORTION FOR YOUR RECORDS </w:t>
      </w:r>
    </w:p>
    <w:p>
      <w:pPr>
        <w:pStyle w:val="TextBody"/>
        <w:bidi w:val="0"/>
        <w:spacing w:lineRule="auto" w:line="386"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extBody"/>
        <w:bidi w:val="0"/>
        <w:spacing w:lineRule="auto" w:line="386" w:before="0" w:after="0"/>
        <w:jc w:val="right"/>
        <w:rPr>
          <w:rFonts w:ascii="Times New Roman;serif" w:hAnsi="Times New Roman;serif"/>
          <w:b w:val="false"/>
          <w:color w:val="000000"/>
          <w:sz w:val="16"/>
        </w:rPr>
      </w:pPr>
      <w:r>
        <w:rPr>
          <w:rFonts w:ascii="Times New Roman;serif" w:hAnsi="Times New Roman;serif"/>
          <w:b w:val="false"/>
          <w:color w:val="000000"/>
          <w:sz w:val="16"/>
        </w:rPr>
        <w:t xml:space="preserve">DETACH AND RETURN THIS PORTION ONLY </w:t>
      </w:r>
    </w:p>
    <w:p>
      <w:pPr>
        <w:pStyle w:val="TextBody"/>
        <w:bidi w:val="0"/>
        <w:spacing w:lineRule="auto" w:line="386" w:before="0" w:after="100"/>
        <w:jc w:val="left"/>
        <w:rPr>
          <w:rFonts w:ascii="Times New Roman;serif" w:hAnsi="Times New Roman;serif"/>
          <w:b/>
          <w:color w:val="000000"/>
          <w:sz w:val="16"/>
        </w:rPr>
      </w:pPr>
      <w:r>
        <w:rPr>
          <w:rFonts w:ascii="Times New Roman;serif" w:hAnsi="Times New Roman;serif"/>
          <w:b/>
          <w:color w:val="000000"/>
          <w:sz w:val="16"/>
        </w:rPr>
        <w:t xml:space="preserve">THIS PROXY CARD IS VALID ONLY WHEN SIGNED AND 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24"/>
        <w:gridCol w:w="985"/>
        <w:gridCol w:w="985"/>
        <w:gridCol w:w="335"/>
        <w:gridCol w:w="335"/>
        <w:gridCol w:w="341"/>
        <w:gridCol w:w="210"/>
        <w:gridCol w:w="210"/>
        <w:gridCol w:w="211"/>
        <w:gridCol w:w="210"/>
        <w:gridCol w:w="210"/>
        <w:gridCol w:w="211"/>
        <w:gridCol w:w="109"/>
        <w:gridCol w:w="109"/>
        <w:gridCol w:w="109"/>
        <w:gridCol w:w="786"/>
        <w:gridCol w:w="720"/>
        <w:gridCol w:w="722"/>
        <w:gridCol w:w="109"/>
        <w:gridCol w:w="109"/>
        <w:gridCol w:w="109"/>
        <w:gridCol w:w="115"/>
        <w:gridCol w:w="115"/>
        <w:gridCol w:w="116"/>
        <w:gridCol w:w="210"/>
        <w:gridCol w:w="210"/>
        <w:gridCol w:w="211"/>
        <w:gridCol w:w="198"/>
        <w:gridCol w:w="198"/>
        <w:gridCol w:w="283"/>
      </w:tblGrid>
      <w:tr>
        <w:trPr/>
        <w:tc>
          <w:tcPr>
            <w:tcW w:w="142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4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PRIORITY TECHNOLOGY HOLDINGS, INC.</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The Board of Directors recommends that you vote FOR the election of the following six director nominees: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Election of Directors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For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Against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For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Against</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Abstain</w:t>
            </w:r>
          </w:p>
        </w:tc>
      </w:tr>
      <w:tr>
        <w:trPr/>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Nominees:</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1a. Thomas Priore</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To approve, on a non-binding advisory basis, the compensation of our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1b. Marc Crisafulli</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1c. Marietta Davis</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1d. Christina Favilla</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1e. Clayton Main</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1f. Michael Passilla</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The Board of Directors recommends that you vote FOR proposals 2, 3, and 4.</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For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Against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For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Against</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Abstain</w:t>
            </w:r>
          </w:p>
        </w:tc>
      </w:tr>
      <w:tr>
        <w:trPr/>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To approve Amendment 2 to Priority Technology Holdings, Inc. 2018 Equity Incentive Plan</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4. Ratification of the appointment of KPMG LLP as the Company's independent registered public accounting firm for the year ending December 31,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 To consider such other business as may properly come before the Annual Meeting and any adjournments or postponements thereof.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6"/>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6"/>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Signature [PLEASE SIGN WITHIN BOX]</w:t>
            </w:r>
          </w:p>
        </w:tc>
        <w:tc>
          <w:tcPr>
            <w:tcW w:w="16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Date</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Signature (Joint Owners)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Date</w:t>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[control number]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Annual Meeting:</w:t>
      </w:r>
    </w:p>
    <w:p>
      <w:pPr>
        <w:pStyle w:val="TextBody"/>
        <w:bidi w:val="0"/>
        <w:spacing w:lineRule="auto" w:line="386" w:before="0" w:after="0"/>
        <w:jc w:val="center"/>
        <w:rPr/>
      </w:pPr>
      <w:r>
        <w:rPr>
          <w:rFonts w:ascii="Times New Roman;serif" w:hAnsi="Times New Roman;serif"/>
          <w:b w:val="false"/>
          <w:color w:val="000000"/>
          <w:sz w:val="20"/>
        </w:rPr>
        <w:t xml:space="preserve">The Notice and Proxy Statement and Annual Report are available at </w:t>
      </w:r>
      <w:r>
        <w:rPr>
          <w:rFonts w:ascii="Times New Roman;serif" w:hAnsi="Times New Roman;serif"/>
          <w:b w:val="false"/>
          <w:color w:val="000000"/>
          <w:sz w:val="20"/>
          <w:u w:val="single"/>
        </w:rPr>
        <w:t>www.proxyvote.com</w:t>
      </w:r>
      <w:r>
        <w:rPr>
          <w:rFonts w:ascii="Times New Roman;serif" w:hAnsi="Times New Roman;serif"/>
          <w:b w:val="false"/>
          <w:color w:val="000000"/>
          <w:sz w:val="20"/>
        </w:rPr>
        <w:t xml:space="preserve">. </w:t>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 xml:space="preserve">PRIORITY TECHNOLOGY HOLDINGS, INC.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 xml:space="preserve">Annual Meeting of Stockholders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 xml:space="preserve">June 11, 2026 9:30 A.M. Eastern Daylight Time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 xml:space="preserve">This proxy is solicited by the Board of Directors </w:t>
      </w:r>
    </w:p>
    <w:p>
      <w:pPr>
        <w:pStyle w:val="TextBody"/>
        <w:bidi w:val="0"/>
        <w:spacing w:lineRule="auto" w:line="417"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hereby appoints Thomas C. Priore and Bradley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www.virtualshareholdermeeting.com/PRTH2026 or any adjournment or postponement thereof, with all powers which the undersigned would possess if present at the meeting. </w:t>
      </w:r>
    </w:p>
    <w:p>
      <w:pPr>
        <w:pStyle w:val="TextBody"/>
        <w:bidi w:val="0"/>
        <w:spacing w:lineRule="auto" w:line="417" w:before="0" w:after="240"/>
        <w:jc w:val="both"/>
        <w:rPr>
          <w:rFonts w:ascii="Times New Roman;serif" w:hAnsi="Times New Roman;serif"/>
          <w:b/>
          <w:color w:val="000000"/>
          <w:sz w:val="20"/>
        </w:rPr>
      </w:pPr>
      <w:r>
        <w:rPr>
          <w:rFonts w:ascii="Times New Roman;serif" w:hAnsi="Times New Roman;serif"/>
          <w:b/>
          <w:color w:val="000000"/>
          <w:sz w:val="20"/>
        </w:rPr>
        <w:t>THIS PROXY CARD, WHEN PROPERLY EXECUTED, WILL BE VOTED IN THE MANNER DIRECTED HEREIN BY THE UNDERSIGNED. IF NO DIRECTION IS MADE BUT THE CARD IS SIGNED, THIS PROXY CARD WILL BE VOTED FOR THE ELECTION OF ALL SIX NOMINEES UNDER PROPOSAL 1, FOR PROPOSALS 2, 3, AND 4, AND IN THE DISCRETION OF THE PROXIES WITH RESPECT TO SUCH OTHER BUSINESS AS MAY PROPERLY COME BEFORE THE MEETING.</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86" w:before="120" w:after="283"/>
        <w:jc w:val="center"/>
        <w:rPr>
          <w:rFonts w:ascii="Times New Roman;serif" w:hAnsi="Times New Roman;serif"/>
          <w:b/>
          <w:color w:val="000000"/>
          <w:sz w:val="20"/>
        </w:rPr>
      </w:pPr>
      <w:r>
        <w:rPr>
          <w:rFonts w:ascii="Times New Roman;serif" w:hAnsi="Times New Roman;serif"/>
          <w:b/>
          <w:color w:val="000000"/>
          <w:sz w:val="20"/>
        </w:rPr>
        <w:t xml:space="preserve">Continued and to be signed on reverse side </w:t>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13790</Words>
  <Characters>75251</Characters>
  <CharactersWithSpaces>88351</CharactersWithSpaces>
  <Paragraphs>969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