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TENDER OFFER STATEMENT UNDER SECTION 14(d)(1) OR 13(e)(1)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Priority Technology Holdings, Inc.</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Subject Company and Filing Person (Issuer))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Warrants to Purchase Common Stock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74275G 115</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 of Class of Securities)</w:t>
      </w:r>
    </w:p>
    <w:p>
      <w:pPr>
        <w:spacing w:after="0" w:line="221"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Christopher Prince</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2001 Westside Parkway</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Alpharetta, GA 30004</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(800) 935-5961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numbers of person authorized to receive notices and communications on behalf of filing persons)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of communications to:</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8320" w:type="dxa"/>
            <w:vAlign w:val="bottom"/>
          </w:tcPr>
          <w:p>
            <w:pPr>
              <w:jc w:val="center"/>
              <w:ind w:right="3031"/>
              <w:spacing w:after="0"/>
              <w:rPr>
                <w:sz w:val="20"/>
                <w:szCs w:val="20"/>
                <w:color w:val="auto"/>
              </w:rPr>
            </w:pPr>
            <w:r>
              <w:rPr>
                <w:rFonts w:ascii="Arial" w:cs="Arial" w:eastAsia="Arial" w:hAnsi="Arial"/>
                <w:sz w:val="18"/>
                <w:szCs w:val="18"/>
                <w:b w:val="1"/>
                <w:bCs w:val="1"/>
                <w:color w:val="auto"/>
                <w:w w:val="90"/>
              </w:rPr>
              <w:t>John Mahon, Esq.</w:t>
            </w:r>
          </w:p>
        </w:tc>
      </w:tr>
      <w:tr>
        <w:trPr>
          <w:trHeight w:val="216"/>
        </w:trPr>
        <w:tc>
          <w:tcPr>
            <w:tcW w:w="3100" w:type="dxa"/>
            <w:vAlign w:val="bottom"/>
          </w:tcPr>
          <w:p>
            <w:pPr>
              <w:spacing w:after="0"/>
              <w:rPr>
                <w:sz w:val="18"/>
                <w:szCs w:val="18"/>
                <w:color w:val="auto"/>
              </w:rPr>
            </w:pPr>
          </w:p>
        </w:tc>
        <w:tc>
          <w:tcPr>
            <w:tcW w:w="8320" w:type="dxa"/>
            <w:vAlign w:val="bottom"/>
          </w:tcPr>
          <w:p>
            <w:pPr>
              <w:jc w:val="center"/>
              <w:ind w:right="3051"/>
              <w:spacing w:after="0"/>
              <w:rPr>
                <w:sz w:val="20"/>
                <w:szCs w:val="20"/>
                <w:color w:val="auto"/>
              </w:rPr>
            </w:pPr>
            <w:r>
              <w:rPr>
                <w:rFonts w:ascii="Arial" w:cs="Arial" w:eastAsia="Arial" w:hAnsi="Arial"/>
                <w:sz w:val="18"/>
                <w:szCs w:val="18"/>
                <w:b w:val="1"/>
                <w:bCs w:val="1"/>
                <w:color w:val="auto"/>
                <w:w w:val="93"/>
              </w:rPr>
              <w:t>Schulte Roth &amp; Zabel LLP</w:t>
            </w:r>
          </w:p>
        </w:tc>
      </w:tr>
      <w:tr>
        <w:trPr>
          <w:trHeight w:val="216"/>
        </w:trPr>
        <w:tc>
          <w:tcPr>
            <w:tcW w:w="3100" w:type="dxa"/>
            <w:vAlign w:val="bottom"/>
          </w:tcPr>
          <w:p>
            <w:pPr>
              <w:spacing w:after="0"/>
              <w:rPr>
                <w:sz w:val="18"/>
                <w:szCs w:val="18"/>
                <w:color w:val="auto"/>
              </w:rPr>
            </w:pPr>
          </w:p>
        </w:tc>
        <w:tc>
          <w:tcPr>
            <w:tcW w:w="8320" w:type="dxa"/>
            <w:vAlign w:val="bottom"/>
          </w:tcPr>
          <w:p>
            <w:pPr>
              <w:jc w:val="center"/>
              <w:ind w:right="3051"/>
              <w:spacing w:after="0"/>
              <w:rPr>
                <w:sz w:val="20"/>
                <w:szCs w:val="20"/>
                <w:color w:val="auto"/>
              </w:rPr>
            </w:pPr>
            <w:r>
              <w:rPr>
                <w:rFonts w:ascii="Arial" w:cs="Arial" w:eastAsia="Arial" w:hAnsi="Arial"/>
                <w:sz w:val="18"/>
                <w:szCs w:val="18"/>
                <w:b w:val="1"/>
                <w:bCs w:val="1"/>
                <w:color w:val="auto"/>
                <w:w w:val="91"/>
              </w:rPr>
              <w:t>919 Third Avenue</w:t>
            </w:r>
          </w:p>
        </w:tc>
      </w:tr>
      <w:tr>
        <w:trPr>
          <w:trHeight w:val="216"/>
        </w:trPr>
        <w:tc>
          <w:tcPr>
            <w:tcW w:w="3100" w:type="dxa"/>
            <w:vAlign w:val="bottom"/>
          </w:tcPr>
          <w:p>
            <w:pPr>
              <w:spacing w:after="0"/>
              <w:rPr>
                <w:sz w:val="18"/>
                <w:szCs w:val="18"/>
                <w:color w:val="auto"/>
              </w:rPr>
            </w:pPr>
          </w:p>
        </w:tc>
        <w:tc>
          <w:tcPr>
            <w:tcW w:w="8320" w:type="dxa"/>
            <w:vAlign w:val="bottom"/>
          </w:tcPr>
          <w:p>
            <w:pPr>
              <w:jc w:val="center"/>
              <w:ind w:right="3031"/>
              <w:spacing w:after="0"/>
              <w:rPr>
                <w:sz w:val="20"/>
                <w:szCs w:val="20"/>
                <w:color w:val="auto"/>
              </w:rPr>
            </w:pPr>
            <w:r>
              <w:rPr>
                <w:rFonts w:ascii="Arial" w:cs="Arial" w:eastAsia="Arial" w:hAnsi="Arial"/>
                <w:sz w:val="18"/>
                <w:szCs w:val="18"/>
                <w:b w:val="1"/>
                <w:bCs w:val="1"/>
                <w:color w:val="auto"/>
                <w:w w:val="92"/>
              </w:rPr>
              <w:t>New York, NY 10022</w:t>
            </w:r>
          </w:p>
        </w:tc>
      </w:tr>
      <w:tr>
        <w:trPr>
          <w:trHeight w:val="216"/>
        </w:trPr>
        <w:tc>
          <w:tcPr>
            <w:tcW w:w="3100" w:type="dxa"/>
            <w:vAlign w:val="bottom"/>
          </w:tcPr>
          <w:p>
            <w:pPr>
              <w:spacing w:after="0"/>
              <w:rPr>
                <w:sz w:val="18"/>
                <w:szCs w:val="18"/>
                <w:color w:val="auto"/>
              </w:rPr>
            </w:pPr>
          </w:p>
        </w:tc>
        <w:tc>
          <w:tcPr>
            <w:tcW w:w="8320" w:type="dxa"/>
            <w:vAlign w:val="bottom"/>
          </w:tcPr>
          <w:p>
            <w:pPr>
              <w:jc w:val="center"/>
              <w:ind w:right="3051"/>
              <w:spacing w:after="0"/>
              <w:rPr>
                <w:sz w:val="20"/>
                <w:szCs w:val="20"/>
                <w:color w:val="auto"/>
              </w:rPr>
            </w:pPr>
            <w:r>
              <w:rPr>
                <w:rFonts w:ascii="Arial" w:cs="Arial" w:eastAsia="Arial" w:hAnsi="Arial"/>
                <w:sz w:val="18"/>
                <w:szCs w:val="18"/>
                <w:b w:val="1"/>
                <w:bCs w:val="1"/>
                <w:color w:val="auto"/>
                <w:w w:val="89"/>
              </w:rPr>
              <w:t>Phone: (212) 756-2000</w:t>
            </w:r>
          </w:p>
        </w:tc>
      </w:tr>
      <w:tr>
        <w:trPr>
          <w:trHeight w:val="234"/>
        </w:trPr>
        <w:tc>
          <w:tcPr>
            <w:tcW w:w="3100" w:type="dxa"/>
            <w:vAlign w:val="bottom"/>
          </w:tcPr>
          <w:p>
            <w:pPr>
              <w:spacing w:after="0"/>
              <w:rPr>
                <w:sz w:val="20"/>
                <w:szCs w:val="20"/>
                <w:color w:val="auto"/>
              </w:rPr>
            </w:pPr>
          </w:p>
        </w:tc>
        <w:tc>
          <w:tcPr>
            <w:tcW w:w="8320" w:type="dxa"/>
            <w:vAlign w:val="bottom"/>
          </w:tcPr>
          <w:p>
            <w:pPr>
              <w:jc w:val="center"/>
              <w:ind w:right="3031"/>
              <w:spacing w:after="0"/>
              <w:rPr>
                <w:sz w:val="20"/>
                <w:szCs w:val="20"/>
                <w:color w:val="auto"/>
              </w:rPr>
            </w:pPr>
            <w:r>
              <w:rPr>
                <w:rFonts w:ascii="Arial" w:cs="Arial" w:eastAsia="Arial" w:hAnsi="Arial"/>
                <w:sz w:val="18"/>
                <w:szCs w:val="18"/>
                <w:b w:val="1"/>
                <w:bCs w:val="1"/>
                <w:color w:val="auto"/>
                <w:w w:val="92"/>
              </w:rPr>
              <w:t>Fax: (212) 593-5955</w:t>
            </w:r>
          </w:p>
        </w:tc>
      </w:tr>
      <w:tr>
        <w:trPr>
          <w:trHeight w:val="432"/>
        </w:trPr>
        <w:tc>
          <w:tcPr>
            <w:tcW w:w="3100" w:type="dxa"/>
            <w:vAlign w:val="bottom"/>
          </w:tcPr>
          <w:p>
            <w:pPr>
              <w:spacing w:after="0"/>
              <w:rPr>
                <w:sz w:val="24"/>
                <w:szCs w:val="24"/>
                <w:color w:val="auto"/>
              </w:rPr>
            </w:pPr>
          </w:p>
        </w:tc>
        <w:tc>
          <w:tcPr>
            <w:tcW w:w="8320" w:type="dxa"/>
            <w:vAlign w:val="bottom"/>
          </w:tcPr>
          <w:p>
            <w:pPr>
              <w:jc w:val="center"/>
              <w:ind w:right="2991"/>
              <w:spacing w:after="0"/>
              <w:rPr>
                <w:sz w:val="20"/>
                <w:szCs w:val="20"/>
                <w:color w:val="auto"/>
              </w:rPr>
            </w:pPr>
            <w:r>
              <w:rPr>
                <w:rFonts w:ascii="Arial" w:cs="Arial" w:eastAsia="Arial" w:hAnsi="Arial"/>
                <w:sz w:val="18"/>
                <w:szCs w:val="18"/>
                <w:b w:val="1"/>
                <w:bCs w:val="1"/>
                <w:color w:val="auto"/>
              </w:rPr>
              <w:t>CALCULATION OF FILING FEE</w:t>
            </w:r>
          </w:p>
        </w:tc>
      </w:tr>
      <w:tr>
        <w:trPr>
          <w:trHeight w:val="216"/>
        </w:trPr>
        <w:tc>
          <w:tcPr>
            <w:tcW w:w="3100" w:type="dxa"/>
            <w:vAlign w:val="bottom"/>
            <w:tcBorders>
              <w:bottom w:val="single" w:sz="8" w:color="auto"/>
            </w:tcBorders>
          </w:tcPr>
          <w:p>
            <w:pPr>
              <w:spacing w:after="0"/>
              <w:rPr>
                <w:sz w:val="18"/>
                <w:szCs w:val="18"/>
                <w:color w:val="auto"/>
              </w:rPr>
            </w:pPr>
          </w:p>
        </w:tc>
        <w:tc>
          <w:tcPr>
            <w:tcW w:w="8320" w:type="dxa"/>
            <w:vAlign w:val="bottom"/>
            <w:tcBorders>
              <w:bottom w:val="single" w:sz="8" w:color="auto"/>
            </w:tcBorders>
          </w:tcPr>
          <w:p>
            <w:pPr>
              <w:spacing w:after="0"/>
              <w:rPr>
                <w:sz w:val="18"/>
                <w:szCs w:val="18"/>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8320" w:type="dxa"/>
            <w:vAlign w:val="bottom"/>
            <w:tcBorders>
              <w:bottom w:val="single" w:sz="8" w:color="auto"/>
            </w:tcBorders>
          </w:tcPr>
          <w:p>
            <w:pPr>
              <w:spacing w:after="0" w:line="20" w:lineRule="exact"/>
              <w:rPr>
                <w:sz w:val="1"/>
                <w:szCs w:val="1"/>
                <w:color w:val="auto"/>
              </w:rPr>
            </w:pPr>
          </w:p>
        </w:tc>
      </w:tr>
      <w:tr>
        <w:trPr>
          <w:trHeight w:val="237"/>
        </w:trPr>
        <w:tc>
          <w:tcPr>
            <w:tcW w:w="3100" w:type="dxa"/>
            <w:vAlign w:val="bottom"/>
            <w:tcBorders>
              <w:bottom w:val="single" w:sz="8" w:color="auto"/>
            </w:tcBorders>
          </w:tcPr>
          <w:p>
            <w:pPr>
              <w:ind w:left="100"/>
              <w:spacing w:after="0" w:line="237" w:lineRule="exact"/>
              <w:rPr>
                <w:sz w:val="20"/>
                <w:szCs w:val="20"/>
                <w:color w:val="auto"/>
              </w:rPr>
            </w:pPr>
            <w:r>
              <w:rPr>
                <w:rFonts w:ascii="Arial" w:cs="Arial" w:eastAsia="Arial" w:hAnsi="Arial"/>
                <w:sz w:val="17"/>
                <w:szCs w:val="17"/>
                <w:color w:val="auto"/>
              </w:rPr>
              <w:t>Transaction Valuation</w:t>
            </w:r>
            <w:r>
              <w:rPr>
                <w:rFonts w:ascii="Arial" w:cs="Arial" w:eastAsia="Arial" w:hAnsi="Arial"/>
                <w:sz w:val="27"/>
                <w:szCs w:val="27"/>
                <w:color w:val="auto"/>
                <w:vertAlign w:val="superscript"/>
              </w:rPr>
              <w:t>(1)</w:t>
            </w:r>
          </w:p>
        </w:tc>
        <w:tc>
          <w:tcPr>
            <w:tcW w:w="8320" w:type="dxa"/>
            <w:vAlign w:val="bottom"/>
            <w:tcBorders>
              <w:bottom w:val="single" w:sz="8" w:color="auto"/>
            </w:tcBorders>
          </w:tcPr>
          <w:p>
            <w:pPr>
              <w:jc w:val="center"/>
              <w:ind w:left="6171"/>
              <w:spacing w:after="0" w:line="237" w:lineRule="exact"/>
              <w:rPr>
                <w:sz w:val="20"/>
                <w:szCs w:val="20"/>
                <w:color w:val="auto"/>
              </w:rPr>
            </w:pPr>
            <w:r>
              <w:rPr>
                <w:rFonts w:ascii="Arial" w:cs="Arial" w:eastAsia="Arial" w:hAnsi="Arial"/>
                <w:sz w:val="17"/>
                <w:szCs w:val="17"/>
                <w:color w:val="auto"/>
                <w:w w:val="97"/>
              </w:rPr>
              <w:t>Amount of Filing Fee</w:t>
            </w:r>
            <w:r>
              <w:rPr>
                <w:rFonts w:ascii="Arial" w:cs="Arial" w:eastAsia="Arial" w:hAnsi="Arial"/>
                <w:sz w:val="27"/>
                <w:szCs w:val="27"/>
                <w:color w:val="auto"/>
                <w:w w:val="97"/>
                <w:vertAlign w:val="superscript"/>
              </w:rPr>
              <w:t>(2)</w:t>
            </w:r>
          </w:p>
        </w:tc>
      </w:tr>
      <w:tr>
        <w:trPr>
          <w:trHeight w:val="210"/>
        </w:trPr>
        <w:tc>
          <w:tcPr>
            <w:tcW w:w="31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$4,355,724</w:t>
            </w:r>
          </w:p>
        </w:tc>
        <w:tc>
          <w:tcPr>
            <w:tcW w:w="8320" w:type="dxa"/>
            <w:vAlign w:val="bottom"/>
            <w:tcBorders>
              <w:bottom w:val="single" w:sz="8" w:color="auto"/>
            </w:tcBorders>
            <w:shd w:val="clear" w:color="auto" w:fill="CCEEFF"/>
          </w:tcPr>
          <w:p>
            <w:pPr>
              <w:jc w:val="right"/>
              <w:ind w:right="651"/>
              <w:spacing w:after="0"/>
              <w:rPr>
                <w:sz w:val="20"/>
                <w:szCs w:val="20"/>
                <w:color w:val="auto"/>
              </w:rPr>
            </w:pPr>
            <w:r>
              <w:rPr>
                <w:rFonts w:ascii="Arial" w:cs="Arial" w:eastAsia="Arial" w:hAnsi="Arial"/>
                <w:sz w:val="18"/>
                <w:szCs w:val="18"/>
                <w:color w:val="auto"/>
              </w:rPr>
              <w:t>$527.91</w:t>
            </w: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8320" w:type="dxa"/>
            <w:vAlign w:val="bottom"/>
            <w:tcBorders>
              <w:bottom w:val="single" w:sz="8" w:color="auto"/>
            </w:tcBorders>
          </w:tcPr>
          <w:p>
            <w:pPr>
              <w:spacing w:after="0" w:line="20" w:lineRule="exact"/>
              <w:rPr>
                <w:sz w:val="1"/>
                <w:szCs w:val="1"/>
                <w:color w:val="auto"/>
              </w:rPr>
            </w:pPr>
          </w:p>
        </w:tc>
      </w:tr>
    </w:tbl>
    <w:p>
      <w:pPr>
        <w:spacing w:after="0" w:line="26" w:lineRule="exact"/>
        <w:rPr>
          <w:sz w:val="24"/>
          <w:szCs w:val="24"/>
          <w:color w:val="auto"/>
        </w:rPr>
      </w:pPr>
    </w:p>
    <w:p>
      <w:pPr>
        <w:ind w:right="120" w:firstLine="8"/>
        <w:spacing w:after="0" w:line="260" w:lineRule="auto"/>
        <w:tabs>
          <w:tab w:leader="none" w:pos="212" w:val="left"/>
        </w:tabs>
        <w:numPr>
          <w:ilvl w:val="0"/>
          <w:numId w:val="1"/>
        </w:numPr>
        <w:rPr>
          <w:rFonts w:ascii="Arial" w:cs="Arial" w:eastAsia="Arial" w:hAnsi="Arial"/>
          <w:sz w:val="25"/>
          <w:szCs w:val="25"/>
          <w:color w:val="auto"/>
          <w:vertAlign w:val="superscript"/>
        </w:rPr>
      </w:pPr>
      <w:r>
        <w:rPr>
          <w:rFonts w:ascii="Arial" w:cs="Arial" w:eastAsia="Arial" w:hAnsi="Arial"/>
          <w:sz w:val="16"/>
          <w:szCs w:val="16"/>
          <w:color w:val="auto"/>
        </w:rPr>
        <w:t>The transaction valuation is estimated solely for purposes of calculating the amount of the filing fee. Priority Technology Holdings, Inc. (the “Company”) is offering holders of all outstanding warrants of the Company, as of December 21, 2018, 5,731,216 warrants (representing 5,310,109 Public Warrants and 421,107 Private Warrants (each as defined below), collectively the “Warrants”), the opportunity to exchange such Warrants and receive 0.1920 shares of common stock, par value $0.001 per share, of the Company in exchange for each Warrant. The transaction value was determined by using the average of the high and low prices of the Public Warrants of the Company as reported on The NASDAQ Global Market on December 21, 2018, which was $0.76.</w:t>
      </w:r>
    </w:p>
    <w:p>
      <w:pPr>
        <w:spacing w:after="0" w:line="228" w:lineRule="exact"/>
        <w:rPr>
          <w:rFonts w:ascii="Arial" w:cs="Arial" w:eastAsia="Arial" w:hAnsi="Arial"/>
          <w:sz w:val="25"/>
          <w:szCs w:val="25"/>
          <w:color w:val="auto"/>
          <w:vertAlign w:val="superscript"/>
        </w:rPr>
      </w:pPr>
    </w:p>
    <w:p>
      <w:pPr>
        <w:ind w:right="100" w:firstLine="8"/>
        <w:spacing w:after="0" w:line="227" w:lineRule="auto"/>
        <w:tabs>
          <w:tab w:leader="none" w:pos="212" w:val="left"/>
        </w:tabs>
        <w:numPr>
          <w:ilvl w:val="0"/>
          <w:numId w:val="1"/>
        </w:numPr>
        <w:rPr>
          <w:rFonts w:ascii="Arial" w:cs="Arial" w:eastAsia="Arial" w:hAnsi="Arial"/>
          <w:sz w:val="25"/>
          <w:szCs w:val="25"/>
          <w:color w:val="auto"/>
          <w:vertAlign w:val="superscript"/>
        </w:rPr>
      </w:pPr>
      <w:r>
        <w:rPr>
          <w:rFonts w:ascii="Arial" w:cs="Arial" w:eastAsia="Arial" w:hAnsi="Arial"/>
          <w:sz w:val="16"/>
          <w:szCs w:val="16"/>
          <w:color w:val="auto"/>
        </w:rPr>
        <w:t>The amount of the filing fee assumes that all outstanding warrants of the Company will be exchanged and is calculated pursuant to Rule 0-11(b) under the Securities Exchange Act of 1934, as amended, and equals $121.20 for each $1,000,000 of the transaction value.</w:t>
      </w:r>
    </w:p>
    <w:p>
      <w:pPr>
        <w:spacing w:after="0" w:line="202" w:lineRule="exact"/>
        <w:rPr>
          <w:sz w:val="24"/>
          <w:szCs w:val="24"/>
          <w:color w:val="auto"/>
        </w:rPr>
      </w:pPr>
    </w:p>
    <w:p>
      <w:pPr>
        <w:ind w:left="660" w:right="8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20"/>
          </w:cols>
          <w:pgMar w:left="240" w:top="715" w:right="239" w:bottom="0" w:gutter="0" w:footer="0" w:header="0"/>
        </w:sectPr>
      </w:pPr>
    </w:p>
    <w:p>
      <w:pPr>
        <w:spacing w:after="0" w:line="224" w:lineRule="exact"/>
        <w:rPr>
          <w:sz w:val="24"/>
          <w:szCs w:val="24"/>
          <w:color w:val="auto"/>
        </w:rPr>
      </w:pPr>
    </w:p>
    <w:p>
      <w:pPr>
        <w:ind w:left="760"/>
        <w:spacing w:after="0"/>
        <w:rPr>
          <w:sz w:val="20"/>
          <w:szCs w:val="20"/>
          <w:color w:val="auto"/>
        </w:rPr>
      </w:pPr>
      <w:r>
        <w:rPr>
          <w:rFonts w:ascii="Arial" w:cs="Arial" w:eastAsia="Arial" w:hAnsi="Arial"/>
          <w:sz w:val="16"/>
          <w:szCs w:val="16"/>
          <w:color w:val="auto"/>
        </w:rPr>
        <w:t>Amount Previously Paid: $1,109.40</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Filing Party: Priority Technology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Holdings, Inc.</w:t>
      </w:r>
    </w:p>
    <w:p>
      <w:pPr>
        <w:spacing w:after="0" w:line="49" w:lineRule="exact"/>
        <w:rPr>
          <w:sz w:val="24"/>
          <w:szCs w:val="24"/>
          <w:color w:val="auto"/>
        </w:rPr>
      </w:pPr>
    </w:p>
    <w:p>
      <w:pPr>
        <w:sectPr>
          <w:pgSz w:w="11900" w:h="16838" w:orient="portrait"/>
          <w:cols w:equalWidth="0" w:num="2">
            <w:col w:w="7440" w:space="720"/>
            <w:col w:w="3260"/>
          </w:cols>
          <w:pgMar w:left="240" w:top="715" w:right="239" w:bottom="0" w:gutter="0" w:footer="0" w:header="0"/>
          <w:type w:val="continuous"/>
        </w:sectPr>
      </w:pPr>
    </w:p>
    <w:p>
      <w:pPr>
        <w:ind w:left="760"/>
        <w:spacing w:after="0"/>
        <w:rPr>
          <w:sz w:val="20"/>
          <w:szCs w:val="20"/>
          <w:color w:val="auto"/>
        </w:rPr>
      </w:pPr>
      <w:r>
        <w:rPr>
          <w:rFonts w:ascii="Arial" w:cs="Arial" w:eastAsia="Arial" w:hAnsi="Arial"/>
          <w:sz w:val="16"/>
          <w:szCs w:val="16"/>
          <w:color w:val="auto"/>
        </w:rPr>
        <w:t>Form or Registration No.: Form S-4 (Registration No. 333-228645)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 Filed: November 30, 2018 and</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December 26, 2018</w:t>
      </w:r>
    </w:p>
    <w:p>
      <w:pPr>
        <w:spacing w:after="0" w:line="200" w:lineRule="exact"/>
        <w:rPr>
          <w:sz w:val="24"/>
          <w:szCs w:val="24"/>
          <w:color w:val="auto"/>
        </w:rPr>
      </w:pPr>
    </w:p>
    <w:p>
      <w:pPr>
        <w:sectPr>
          <w:pgSz w:w="11900" w:h="16838" w:orient="portrait"/>
          <w:cols w:equalWidth="0" w:num="2">
            <w:col w:w="7440" w:space="720"/>
            <w:col w:w="3260"/>
          </w:cols>
          <w:pgMar w:left="240" w:top="715" w:right="239" w:bottom="0" w:gutter="0" w:footer="0" w:header="0"/>
          <w:type w:val="continuous"/>
        </w:sectPr>
      </w:pPr>
    </w:p>
    <w:p>
      <w:pPr>
        <w:spacing w:after="0" w:line="38" w:lineRule="exact"/>
        <w:rPr>
          <w:sz w:val="24"/>
          <w:szCs w:val="24"/>
          <w:color w:val="auto"/>
        </w:rPr>
      </w:pPr>
    </w:p>
    <w:p>
      <w:pPr>
        <w:ind w:right="1940" w:firstLine="53"/>
        <w:spacing w:after="0" w:line="482" w:lineRule="auto"/>
        <w:tabs>
          <w:tab w:leader="none" w:pos="648"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2" w:lineRule="exact"/>
        <w:rPr>
          <w:rFonts w:ascii="MS PGothic" w:cs="MS PGothic" w:eastAsia="MS PGothic" w:hAnsi="MS PGothic"/>
          <w:sz w:val="18"/>
          <w:szCs w:val="18"/>
          <w:color w:val="auto"/>
        </w:rPr>
      </w:pPr>
    </w:p>
    <w:p>
      <w:pPr>
        <w:ind w:left="1300" w:hanging="644"/>
        <w:spacing w:after="0"/>
        <w:tabs>
          <w:tab w:leader="none" w:pos="13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225"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225" w:lineRule="exact"/>
        <w:rPr>
          <w:sz w:val="24"/>
          <w:szCs w:val="24"/>
          <w:color w:val="auto"/>
        </w:rPr>
      </w:pPr>
    </w:p>
    <w:p>
      <w:pPr>
        <w:ind w:left="1300" w:hanging="644"/>
        <w:spacing w:after="0"/>
        <w:tabs>
          <w:tab w:leader="none" w:pos="13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ectPr>
          <w:pgSz w:w="11900" w:h="16838" w:orient="portrait"/>
          <w:cols w:equalWidth="0" w:num="1">
            <w:col w:w="11420"/>
          </w:cols>
          <w:pgMar w:left="240" w:top="715" w:right="239" w:bottom="0" w:gutter="0" w:footer="0" w:header="0"/>
          <w:type w:val="continuous"/>
        </w:sectPr>
      </w:pPr>
    </w:p>
    <w:bookmarkStart w:id="1" w:name="page2"/>
    <w:bookmarkEnd w:id="1"/>
    <w:p>
      <w:pPr>
        <w:ind w:left="1300" w:hanging="644"/>
        <w:spacing w:after="0"/>
        <w:tabs>
          <w:tab w:leader="none" w:pos="13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9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Check the following box if the filing is a final amendment reporting the results of the tender offer: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This Amendment No. 1 (“Amendment No. 1”) amends and supplements the Tender Offer Statement on Schedule TO originally filed by Priority Technology Holdings, Inc. (“Priority,” the “Company,” “us” or “we”), a Delaware corporation, on December 26, 2018 (the “Schedule TO”), in connection with the offer by the Company to each of its warrant holders described below to receive 0.1920 shares of common stock, par value of $0.001 per share (the “Common Stock”), of the Company in exchange for every outstanding Warrant of the Company tendered by the holder and exchanged pursuant to the offer (the “Offer”). The Offer is made upon and subject to the terms and conditions set forth in the Prospectus/Offer to Exchange, dated January 22, 2019 (the “Prospectus/Offer to Exchange”), a copy of which is attached hereto as Exhibit (a)(1)(A), and in the related Letter of Transmittal and Consent, a copy of which is attached hereto as Exhibit (a)(1)(B).</w:t>
      </w:r>
    </w:p>
    <w:p>
      <w:pPr>
        <w:spacing w:after="0" w:line="18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Concurrently with the Offer, we are also soliciting consents from holders of the Warrants to amend the warrant agreement, dated as of September 13, 2016, by and between the Company and American Stock Transfer &amp; Trust Company, LLC (the “Warrant Agreement”), which governs all of the Warrants, to permit the Company to require that each outstanding Warrant be converted into 0.1728 shares of Common Stock, which is a ratio 10% less than the ratio applicable to the Offer. Pursuant to the terms of the Warrant Agreement, the consent of holders of at least a majority of the outstanding Warrants is required to approve the Warrant Amendment, with the Public Warrant holders and Private Warrant holders voting together. Therefore, one of the conditions to the adoption of the Warrant Amendment is the receipt of the consent of holders of at least a majority of the then outstanding Warrants.</w:t>
      </w:r>
    </w:p>
    <w:p>
      <w:pPr>
        <w:spacing w:after="0" w:line="16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information in the Prospectus/Offer to Exchange and in the related Letter of Transmittal and Consent, including all schedules and exhibits thereto, is incorporated by reference herein to answer the items required in this Amendment No. 1.</w:t>
      </w:r>
    </w:p>
    <w:p>
      <w:pPr>
        <w:spacing w:after="0" w:line="190" w:lineRule="exact"/>
        <w:rPr>
          <w:sz w:val="20"/>
          <w:szCs w:val="20"/>
          <w:color w:val="auto"/>
        </w:rPr>
      </w:pPr>
    </w:p>
    <w:p>
      <w:pPr>
        <w:ind w:right="120" w:firstLine="648"/>
        <w:spacing w:after="0" w:line="238" w:lineRule="auto"/>
        <w:rPr>
          <w:sz w:val="20"/>
          <w:szCs w:val="20"/>
          <w:color w:val="auto"/>
        </w:rPr>
      </w:pPr>
      <w:r>
        <w:rPr>
          <w:rFonts w:ascii="Arial" w:cs="Arial" w:eastAsia="Arial" w:hAnsi="Arial"/>
          <w:sz w:val="22"/>
          <w:szCs w:val="22"/>
          <w:color w:val="auto"/>
        </w:rPr>
        <w:t>This Amendment No. 1 amends the Schedule TO to (i) amend and restate in its entirety Item 1, (ii) amend and supplement Item 4 and (iii) add additional exhibits. Except as amended hereby to the extent specifically provided herein, all terms of the Offer and all other disclosures set forth in the Schedule TO and the exhibits thereto remain unchanged and are hereby expressly incorporated into this Amendment No. 1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 xml:space="preserve">Item 1. </w:t>
      </w:r>
      <w:r>
        <w:rPr>
          <w:rFonts w:ascii="Arial" w:cs="Arial" w:eastAsia="Arial" w:hAnsi="Arial"/>
          <w:sz w:val="18"/>
          <w:szCs w:val="18"/>
          <w:b w:val="1"/>
          <w:bCs w:val="1"/>
          <w:color w:val="000000"/>
        </w:rPr>
        <w:t>Summary Term Sheet.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1 amends and restates Item 1 of the Schedule TO as follows: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the section of the Prospectus/Offer to Exchange entitled “</w:t>
      </w:r>
      <w:r>
        <w:rPr>
          <w:rFonts w:ascii="Arial" w:cs="Arial" w:eastAsia="Arial" w:hAnsi="Arial"/>
          <w:sz w:val="18"/>
          <w:szCs w:val="18"/>
          <w:i w:val="1"/>
          <w:iCs w:val="1"/>
          <w:color w:val="auto"/>
        </w:rPr>
        <w:t>Summary</w:t>
      </w:r>
      <w:r>
        <w:rPr>
          <w:rFonts w:ascii="Arial" w:cs="Arial" w:eastAsia="Arial" w:hAnsi="Arial"/>
          <w:sz w:val="18"/>
          <w:szCs w:val="18"/>
          <w:color w:val="auto"/>
        </w:rPr>
        <w:t>” is incorporated herein by reference.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010000"/>
        </w:rPr>
        <w:t xml:space="preserve">Item 4. </w:t>
      </w:r>
      <w:r>
        <w:rPr>
          <w:rFonts w:ascii="Arial" w:cs="Arial" w:eastAsia="Arial" w:hAnsi="Arial"/>
          <w:sz w:val="18"/>
          <w:szCs w:val="18"/>
          <w:b w:val="1"/>
          <w:bCs w:val="1"/>
          <w:color w:val="000000"/>
        </w:rPr>
        <w:t>Terms of the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1 amends and supplements Item 4 of the Schedule TO as follows:</w:t>
      </w:r>
    </w:p>
    <w:p>
      <w:pPr>
        <w:spacing w:after="0" w:line="245"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The Company is extending the expiration date of the Offer until 11:59 p.m., Eastern Standard Time on February 12, 2019, unless further extended. The Offer had been previously scheduled to expire at 11:59 p.m., Eastern Standard Time on January 25, 2019. Throughout the Schedule TO, the Prospectus/Offer to Exchange and the Letter of Transmittal, all references to the expiration date of the Offer are hereby amended to extend the expiration date of the Offer until 11:59 p.m., Eastern Standard Time on February 12, 2019.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10000"/>
        </w:rPr>
        <w:t xml:space="preserve">Item 12. </w:t>
      </w:r>
      <w:r>
        <w:rPr>
          <w:rFonts w:ascii="Arial" w:cs="Arial" w:eastAsia="Arial" w:hAnsi="Arial"/>
          <w:sz w:val="18"/>
          <w:szCs w:val="18"/>
          <w:b w:val="1"/>
          <w:bCs w:val="1"/>
          <w:color w:val="000000"/>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1 amends and restates Item 12 of the Schedule TO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00" w:type="dxa"/>
            <w:vAlign w:val="bottom"/>
            <w:tcBorders>
              <w:bottom w:val="single" w:sz="8" w:color="auto"/>
            </w:tcBorders>
            <w:gridSpan w:val="6"/>
          </w:tcPr>
          <w:p>
            <w:pPr>
              <w:ind w:left="280"/>
              <w:spacing w:after="0"/>
              <w:rPr>
                <w:sz w:val="20"/>
                <w:szCs w:val="20"/>
                <w:color w:val="auto"/>
              </w:rPr>
            </w:pPr>
            <w:r>
              <w:rPr>
                <w:rFonts w:ascii="Arial" w:cs="Arial" w:eastAsia="Arial" w:hAnsi="Arial"/>
                <w:sz w:val="18"/>
                <w:szCs w:val="18"/>
                <w:b w:val="1"/>
                <w:bCs w:val="1"/>
                <w:color w:val="auto"/>
              </w:rPr>
              <w:t>Exhibit No.</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19"/>
          </w:tcPr>
          <w:p>
            <w:pPr>
              <w:ind w:left="128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1"/>
              </w:rPr>
              <w:t>Included</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8"/>
                <w:szCs w:val="18"/>
                <w:b w:val="1"/>
                <w:bCs w:val="1"/>
                <w:color w:val="auto"/>
                <w:w w:val="97"/>
              </w:rPr>
              <w:t>Form</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93"/>
              </w:rPr>
              <w:t>Filing Date</w:t>
            </w:r>
          </w:p>
        </w:tc>
        <w:tc>
          <w:tcPr>
            <w:tcW w:w="100" w:type="dxa"/>
            <w:vAlign w:val="bottom"/>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660" w:type="dxa"/>
            <w:vAlign w:val="bottom"/>
            <w:gridSpan w:val="5"/>
          </w:tcPr>
          <w:p>
            <w:pPr>
              <w:spacing w:after="0" w:line="170" w:lineRule="exact"/>
              <w:rPr>
                <w:rFonts w:ascii="Arial" w:cs="Arial" w:eastAsia="Arial" w:hAnsi="Arial"/>
                <w:sz w:val="18"/>
                <w:szCs w:val="18"/>
                <w:color w:val="0000EE"/>
                <w:w w:val="91"/>
              </w:rPr>
            </w:pPr>
            <w:hyperlink r:id="rId16">
              <w:r>
                <w:rPr>
                  <w:rFonts w:ascii="Arial" w:cs="Arial" w:eastAsia="Arial" w:hAnsi="Arial"/>
                  <w:sz w:val="18"/>
                  <w:szCs w:val="18"/>
                  <w:color w:val="0000EE"/>
                  <w:w w:val="91"/>
                </w:rPr>
                <w:t>(a)(1)(A)</w:t>
              </w:r>
            </w:hyperlink>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40" w:type="dxa"/>
            <w:vAlign w:val="bottom"/>
            <w:gridSpan w:val="21"/>
          </w:tcPr>
          <w:p>
            <w:pPr>
              <w:spacing w:after="0" w:line="170" w:lineRule="exact"/>
              <w:rPr>
                <w:rFonts w:ascii="Arial" w:cs="Arial" w:eastAsia="Arial" w:hAnsi="Arial"/>
                <w:sz w:val="18"/>
                <w:szCs w:val="18"/>
                <w:color w:val="0000EE"/>
              </w:rPr>
            </w:pPr>
            <w:hyperlink r:id="rId16">
              <w:r>
                <w:rPr>
                  <w:rFonts w:ascii="Arial" w:cs="Arial" w:eastAsia="Arial" w:hAnsi="Arial"/>
                  <w:sz w:val="18"/>
                  <w:szCs w:val="18"/>
                  <w:color w:val="0000EE"/>
                </w:rPr>
                <w:t>Prospectus/Offer to Exchange</w:t>
              </w:r>
            </w:hyperlink>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320"/>
              <w:spacing w:after="0" w:line="170" w:lineRule="exact"/>
              <w:rPr>
                <w:sz w:val="20"/>
                <w:szCs w:val="20"/>
                <w:color w:val="auto"/>
              </w:rPr>
            </w:pPr>
            <w:r>
              <w:rPr>
                <w:rFonts w:ascii="Arial" w:cs="Arial" w:eastAsia="Arial" w:hAnsi="Arial"/>
                <w:sz w:val="18"/>
                <w:szCs w:val="18"/>
                <w:color w:val="auto"/>
                <w:w w:val="91"/>
              </w:rPr>
              <w:t>By Reference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5"/>
          </w:tcPr>
          <w:p>
            <w:pPr>
              <w:jc w:val="center"/>
              <w:ind w:right="200"/>
              <w:spacing w:after="0" w:line="170" w:lineRule="exact"/>
              <w:rPr>
                <w:sz w:val="20"/>
                <w:szCs w:val="20"/>
                <w:color w:val="auto"/>
              </w:rPr>
            </w:pPr>
            <w:r>
              <w:rPr>
                <w:rFonts w:ascii="Arial" w:cs="Arial" w:eastAsia="Arial" w:hAnsi="Arial"/>
                <w:sz w:val="18"/>
                <w:szCs w:val="18"/>
                <w:color w:val="auto"/>
                <w:w w:val="97"/>
              </w:rPr>
              <w:t>S-4/A</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4"/>
          </w:tcPr>
          <w:p>
            <w:pPr>
              <w:jc w:val="center"/>
              <w:ind w:right="140"/>
              <w:spacing w:after="0" w:line="170" w:lineRule="exact"/>
              <w:rPr>
                <w:sz w:val="20"/>
                <w:szCs w:val="20"/>
                <w:color w:val="auto"/>
              </w:rPr>
            </w:pPr>
            <w:r>
              <w:rPr>
                <w:rFonts w:ascii="Arial" w:cs="Arial" w:eastAsia="Arial" w:hAnsi="Arial"/>
                <w:sz w:val="18"/>
                <w:szCs w:val="18"/>
                <w:color w:val="auto"/>
                <w:w w:val="87"/>
              </w:rPr>
              <w:t>January 22, 2019</w:t>
            </w:r>
          </w:p>
        </w:tc>
        <w:tc>
          <w:tcPr>
            <w:tcW w:w="100" w:type="dxa"/>
            <w:vAlign w:val="bottom"/>
          </w:tcPr>
          <w:p>
            <w:pPr>
              <w:spacing w:after="0"/>
              <w:rPr>
                <w:sz w:val="14"/>
                <w:szCs w:val="14"/>
                <w:color w:val="auto"/>
              </w:rPr>
            </w:pPr>
          </w:p>
        </w:tc>
      </w:tr>
      <w:tr>
        <w:trPr>
          <w:trHeight w:val="20"/>
        </w:trPr>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680" w:type="dxa"/>
            <w:vAlign w:val="bottom"/>
            <w:tcBorders>
              <w:bottom w:val="single" w:sz="8" w:color="0000EE"/>
            </w:tcBorders>
            <w:gridSpan w:val="6"/>
          </w:tcPr>
          <w:p>
            <w:pPr>
              <w:spacing w:after="0"/>
              <w:rPr>
                <w:rFonts w:ascii="Arial" w:cs="Arial" w:eastAsia="Arial" w:hAnsi="Arial"/>
                <w:sz w:val="18"/>
                <w:szCs w:val="18"/>
                <w:color w:val="0000EE"/>
                <w:w w:val="94"/>
              </w:rPr>
            </w:pPr>
            <w:hyperlink r:id="rId17">
              <w:r>
                <w:rPr>
                  <w:rFonts w:ascii="Arial" w:cs="Arial" w:eastAsia="Arial" w:hAnsi="Arial"/>
                  <w:sz w:val="18"/>
                  <w:szCs w:val="18"/>
                  <w:color w:val="0000EE"/>
                  <w:w w:val="94"/>
                </w:rPr>
                <w:t>(a)(1)(B)</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tcBorders>
              <w:bottom w:val="single" w:sz="8" w:color="0000EE"/>
            </w:tcBorders>
            <w:gridSpan w:val="10"/>
          </w:tcPr>
          <w:p>
            <w:pPr>
              <w:spacing w:after="0"/>
              <w:rPr>
                <w:rFonts w:ascii="Arial" w:cs="Arial" w:eastAsia="Arial" w:hAnsi="Arial"/>
                <w:sz w:val="18"/>
                <w:szCs w:val="18"/>
                <w:color w:val="0000EE"/>
                <w:w w:val="90"/>
              </w:rPr>
            </w:pPr>
            <w:hyperlink r:id="rId17">
              <w:r>
                <w:rPr>
                  <w:rFonts w:ascii="Arial" w:cs="Arial" w:eastAsia="Arial" w:hAnsi="Arial"/>
                  <w:sz w:val="18"/>
                  <w:szCs w:val="18"/>
                  <w:color w:val="0000EE"/>
                  <w:w w:val="90"/>
                </w:rPr>
                <w:t>Form of Letter of Transmittal and Consent</w:t>
              </w:r>
            </w:hyperlink>
          </w:p>
        </w:tc>
        <w:tc>
          <w:tcPr>
            <w:tcW w:w="1880" w:type="dxa"/>
            <w:vAlign w:val="bottom"/>
            <w:gridSpan w:val="11"/>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Borders>
              <w:bottom w:val="single" w:sz="8" w:color="0000EE"/>
            </w:tcBorders>
          </w:tcPr>
          <w:p>
            <w:pPr>
              <w:jc w:val="center"/>
              <w:spacing w:after="0"/>
              <w:rPr>
                <w:rFonts w:ascii="Arial" w:cs="Arial" w:eastAsia="Arial" w:hAnsi="Arial"/>
                <w:sz w:val="18"/>
                <w:szCs w:val="18"/>
                <w:color w:val="0000EE"/>
                <w:w w:val="91"/>
              </w:rPr>
            </w:pPr>
            <w:hyperlink r:id="rId17">
              <w:r>
                <w:rPr>
                  <w:rFonts w:ascii="Arial" w:cs="Arial" w:eastAsia="Arial" w:hAnsi="Arial"/>
                  <w:sz w:val="18"/>
                  <w:szCs w:val="18"/>
                  <w:color w:val="0000EE"/>
                  <w:w w:val="91"/>
                </w:rPr>
                <w:t>By Reference</w:t>
              </w:r>
            </w:hyperlink>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bottom w:val="single" w:sz="8" w:color="0000EE"/>
            </w:tcBorders>
            <w:gridSpan w:val="3"/>
          </w:tcPr>
          <w:p>
            <w:pPr>
              <w:jc w:val="center"/>
              <w:spacing w:after="0"/>
              <w:rPr>
                <w:rFonts w:ascii="Arial" w:cs="Arial" w:eastAsia="Arial" w:hAnsi="Arial"/>
                <w:sz w:val="18"/>
                <w:szCs w:val="18"/>
                <w:color w:val="0000EE"/>
                <w:w w:val="97"/>
              </w:rPr>
            </w:pPr>
            <w:hyperlink r:id="rId17">
              <w:r>
                <w:rPr>
                  <w:rFonts w:ascii="Arial" w:cs="Arial" w:eastAsia="Arial" w:hAnsi="Arial"/>
                  <w:sz w:val="18"/>
                  <w:szCs w:val="18"/>
                  <w:color w:val="0000EE"/>
                  <w:w w:val="97"/>
                </w:rPr>
                <w:t>S-4/A</w:t>
              </w:r>
            </w:hyperlink>
          </w:p>
        </w:tc>
        <w:tc>
          <w:tcPr>
            <w:tcW w:w="2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Borders>
              <w:bottom w:val="single" w:sz="8" w:color="0000EE"/>
            </w:tcBorders>
            <w:gridSpan w:val="3"/>
          </w:tcPr>
          <w:p>
            <w:pPr>
              <w:jc w:val="center"/>
              <w:spacing w:after="0"/>
              <w:rPr>
                <w:rFonts w:ascii="Arial" w:cs="Arial" w:eastAsia="Arial" w:hAnsi="Arial"/>
                <w:sz w:val="18"/>
                <w:szCs w:val="18"/>
                <w:color w:val="0000EE"/>
                <w:w w:val="87"/>
              </w:rPr>
            </w:pPr>
            <w:hyperlink r:id="rId17">
              <w:r>
                <w:rPr>
                  <w:rFonts w:ascii="Arial" w:cs="Arial" w:eastAsia="Arial" w:hAnsi="Arial"/>
                  <w:sz w:val="18"/>
                  <w:szCs w:val="18"/>
                  <w:color w:val="0000EE"/>
                  <w:w w:val="87"/>
                </w:rPr>
                <w:t>December 26, 2018</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8"/>
        </w:trPr>
        <w:tc>
          <w:tcPr>
            <w:tcW w:w="680" w:type="dxa"/>
            <w:vAlign w:val="bottom"/>
            <w:gridSpan w:val="6"/>
          </w:tcPr>
          <w:p>
            <w:pPr>
              <w:spacing w:after="0"/>
              <w:rPr>
                <w:rFonts w:ascii="Arial" w:cs="Arial" w:eastAsia="Arial" w:hAnsi="Arial"/>
                <w:sz w:val="18"/>
                <w:szCs w:val="18"/>
                <w:color w:val="0000EE"/>
                <w:w w:val="92"/>
              </w:rPr>
            </w:pPr>
            <w:hyperlink r:id="rId18">
              <w:r>
                <w:rPr>
                  <w:rFonts w:ascii="Arial" w:cs="Arial" w:eastAsia="Arial" w:hAnsi="Arial"/>
                  <w:sz w:val="18"/>
                  <w:szCs w:val="18"/>
                  <w:color w:val="0000EE"/>
                  <w:w w:val="92"/>
                </w:rPr>
                <w:t>(a)(1)(C)</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gridSpan w:val="21"/>
          </w:tcPr>
          <w:p>
            <w:pPr>
              <w:spacing w:after="0"/>
              <w:rPr>
                <w:rFonts w:ascii="Arial" w:cs="Arial" w:eastAsia="Arial" w:hAnsi="Arial"/>
                <w:sz w:val="18"/>
                <w:szCs w:val="18"/>
                <w:color w:val="0000EE"/>
              </w:rPr>
            </w:pPr>
            <w:hyperlink r:id="rId18">
              <w:r>
                <w:rPr>
                  <w:rFonts w:ascii="Arial" w:cs="Arial" w:eastAsia="Arial" w:hAnsi="Arial"/>
                  <w:sz w:val="18"/>
                  <w:szCs w:val="18"/>
                  <w:color w:val="0000EE"/>
                </w:rPr>
                <w:t>Form of Notice of Guaranteed Delivery</w:t>
              </w:r>
            </w:hyperlink>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20"/>
              <w:spacing w:after="0"/>
              <w:rPr>
                <w:rFonts w:ascii="Arial" w:cs="Arial" w:eastAsia="Arial" w:hAnsi="Arial"/>
                <w:sz w:val="18"/>
                <w:szCs w:val="18"/>
                <w:color w:val="0000EE"/>
                <w:w w:val="91"/>
              </w:rPr>
            </w:pPr>
            <w:hyperlink r:id="rId18">
              <w:r>
                <w:rPr>
                  <w:rFonts w:ascii="Arial" w:cs="Arial" w:eastAsia="Arial" w:hAnsi="Arial"/>
                  <w:sz w:val="18"/>
                  <w:szCs w:val="18"/>
                  <w:color w:val="0000EE"/>
                  <w:w w:val="91"/>
                </w:rPr>
                <w:t>By Reference</w:t>
              </w:r>
            </w:hyperlink>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5"/>
          </w:tcPr>
          <w:p>
            <w:pPr>
              <w:jc w:val="center"/>
              <w:ind w:right="200"/>
              <w:spacing w:after="0"/>
              <w:rPr>
                <w:rFonts w:ascii="Arial" w:cs="Arial" w:eastAsia="Arial" w:hAnsi="Arial"/>
                <w:sz w:val="18"/>
                <w:szCs w:val="18"/>
                <w:color w:val="0000EE"/>
                <w:w w:val="97"/>
              </w:rPr>
            </w:pPr>
            <w:hyperlink r:id="rId18">
              <w:r>
                <w:rPr>
                  <w:rFonts w:ascii="Arial" w:cs="Arial" w:eastAsia="Arial" w:hAnsi="Arial"/>
                  <w:sz w:val="18"/>
                  <w:szCs w:val="18"/>
                  <w:color w:val="0000EE"/>
                  <w:w w:val="97"/>
                </w:rPr>
                <w:t>S-4/A</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4"/>
          </w:tcPr>
          <w:p>
            <w:pPr>
              <w:jc w:val="center"/>
              <w:ind w:right="100"/>
              <w:spacing w:after="0"/>
              <w:rPr>
                <w:rFonts w:ascii="Arial" w:cs="Arial" w:eastAsia="Arial" w:hAnsi="Arial"/>
                <w:sz w:val="18"/>
                <w:szCs w:val="18"/>
                <w:color w:val="0000EE"/>
                <w:w w:val="87"/>
              </w:rPr>
            </w:pPr>
            <w:hyperlink r:id="rId18">
              <w:r>
                <w:rPr>
                  <w:rFonts w:ascii="Arial" w:cs="Arial" w:eastAsia="Arial" w:hAnsi="Arial"/>
                  <w:sz w:val="18"/>
                  <w:szCs w:val="18"/>
                  <w:color w:val="0000EE"/>
                  <w:w w:val="87"/>
                </w:rPr>
                <w:t>December 26, 2018</w:t>
              </w:r>
            </w:hyperlink>
          </w:p>
        </w:tc>
        <w:tc>
          <w:tcPr>
            <w:tcW w:w="100" w:type="dxa"/>
            <w:vAlign w:val="bottom"/>
          </w:tcPr>
          <w:p>
            <w:pPr>
              <w:spacing w:after="0"/>
              <w:rPr>
                <w:sz w:val="24"/>
                <w:szCs w:val="24"/>
                <w:color w:val="auto"/>
              </w:rPr>
            </w:pPr>
          </w:p>
        </w:tc>
      </w:tr>
      <w:tr>
        <w:trPr>
          <w:trHeight w:val="20"/>
        </w:trPr>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680" w:type="dxa"/>
            <w:vAlign w:val="bottom"/>
            <w:gridSpan w:val="6"/>
          </w:tcPr>
          <w:p>
            <w:pPr>
              <w:spacing w:after="0"/>
              <w:rPr>
                <w:rFonts w:ascii="Arial" w:cs="Arial" w:eastAsia="Arial" w:hAnsi="Arial"/>
                <w:sz w:val="18"/>
                <w:szCs w:val="18"/>
                <w:color w:val="0000EE"/>
                <w:w w:val="92"/>
              </w:rPr>
            </w:pPr>
            <w:hyperlink r:id="rId19">
              <w:r>
                <w:rPr>
                  <w:rFonts w:ascii="Arial" w:cs="Arial" w:eastAsia="Arial" w:hAnsi="Arial"/>
                  <w:sz w:val="18"/>
                  <w:szCs w:val="18"/>
                  <w:color w:val="0000EE"/>
                  <w:w w:val="92"/>
                </w:rPr>
                <w:t>(a)(1)(D)</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gridSpan w:val="21"/>
          </w:tcPr>
          <w:p>
            <w:pPr>
              <w:spacing w:after="0"/>
              <w:rPr>
                <w:rFonts w:ascii="Arial" w:cs="Arial" w:eastAsia="Arial" w:hAnsi="Arial"/>
                <w:sz w:val="18"/>
                <w:szCs w:val="18"/>
                <w:color w:val="0000EE"/>
              </w:rPr>
            </w:pPr>
            <w:hyperlink r:id="rId19">
              <w:r>
                <w:rPr>
                  <w:rFonts w:ascii="Arial" w:cs="Arial" w:eastAsia="Arial" w:hAnsi="Arial"/>
                  <w:sz w:val="18"/>
                  <w:szCs w:val="18"/>
                  <w:color w:val="0000EE"/>
                </w:rPr>
                <w:t>Form of Letter to Brokers, Dealers, Commercial Banks, Trust</w:t>
              </w:r>
            </w:hyperlink>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20"/>
              <w:spacing w:after="0"/>
              <w:rPr>
                <w:rFonts w:ascii="Arial" w:cs="Arial" w:eastAsia="Arial" w:hAnsi="Arial"/>
                <w:sz w:val="18"/>
                <w:szCs w:val="18"/>
                <w:color w:val="0000EE"/>
                <w:w w:val="91"/>
              </w:rPr>
            </w:pPr>
            <w:hyperlink r:id="rId19">
              <w:r>
                <w:rPr>
                  <w:rFonts w:ascii="Arial" w:cs="Arial" w:eastAsia="Arial" w:hAnsi="Arial"/>
                  <w:sz w:val="18"/>
                  <w:szCs w:val="18"/>
                  <w:color w:val="0000EE"/>
                  <w:w w:val="91"/>
                </w:rPr>
                <w:t>By Reference</w:t>
              </w:r>
            </w:hyperlink>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5"/>
          </w:tcPr>
          <w:p>
            <w:pPr>
              <w:jc w:val="center"/>
              <w:ind w:right="200"/>
              <w:spacing w:after="0"/>
              <w:rPr>
                <w:rFonts w:ascii="Arial" w:cs="Arial" w:eastAsia="Arial" w:hAnsi="Arial"/>
                <w:sz w:val="18"/>
                <w:szCs w:val="18"/>
                <w:color w:val="0000EE"/>
                <w:w w:val="97"/>
              </w:rPr>
            </w:pPr>
            <w:hyperlink r:id="rId19">
              <w:r>
                <w:rPr>
                  <w:rFonts w:ascii="Arial" w:cs="Arial" w:eastAsia="Arial" w:hAnsi="Arial"/>
                  <w:sz w:val="18"/>
                  <w:szCs w:val="18"/>
                  <w:color w:val="0000EE"/>
                  <w:w w:val="97"/>
                </w:rPr>
                <w:t>S-4/A</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4"/>
          </w:tcPr>
          <w:p>
            <w:pPr>
              <w:jc w:val="center"/>
              <w:ind w:right="100"/>
              <w:spacing w:after="0"/>
              <w:rPr>
                <w:rFonts w:ascii="Arial" w:cs="Arial" w:eastAsia="Arial" w:hAnsi="Arial"/>
                <w:sz w:val="18"/>
                <w:szCs w:val="18"/>
                <w:color w:val="0000EE"/>
                <w:w w:val="87"/>
              </w:rPr>
            </w:pPr>
            <w:hyperlink r:id="rId19">
              <w:r>
                <w:rPr>
                  <w:rFonts w:ascii="Arial" w:cs="Arial" w:eastAsia="Arial" w:hAnsi="Arial"/>
                  <w:sz w:val="18"/>
                  <w:szCs w:val="18"/>
                  <w:color w:val="0000EE"/>
                  <w:w w:val="87"/>
                </w:rPr>
                <w:t>December 26, 2018</w:t>
              </w:r>
            </w:hyperlink>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r:id="rId19">
              <w:r>
                <w:rPr>
                  <w:rFonts w:ascii="Arial" w:cs="Arial" w:eastAsia="Arial" w:hAnsi="Arial"/>
                  <w:sz w:val="18"/>
                  <w:szCs w:val="18"/>
                  <w:color w:val="0000EE"/>
                  <w:w w:val="88"/>
                </w:rPr>
                <w:t>Companies and Other Nominees</w:t>
              </w:r>
            </w:hyperlink>
          </w:p>
        </w:tc>
        <w:tc>
          <w:tcPr>
            <w:tcW w:w="2080" w:type="dxa"/>
            <w:vAlign w:val="bottom"/>
            <w:tcBorders>
              <w:top w:val="single" w:sz="8" w:color="0000EE"/>
            </w:tcBorders>
            <w:gridSpan w:val="9"/>
          </w:tcPr>
          <w:p>
            <w:pPr>
              <w:spacing w:after="0"/>
              <w:rPr>
                <w:sz w:val="17"/>
                <w:szCs w:val="17"/>
                <w:color w:val="auto"/>
              </w:rPr>
            </w:pPr>
          </w:p>
        </w:tc>
        <w:tc>
          <w:tcPr>
            <w:tcW w:w="520" w:type="dxa"/>
            <w:vAlign w:val="bottom"/>
            <w:gridSpan w:val="8"/>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8"/>
        </w:trPr>
        <w:tc>
          <w:tcPr>
            <w:tcW w:w="1520" w:type="dxa"/>
            <w:vAlign w:val="bottom"/>
            <w:gridSpan w:val="7"/>
          </w:tcPr>
          <w:p>
            <w:pPr>
              <w:spacing w:after="0"/>
              <w:rPr>
                <w:rFonts w:ascii="Arial" w:cs="Arial" w:eastAsia="Arial" w:hAnsi="Arial"/>
                <w:sz w:val="18"/>
                <w:szCs w:val="18"/>
                <w:color w:val="0000EE"/>
              </w:rPr>
            </w:pPr>
            <w:hyperlink r:id="rId20">
              <w:r>
                <w:rPr>
                  <w:rFonts w:ascii="Arial" w:cs="Arial" w:eastAsia="Arial" w:hAnsi="Arial"/>
                  <w:sz w:val="18"/>
                  <w:szCs w:val="18"/>
                  <w:color w:val="0000EE"/>
                </w:rPr>
                <w:t>(a)(1)(E)</w:t>
              </w:r>
            </w:hyperlink>
          </w:p>
        </w:tc>
        <w:tc>
          <w:tcPr>
            <w:tcW w:w="200" w:type="dxa"/>
            <w:vAlign w:val="bottom"/>
          </w:tcPr>
          <w:p>
            <w:pPr>
              <w:spacing w:after="0"/>
              <w:rPr>
                <w:sz w:val="24"/>
                <w:szCs w:val="24"/>
                <w:color w:val="auto"/>
              </w:rPr>
            </w:pPr>
          </w:p>
        </w:tc>
        <w:tc>
          <w:tcPr>
            <w:tcW w:w="4940" w:type="dxa"/>
            <w:vAlign w:val="bottom"/>
            <w:gridSpan w:val="21"/>
          </w:tcPr>
          <w:p>
            <w:pPr>
              <w:spacing w:after="0"/>
              <w:rPr>
                <w:rFonts w:ascii="Arial" w:cs="Arial" w:eastAsia="Arial" w:hAnsi="Arial"/>
                <w:sz w:val="18"/>
                <w:szCs w:val="18"/>
                <w:color w:val="0000EE"/>
                <w:w w:val="94"/>
              </w:rPr>
            </w:pPr>
            <w:hyperlink r:id="rId20">
              <w:r>
                <w:rPr>
                  <w:rFonts w:ascii="Arial" w:cs="Arial" w:eastAsia="Arial" w:hAnsi="Arial"/>
                  <w:sz w:val="18"/>
                  <w:szCs w:val="18"/>
                  <w:color w:val="0000EE"/>
                  <w:w w:val="94"/>
                </w:rPr>
                <w:t>Form of Letter to Clients of Brokers, Dealers, Commercial Banks,</w:t>
              </w:r>
            </w:hyperlink>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20"/>
              <w:spacing w:after="0"/>
              <w:rPr>
                <w:rFonts w:ascii="Arial" w:cs="Arial" w:eastAsia="Arial" w:hAnsi="Arial"/>
                <w:sz w:val="18"/>
                <w:szCs w:val="18"/>
                <w:color w:val="0000EE"/>
                <w:w w:val="91"/>
              </w:rPr>
            </w:pPr>
            <w:hyperlink r:id="rId20">
              <w:r>
                <w:rPr>
                  <w:rFonts w:ascii="Arial" w:cs="Arial" w:eastAsia="Arial" w:hAnsi="Arial"/>
                  <w:sz w:val="18"/>
                  <w:szCs w:val="18"/>
                  <w:color w:val="0000EE"/>
                  <w:w w:val="91"/>
                </w:rPr>
                <w:t>By Reference</w:t>
              </w:r>
            </w:hyperlink>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5"/>
          </w:tcPr>
          <w:p>
            <w:pPr>
              <w:jc w:val="center"/>
              <w:ind w:right="200"/>
              <w:spacing w:after="0"/>
              <w:rPr>
                <w:rFonts w:ascii="Arial" w:cs="Arial" w:eastAsia="Arial" w:hAnsi="Arial"/>
                <w:sz w:val="18"/>
                <w:szCs w:val="18"/>
                <w:color w:val="0000EE"/>
                <w:w w:val="97"/>
              </w:rPr>
            </w:pPr>
            <w:hyperlink r:id="rId20">
              <w:r>
                <w:rPr>
                  <w:rFonts w:ascii="Arial" w:cs="Arial" w:eastAsia="Arial" w:hAnsi="Arial"/>
                  <w:sz w:val="18"/>
                  <w:szCs w:val="18"/>
                  <w:color w:val="0000EE"/>
                  <w:w w:val="97"/>
                </w:rPr>
                <w:t>S-4/A</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4"/>
          </w:tcPr>
          <w:p>
            <w:pPr>
              <w:jc w:val="center"/>
              <w:ind w:right="100"/>
              <w:spacing w:after="0"/>
              <w:rPr>
                <w:rFonts w:ascii="Arial" w:cs="Arial" w:eastAsia="Arial" w:hAnsi="Arial"/>
                <w:sz w:val="18"/>
                <w:szCs w:val="18"/>
                <w:color w:val="0000EE"/>
                <w:w w:val="87"/>
              </w:rPr>
            </w:pPr>
            <w:hyperlink r:id="rId20">
              <w:r>
                <w:rPr>
                  <w:rFonts w:ascii="Arial" w:cs="Arial" w:eastAsia="Arial" w:hAnsi="Arial"/>
                  <w:sz w:val="18"/>
                  <w:szCs w:val="18"/>
                  <w:color w:val="0000EE"/>
                  <w:w w:val="87"/>
                </w:rPr>
                <w:t>December 26, 2018</w:t>
              </w:r>
            </w:hyperlink>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r:id="rId20">
              <w:r>
                <w:rPr>
                  <w:rFonts w:ascii="Arial" w:cs="Arial" w:eastAsia="Arial" w:hAnsi="Arial"/>
                  <w:sz w:val="18"/>
                  <w:szCs w:val="18"/>
                  <w:color w:val="0000EE"/>
                  <w:w w:val="88"/>
                </w:rPr>
                <w:t>Trust Companies and Other Nominees</w:t>
              </w:r>
            </w:hyperlink>
          </w:p>
        </w:tc>
        <w:tc>
          <w:tcPr>
            <w:tcW w:w="2000" w:type="dxa"/>
            <w:vAlign w:val="bottom"/>
            <w:tcBorders>
              <w:top w:val="single" w:sz="8" w:color="0000EE"/>
            </w:tcBorders>
            <w:gridSpan w:val="11"/>
          </w:tcPr>
          <w:p>
            <w:pPr>
              <w:spacing w:after="0"/>
              <w:rPr>
                <w:sz w:val="17"/>
                <w:szCs w:val="17"/>
                <w:color w:val="auto"/>
              </w:rPr>
            </w:pPr>
          </w:p>
        </w:tc>
        <w:tc>
          <w:tcPr>
            <w:tcW w:w="18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58"/>
        </w:trPr>
        <w:tc>
          <w:tcPr>
            <w:tcW w:w="1520" w:type="dxa"/>
            <w:vAlign w:val="bottom"/>
            <w:gridSpan w:val="7"/>
          </w:tcPr>
          <w:p>
            <w:pPr>
              <w:spacing w:after="0"/>
              <w:rPr>
                <w:sz w:val="20"/>
                <w:szCs w:val="20"/>
                <w:color w:val="auto"/>
              </w:rPr>
            </w:pPr>
            <w:r>
              <w:rPr>
                <w:rFonts w:ascii="Arial" w:cs="Arial" w:eastAsia="Arial" w:hAnsi="Arial"/>
                <w:sz w:val="18"/>
                <w:szCs w:val="18"/>
                <w:color w:val="auto"/>
              </w:rPr>
              <w:t>(a)(2)</w:t>
            </w:r>
          </w:p>
        </w:tc>
        <w:tc>
          <w:tcPr>
            <w:tcW w:w="200" w:type="dxa"/>
            <w:vAlign w:val="bottom"/>
          </w:tcPr>
          <w:p>
            <w:pPr>
              <w:spacing w:after="0"/>
              <w:rPr>
                <w:sz w:val="24"/>
                <w:szCs w:val="24"/>
                <w:color w:val="auto"/>
              </w:rPr>
            </w:pPr>
          </w:p>
        </w:tc>
        <w:tc>
          <w:tcPr>
            <w:tcW w:w="4940" w:type="dxa"/>
            <w:vAlign w:val="bottom"/>
            <w:gridSpan w:val="21"/>
          </w:tcPr>
          <w:p>
            <w:pPr>
              <w:spacing w:after="0"/>
              <w:rPr>
                <w:sz w:val="20"/>
                <w:szCs w:val="20"/>
                <w:color w:val="auto"/>
              </w:rPr>
            </w:pPr>
            <w:r>
              <w:rPr>
                <w:rFonts w:ascii="Arial" w:cs="Arial" w:eastAsia="Arial" w:hAnsi="Arial"/>
                <w:sz w:val="18"/>
                <w:szCs w:val="18"/>
                <w:color w:val="auto"/>
              </w:rPr>
              <w:t>Not applicable</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4"/>
          </w:tcPr>
          <w:p>
            <w:pPr>
              <w:jc w:val="center"/>
              <w:ind w:right="2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r>
      <w:tr>
        <w:trPr>
          <w:trHeight w:val="338"/>
        </w:trPr>
        <w:tc>
          <w:tcPr>
            <w:tcW w:w="1520" w:type="dxa"/>
            <w:vAlign w:val="bottom"/>
            <w:gridSpan w:val="7"/>
          </w:tcPr>
          <w:p>
            <w:pPr>
              <w:spacing w:after="0"/>
              <w:rPr>
                <w:sz w:val="20"/>
                <w:szCs w:val="20"/>
                <w:color w:val="auto"/>
              </w:rPr>
            </w:pPr>
            <w:r>
              <w:rPr>
                <w:rFonts w:ascii="Arial" w:cs="Arial" w:eastAsia="Arial" w:hAnsi="Arial"/>
                <w:sz w:val="18"/>
                <w:szCs w:val="18"/>
                <w:color w:val="auto"/>
              </w:rPr>
              <w:t>(a)(3)</w:t>
            </w:r>
          </w:p>
        </w:tc>
        <w:tc>
          <w:tcPr>
            <w:tcW w:w="200" w:type="dxa"/>
            <w:vAlign w:val="bottom"/>
          </w:tcPr>
          <w:p>
            <w:pPr>
              <w:spacing w:after="0"/>
              <w:rPr>
                <w:sz w:val="24"/>
                <w:szCs w:val="24"/>
                <w:color w:val="auto"/>
              </w:rPr>
            </w:pPr>
          </w:p>
        </w:tc>
        <w:tc>
          <w:tcPr>
            <w:tcW w:w="4940" w:type="dxa"/>
            <w:vAlign w:val="bottom"/>
            <w:gridSpan w:val="21"/>
          </w:tcPr>
          <w:p>
            <w:pPr>
              <w:spacing w:after="0"/>
              <w:rPr>
                <w:sz w:val="20"/>
                <w:szCs w:val="20"/>
                <w:color w:val="auto"/>
              </w:rPr>
            </w:pPr>
            <w:r>
              <w:rPr>
                <w:rFonts w:ascii="Arial" w:cs="Arial" w:eastAsia="Arial" w:hAnsi="Arial"/>
                <w:sz w:val="18"/>
                <w:szCs w:val="18"/>
                <w:color w:val="auto"/>
              </w:rPr>
              <w:t>Not applicable</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4"/>
          </w:tcPr>
          <w:p>
            <w:pPr>
              <w:jc w:val="center"/>
              <w:ind w:right="2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r>
      <w:tr>
        <w:trPr>
          <w:trHeight w:val="297"/>
        </w:trPr>
        <w:tc>
          <w:tcPr>
            <w:tcW w:w="1520" w:type="dxa"/>
            <w:vAlign w:val="bottom"/>
            <w:gridSpan w:val="7"/>
          </w:tcPr>
          <w:p>
            <w:pPr>
              <w:spacing w:after="0"/>
              <w:rPr>
                <w:rFonts w:ascii="Arial" w:cs="Arial" w:eastAsia="Arial" w:hAnsi="Arial"/>
                <w:sz w:val="18"/>
                <w:szCs w:val="18"/>
                <w:color w:val="0000EE"/>
              </w:rPr>
            </w:pPr>
            <w:hyperlink r:id="rId16">
              <w:r>
                <w:rPr>
                  <w:rFonts w:ascii="Arial" w:cs="Arial" w:eastAsia="Arial" w:hAnsi="Arial"/>
                  <w:sz w:val="18"/>
                  <w:szCs w:val="18"/>
                  <w:color w:val="0000EE"/>
                </w:rPr>
                <w:t>(a)(4)</w:t>
              </w:r>
            </w:hyperlink>
          </w:p>
        </w:tc>
        <w:tc>
          <w:tcPr>
            <w:tcW w:w="200" w:type="dxa"/>
            <w:vAlign w:val="bottom"/>
          </w:tcPr>
          <w:p>
            <w:pPr>
              <w:spacing w:after="0"/>
              <w:rPr>
                <w:sz w:val="24"/>
                <w:szCs w:val="24"/>
                <w:color w:val="auto"/>
              </w:rPr>
            </w:pPr>
          </w:p>
        </w:tc>
        <w:tc>
          <w:tcPr>
            <w:tcW w:w="4940" w:type="dxa"/>
            <w:vAlign w:val="bottom"/>
            <w:gridSpan w:val="21"/>
          </w:tcPr>
          <w:p>
            <w:pPr>
              <w:spacing w:after="0"/>
              <w:rPr>
                <w:rFonts w:ascii="Arial" w:cs="Arial" w:eastAsia="Arial" w:hAnsi="Arial"/>
                <w:sz w:val="18"/>
                <w:szCs w:val="18"/>
                <w:color w:val="0000EE"/>
                <w:w w:val="91"/>
              </w:rPr>
            </w:pPr>
            <w:hyperlink r:id="rId16">
              <w:r>
                <w:rPr>
                  <w:rFonts w:ascii="Arial" w:cs="Arial" w:eastAsia="Arial" w:hAnsi="Arial"/>
                  <w:sz w:val="18"/>
                  <w:szCs w:val="18"/>
                  <w:color w:val="0000EE"/>
                  <w:w w:val="91"/>
                </w:rPr>
                <w:t>Prospectus/Offer to Exchange (incorporated by reference to Exhibit</w:t>
              </w:r>
            </w:hyperlink>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By Reference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5"/>
          </w:tcPr>
          <w:p>
            <w:pPr>
              <w:jc w:val="center"/>
              <w:ind w:right="200"/>
              <w:spacing w:after="0"/>
              <w:rPr>
                <w:sz w:val="20"/>
                <w:szCs w:val="20"/>
                <w:color w:val="auto"/>
              </w:rPr>
            </w:pPr>
            <w:r>
              <w:rPr>
                <w:rFonts w:ascii="Arial" w:cs="Arial" w:eastAsia="Arial" w:hAnsi="Arial"/>
                <w:sz w:val="18"/>
                <w:szCs w:val="18"/>
                <w:color w:val="auto"/>
                <w:w w:val="97"/>
              </w:rPr>
              <w:t>S-4/A</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4"/>
          </w:tcPr>
          <w:p>
            <w:pPr>
              <w:jc w:val="center"/>
              <w:ind w:right="140"/>
              <w:spacing w:after="0"/>
              <w:rPr>
                <w:sz w:val="20"/>
                <w:szCs w:val="20"/>
                <w:color w:val="auto"/>
              </w:rPr>
            </w:pPr>
            <w:r>
              <w:rPr>
                <w:rFonts w:ascii="Arial" w:cs="Arial" w:eastAsia="Arial" w:hAnsi="Arial"/>
                <w:sz w:val="18"/>
                <w:szCs w:val="18"/>
                <w:color w:val="auto"/>
                <w:w w:val="87"/>
              </w:rPr>
              <w:t>January 22, 2019</w:t>
            </w:r>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r:id="rId16">
              <w:r>
                <w:rPr>
                  <w:rFonts w:ascii="Arial" w:cs="Arial" w:eastAsia="Arial" w:hAnsi="Arial"/>
                  <w:sz w:val="18"/>
                  <w:szCs w:val="18"/>
                  <w:color w:val="0000EE"/>
                  <w:w w:val="94"/>
                </w:rPr>
                <w:t>(a)(1)(A))</w:t>
              </w:r>
            </w:hyperlink>
          </w:p>
        </w:tc>
        <w:tc>
          <w:tcPr>
            <w:tcW w:w="4140" w:type="dxa"/>
            <w:vAlign w:val="bottom"/>
            <w:tcBorders>
              <w:top w:val="single" w:sz="8" w:color="0000EE"/>
            </w:tcBorders>
            <w:gridSpan w:val="17"/>
          </w:tcPr>
          <w:p>
            <w:pPr>
              <w:spacing w:after="0"/>
              <w:rPr>
                <w:sz w:val="17"/>
                <w:szCs w:val="17"/>
                <w:color w:val="auto"/>
              </w:rPr>
            </w:pPr>
          </w:p>
        </w:tc>
        <w:tc>
          <w:tcPr>
            <w:tcW w:w="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8"/>
        </w:trPr>
        <w:tc>
          <w:tcPr>
            <w:tcW w:w="680" w:type="dxa"/>
            <w:vAlign w:val="bottom"/>
            <w:gridSpan w:val="6"/>
          </w:tcPr>
          <w:p>
            <w:pPr>
              <w:spacing w:after="0"/>
              <w:rPr>
                <w:rFonts w:ascii="Arial" w:cs="Arial" w:eastAsia="Arial" w:hAnsi="Arial"/>
                <w:sz w:val="18"/>
                <w:szCs w:val="18"/>
                <w:color w:val="0000EE"/>
                <w:w w:val="94"/>
              </w:rPr>
            </w:pPr>
            <w:hyperlink r:id="rId21">
              <w:r>
                <w:rPr>
                  <w:rFonts w:ascii="Arial" w:cs="Arial" w:eastAsia="Arial" w:hAnsi="Arial"/>
                  <w:sz w:val="18"/>
                  <w:szCs w:val="18"/>
                  <w:color w:val="0000EE"/>
                  <w:w w:val="94"/>
                </w:rPr>
                <w:t>(a)(5)(A)</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9"/>
          </w:tcPr>
          <w:p>
            <w:pPr>
              <w:spacing w:after="0"/>
              <w:rPr>
                <w:rFonts w:ascii="Arial" w:cs="Arial" w:eastAsia="Arial" w:hAnsi="Arial"/>
                <w:sz w:val="18"/>
                <w:szCs w:val="18"/>
                <w:color w:val="0000EE"/>
                <w:w w:val="86"/>
              </w:rPr>
            </w:pPr>
            <w:hyperlink r:id="rId21">
              <w:r>
                <w:rPr>
                  <w:rFonts w:ascii="Arial" w:cs="Arial" w:eastAsia="Arial" w:hAnsi="Arial"/>
                  <w:sz w:val="18"/>
                  <w:szCs w:val="18"/>
                  <w:color w:val="0000EE"/>
                  <w:w w:val="86"/>
                </w:rPr>
                <w:t>Press Release, dated November 30, 2018</w:t>
              </w:r>
            </w:hyperlink>
          </w:p>
        </w:tc>
        <w:tc>
          <w:tcPr>
            <w:tcW w:w="2000" w:type="dxa"/>
            <w:vAlign w:val="bottom"/>
            <w:gridSpan w:val="12"/>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center"/>
              <w:spacing w:after="0"/>
              <w:rPr>
                <w:rFonts w:ascii="Arial" w:cs="Arial" w:eastAsia="Arial" w:hAnsi="Arial"/>
                <w:sz w:val="18"/>
                <w:szCs w:val="18"/>
                <w:color w:val="0000EE"/>
                <w:w w:val="91"/>
              </w:rPr>
            </w:pPr>
            <w:hyperlink r:id="rId21">
              <w:r>
                <w:rPr>
                  <w:rFonts w:ascii="Arial" w:cs="Arial" w:eastAsia="Arial" w:hAnsi="Arial"/>
                  <w:sz w:val="18"/>
                  <w:szCs w:val="18"/>
                  <w:color w:val="0000EE"/>
                  <w:w w:val="91"/>
                </w:rPr>
                <w:t>By Reference</w:t>
              </w:r>
            </w:hyperlink>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6"/>
          </w:tcPr>
          <w:p>
            <w:pPr>
              <w:jc w:val="center"/>
              <w:ind w:right="80"/>
              <w:spacing w:after="0"/>
              <w:rPr>
                <w:rFonts w:ascii="Arial" w:cs="Arial" w:eastAsia="Arial" w:hAnsi="Arial"/>
                <w:sz w:val="18"/>
                <w:szCs w:val="18"/>
                <w:color w:val="0000EE"/>
                <w:w w:val="86"/>
              </w:rPr>
            </w:pPr>
            <w:hyperlink r:id="rId21">
              <w:r>
                <w:rPr>
                  <w:rFonts w:ascii="Arial" w:cs="Arial" w:eastAsia="Arial" w:hAnsi="Arial"/>
                  <w:sz w:val="18"/>
                  <w:szCs w:val="18"/>
                  <w:color w:val="0000EE"/>
                  <w:w w:val="86"/>
                </w:rPr>
                <w:t>SC TO-C</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4"/>
          </w:tcPr>
          <w:p>
            <w:pPr>
              <w:jc w:val="center"/>
              <w:ind w:right="140"/>
              <w:spacing w:after="0"/>
              <w:rPr>
                <w:rFonts w:ascii="Arial" w:cs="Arial" w:eastAsia="Arial" w:hAnsi="Arial"/>
                <w:sz w:val="18"/>
                <w:szCs w:val="18"/>
                <w:color w:val="0000EE"/>
                <w:w w:val="90"/>
              </w:rPr>
            </w:pPr>
            <w:hyperlink r:id="rId21">
              <w:r>
                <w:rPr>
                  <w:rFonts w:ascii="Arial" w:cs="Arial" w:eastAsia="Arial" w:hAnsi="Arial"/>
                  <w:sz w:val="18"/>
                  <w:szCs w:val="18"/>
                  <w:color w:val="0000EE"/>
                  <w:w w:val="90"/>
                </w:rPr>
                <w:t>December 3, 2018</w:t>
              </w:r>
            </w:hyperlink>
          </w:p>
        </w:tc>
        <w:tc>
          <w:tcPr>
            <w:tcW w:w="100" w:type="dxa"/>
            <w:vAlign w:val="bottom"/>
          </w:tcPr>
          <w:p>
            <w:pPr>
              <w:spacing w:after="0"/>
              <w:rPr>
                <w:sz w:val="24"/>
                <w:szCs w:val="24"/>
                <w:color w:val="auto"/>
              </w:rPr>
            </w:pPr>
          </w:p>
        </w:tc>
      </w:tr>
      <w:tr>
        <w:trPr>
          <w:trHeight w:val="20"/>
        </w:trPr>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680" w:type="dxa"/>
            <w:vAlign w:val="bottom"/>
            <w:tcBorders>
              <w:bottom w:val="single" w:sz="8" w:color="0000EE"/>
            </w:tcBorders>
            <w:gridSpan w:val="6"/>
          </w:tcPr>
          <w:p>
            <w:pPr>
              <w:spacing w:after="0"/>
              <w:rPr>
                <w:rFonts w:ascii="Arial" w:cs="Arial" w:eastAsia="Arial" w:hAnsi="Arial"/>
                <w:sz w:val="18"/>
                <w:szCs w:val="18"/>
                <w:color w:val="0000EE"/>
                <w:w w:val="94"/>
              </w:rPr>
            </w:pPr>
            <w:hyperlink r:id="rId22">
              <w:r>
                <w:rPr>
                  <w:rFonts w:ascii="Arial" w:cs="Arial" w:eastAsia="Arial" w:hAnsi="Arial"/>
                  <w:sz w:val="18"/>
                  <w:szCs w:val="18"/>
                  <w:color w:val="0000EE"/>
                  <w:w w:val="94"/>
                </w:rPr>
                <w:t>(a)(5)(B)</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6"/>
              </w:rPr>
            </w:pPr>
            <w:hyperlink r:id="rId22">
              <w:r>
                <w:rPr>
                  <w:rFonts w:ascii="Arial" w:cs="Arial" w:eastAsia="Arial" w:hAnsi="Arial"/>
                  <w:sz w:val="18"/>
                  <w:szCs w:val="18"/>
                  <w:color w:val="0000EE"/>
                  <w:w w:val="86"/>
                </w:rPr>
                <w:t>Press Release, dated December 26, 2018</w:t>
              </w:r>
            </w:hyperlink>
          </w:p>
        </w:tc>
        <w:tc>
          <w:tcPr>
            <w:tcW w:w="2000" w:type="dxa"/>
            <w:vAlign w:val="bottom"/>
            <w:gridSpan w:val="12"/>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Borders>
              <w:bottom w:val="single" w:sz="8" w:color="0000EE"/>
            </w:tcBorders>
          </w:tcPr>
          <w:p>
            <w:pPr>
              <w:jc w:val="cente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By Reference</w:t>
              </w:r>
            </w:hyperlink>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0000EE"/>
            </w:tcBorders>
            <w:gridSpan w:val="5"/>
          </w:tcPr>
          <w:p>
            <w:pPr>
              <w:spacing w:after="0"/>
              <w:rPr>
                <w:rFonts w:ascii="Arial" w:cs="Arial" w:eastAsia="Arial" w:hAnsi="Arial"/>
                <w:sz w:val="18"/>
                <w:szCs w:val="18"/>
                <w:color w:val="0000EE"/>
                <w:w w:val="90"/>
              </w:rPr>
            </w:pPr>
            <w:hyperlink r:id="rId22">
              <w:r>
                <w:rPr>
                  <w:rFonts w:ascii="Arial" w:cs="Arial" w:eastAsia="Arial" w:hAnsi="Arial"/>
                  <w:sz w:val="18"/>
                  <w:szCs w:val="18"/>
                  <w:color w:val="0000EE"/>
                  <w:w w:val="90"/>
                </w:rPr>
                <w:t>SC TO-I</w:t>
              </w:r>
            </w:hyperlink>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Borders>
              <w:bottom w:val="single" w:sz="8" w:color="0000EE"/>
            </w:tcBorders>
            <w:gridSpan w:val="3"/>
          </w:tcPr>
          <w:p>
            <w:pPr>
              <w:jc w:val="center"/>
              <w:spacing w:after="0"/>
              <w:rPr>
                <w:rFonts w:ascii="Arial" w:cs="Arial" w:eastAsia="Arial" w:hAnsi="Arial"/>
                <w:sz w:val="18"/>
                <w:szCs w:val="18"/>
                <w:color w:val="0000EE"/>
                <w:w w:val="87"/>
              </w:rPr>
            </w:pPr>
            <w:hyperlink r:id="rId22">
              <w:r>
                <w:rPr>
                  <w:rFonts w:ascii="Arial" w:cs="Arial" w:eastAsia="Arial" w:hAnsi="Arial"/>
                  <w:sz w:val="18"/>
                  <w:szCs w:val="18"/>
                  <w:color w:val="0000EE"/>
                  <w:w w:val="87"/>
                </w:rPr>
                <w:t>December 26, 2018</w:t>
              </w:r>
            </w:hyperlink>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8"/>
        </w:trPr>
        <w:tc>
          <w:tcPr>
            <w:tcW w:w="6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(a)(5)(C)</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Press Release, dated January 22, 2019</w:t>
              </w:r>
            </w:hyperlink>
          </w:p>
        </w:tc>
        <w:tc>
          <w:tcPr>
            <w:tcW w:w="2200" w:type="dxa"/>
            <w:vAlign w:val="bottom"/>
            <w:gridSpan w:val="15"/>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Herewith</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1520" w:type="dxa"/>
            <w:vAlign w:val="bottom"/>
            <w:gridSpan w:val="7"/>
          </w:tcPr>
          <w:p>
            <w:pPr>
              <w:spacing w:after="0"/>
              <w:rPr>
                <w:sz w:val="20"/>
                <w:szCs w:val="20"/>
                <w:color w:val="auto"/>
              </w:rPr>
            </w:pPr>
            <w:r>
              <w:rPr>
                <w:rFonts w:ascii="Arial" w:cs="Arial" w:eastAsia="Arial" w:hAnsi="Arial"/>
                <w:sz w:val="18"/>
                <w:szCs w:val="18"/>
                <w:color w:val="auto"/>
              </w:rPr>
              <w:t>(b)</w:t>
            </w:r>
          </w:p>
        </w:tc>
        <w:tc>
          <w:tcPr>
            <w:tcW w:w="200" w:type="dxa"/>
            <w:vAlign w:val="bottom"/>
          </w:tcPr>
          <w:p>
            <w:pPr>
              <w:spacing w:after="0"/>
              <w:rPr>
                <w:sz w:val="24"/>
                <w:szCs w:val="24"/>
                <w:color w:val="auto"/>
              </w:rPr>
            </w:pPr>
          </w:p>
        </w:tc>
        <w:tc>
          <w:tcPr>
            <w:tcW w:w="4940" w:type="dxa"/>
            <w:vAlign w:val="bottom"/>
            <w:gridSpan w:val="21"/>
          </w:tcPr>
          <w:p>
            <w:pPr>
              <w:spacing w:after="0"/>
              <w:rPr>
                <w:sz w:val="20"/>
                <w:szCs w:val="20"/>
                <w:color w:val="auto"/>
              </w:rPr>
            </w:pPr>
            <w:r>
              <w:rPr>
                <w:rFonts w:ascii="Arial" w:cs="Arial" w:eastAsia="Arial" w:hAnsi="Arial"/>
                <w:sz w:val="18"/>
                <w:szCs w:val="18"/>
                <w:color w:val="auto"/>
              </w:rPr>
              <w:t>Not applicable</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1520" w:type="dxa"/>
            <w:vAlign w:val="bottom"/>
            <w:gridSpan w:val="7"/>
          </w:tcPr>
          <w:p>
            <w:pPr>
              <w:spacing w:after="0"/>
              <w:rPr>
                <w:rFonts w:ascii="Arial" w:cs="Arial" w:eastAsia="Arial" w:hAnsi="Arial"/>
                <w:sz w:val="18"/>
                <w:szCs w:val="18"/>
                <w:color w:val="0000EE"/>
              </w:rPr>
            </w:pPr>
            <w:hyperlink r:id="rId23">
              <w:r>
                <w:rPr>
                  <w:rFonts w:ascii="Arial" w:cs="Arial" w:eastAsia="Arial" w:hAnsi="Arial"/>
                  <w:sz w:val="18"/>
                  <w:szCs w:val="18"/>
                  <w:color w:val="0000EE"/>
                </w:rPr>
                <w:t>(d)(i)</w:t>
              </w:r>
            </w:hyperlink>
          </w:p>
        </w:tc>
        <w:tc>
          <w:tcPr>
            <w:tcW w:w="200" w:type="dxa"/>
            <w:vAlign w:val="bottom"/>
          </w:tcPr>
          <w:p>
            <w:pPr>
              <w:spacing w:after="0"/>
              <w:rPr>
                <w:sz w:val="24"/>
                <w:szCs w:val="24"/>
                <w:color w:val="auto"/>
              </w:rPr>
            </w:pPr>
          </w:p>
        </w:tc>
        <w:tc>
          <w:tcPr>
            <w:tcW w:w="4940" w:type="dxa"/>
            <w:vAlign w:val="bottom"/>
            <w:gridSpan w:val="21"/>
          </w:tcPr>
          <w:p>
            <w:pPr>
              <w:spacing w:after="0"/>
              <w:rPr>
                <w:rFonts w:ascii="Arial" w:cs="Arial" w:eastAsia="Arial" w:hAnsi="Arial"/>
                <w:sz w:val="18"/>
                <w:szCs w:val="18"/>
                <w:color w:val="0000EE"/>
              </w:rPr>
            </w:pPr>
            <w:hyperlink r:id="rId23">
              <w:r>
                <w:rPr>
                  <w:rFonts w:ascii="Arial" w:cs="Arial" w:eastAsia="Arial" w:hAnsi="Arial"/>
                  <w:sz w:val="18"/>
                  <w:szCs w:val="18"/>
                  <w:color w:val="0000EE"/>
                </w:rPr>
                <w:t>Second Amended and Restated Certificate of Incorporation of</w:t>
              </w:r>
            </w:hyperlink>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20"/>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By Reference</w:t>
              </w:r>
            </w:hyperlink>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5"/>
          </w:tcPr>
          <w:p>
            <w:pPr>
              <w:jc w:val="center"/>
              <w:ind w:right="200"/>
              <w:spacing w:after="0"/>
              <w:rPr>
                <w:rFonts w:ascii="Arial" w:cs="Arial" w:eastAsia="Arial" w:hAnsi="Arial"/>
                <w:sz w:val="18"/>
                <w:szCs w:val="18"/>
                <w:color w:val="0000EE"/>
                <w:w w:val="99"/>
              </w:rPr>
            </w:pPr>
            <w:hyperlink r:id="rId23">
              <w:r>
                <w:rPr>
                  <w:rFonts w:ascii="Arial" w:cs="Arial" w:eastAsia="Arial" w:hAnsi="Arial"/>
                  <w:sz w:val="18"/>
                  <w:szCs w:val="18"/>
                  <w:color w:val="0000EE"/>
                  <w:w w:val="99"/>
                </w:rPr>
                <w:t>8-K</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center"/>
              <w:ind w:right="320"/>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July 31, 2018</w:t>
              </w:r>
            </w:hyperlink>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Priority Technology Holdings, Inc.</w:t>
              </w:r>
            </w:hyperlink>
          </w:p>
        </w:tc>
        <w:tc>
          <w:tcPr>
            <w:tcW w:w="48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40" w:type="dxa"/>
            <w:vAlign w:val="bottom"/>
            <w:gridSpan w:val="4"/>
            <w:shd w:val="clear" w:color="auto" w:fill="0000EE"/>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520" w:type="dxa"/>
            <w:vAlign w:val="bottom"/>
            <w:gridSpan w:val="7"/>
          </w:tcPr>
          <w:p>
            <w:pPr>
              <w:spacing w:after="0"/>
              <w:rPr>
                <w:rFonts w:ascii="Arial" w:cs="Arial" w:eastAsia="Arial" w:hAnsi="Arial"/>
                <w:sz w:val="18"/>
                <w:szCs w:val="18"/>
                <w:color w:val="0000EE"/>
              </w:rPr>
            </w:pPr>
            <w:hyperlink r:id="rId24">
              <w:r>
                <w:rPr>
                  <w:rFonts w:ascii="Arial" w:cs="Arial" w:eastAsia="Arial" w:hAnsi="Arial"/>
                  <w:sz w:val="18"/>
                  <w:szCs w:val="18"/>
                  <w:color w:val="0000EE"/>
                </w:rPr>
                <w:t>(d)(ii)</w:t>
              </w:r>
            </w:hyperlink>
          </w:p>
        </w:tc>
        <w:tc>
          <w:tcPr>
            <w:tcW w:w="200" w:type="dxa"/>
            <w:vAlign w:val="bottom"/>
          </w:tcPr>
          <w:p>
            <w:pPr>
              <w:spacing w:after="0"/>
              <w:rPr>
                <w:sz w:val="24"/>
                <w:szCs w:val="24"/>
                <w:color w:val="auto"/>
              </w:rPr>
            </w:pPr>
          </w:p>
        </w:tc>
        <w:tc>
          <w:tcPr>
            <w:tcW w:w="4940" w:type="dxa"/>
            <w:vAlign w:val="bottom"/>
            <w:gridSpan w:val="21"/>
          </w:tcPr>
          <w:p>
            <w:pPr>
              <w:spacing w:after="0"/>
              <w:rPr>
                <w:rFonts w:ascii="Arial" w:cs="Arial" w:eastAsia="Arial" w:hAnsi="Arial"/>
                <w:sz w:val="18"/>
                <w:szCs w:val="18"/>
                <w:color w:val="0000EE"/>
                <w:w w:val="96"/>
              </w:rPr>
            </w:pPr>
            <w:hyperlink r:id="rId24">
              <w:r>
                <w:rPr>
                  <w:rFonts w:ascii="Arial" w:cs="Arial" w:eastAsia="Arial" w:hAnsi="Arial"/>
                  <w:sz w:val="18"/>
                  <w:szCs w:val="18"/>
                  <w:color w:val="0000EE"/>
                  <w:w w:val="96"/>
                </w:rPr>
                <w:t>Amended and Restated Bylaws of Priority Technology Holdings,</w:t>
              </w:r>
            </w:hyperlink>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20"/>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By Reference</w:t>
              </w:r>
            </w:hyperlink>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5"/>
          </w:tcPr>
          <w:p>
            <w:pPr>
              <w:jc w:val="center"/>
              <w:ind w:right="200"/>
              <w:spacing w:after="0"/>
              <w:rPr>
                <w:rFonts w:ascii="Arial" w:cs="Arial" w:eastAsia="Arial" w:hAnsi="Arial"/>
                <w:sz w:val="18"/>
                <w:szCs w:val="18"/>
                <w:color w:val="0000EE"/>
                <w:w w:val="99"/>
              </w:rPr>
            </w:pPr>
            <w:hyperlink r:id="rId24">
              <w:r>
                <w:rPr>
                  <w:rFonts w:ascii="Arial" w:cs="Arial" w:eastAsia="Arial" w:hAnsi="Arial"/>
                  <w:sz w:val="18"/>
                  <w:szCs w:val="18"/>
                  <w:color w:val="0000EE"/>
                  <w:w w:val="99"/>
                </w:rPr>
                <w:t>8-K</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center"/>
              <w:ind w:right="320"/>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July 31, 2018</w:t>
              </w:r>
            </w:hyperlink>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Inc.</w:t>
              </w:r>
            </w:hyperlink>
          </w:p>
        </w:tc>
        <w:tc>
          <w:tcPr>
            <w:tcW w:w="26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520" w:type="dxa"/>
            <w:vAlign w:val="bottom"/>
            <w:gridSpan w:val="7"/>
          </w:tcPr>
          <w:p>
            <w:pPr>
              <w:spacing w:after="0"/>
              <w:rPr>
                <w:rFonts w:ascii="Arial" w:cs="Arial" w:eastAsia="Arial" w:hAnsi="Arial"/>
                <w:sz w:val="18"/>
                <w:szCs w:val="18"/>
                <w:color w:val="0000EE"/>
              </w:rPr>
            </w:pPr>
            <w:hyperlink r:id="rId25">
              <w:r>
                <w:rPr>
                  <w:rFonts w:ascii="Arial" w:cs="Arial" w:eastAsia="Arial" w:hAnsi="Arial"/>
                  <w:sz w:val="18"/>
                  <w:szCs w:val="18"/>
                  <w:color w:val="0000EE"/>
                </w:rPr>
                <w:t>(d)(iii)</w:t>
              </w:r>
            </w:hyperlink>
          </w:p>
        </w:tc>
        <w:tc>
          <w:tcPr>
            <w:tcW w:w="200" w:type="dxa"/>
            <w:vAlign w:val="bottom"/>
          </w:tcPr>
          <w:p>
            <w:pPr>
              <w:spacing w:after="0"/>
              <w:rPr>
                <w:sz w:val="24"/>
                <w:szCs w:val="24"/>
                <w:color w:val="auto"/>
              </w:rPr>
            </w:pPr>
          </w:p>
        </w:tc>
        <w:tc>
          <w:tcPr>
            <w:tcW w:w="4940" w:type="dxa"/>
            <w:vAlign w:val="bottom"/>
            <w:gridSpan w:val="21"/>
          </w:tcPr>
          <w:p>
            <w:pPr>
              <w:spacing w:after="0"/>
              <w:rPr>
                <w:rFonts w:ascii="Arial" w:cs="Arial" w:eastAsia="Arial" w:hAnsi="Arial"/>
                <w:sz w:val="18"/>
                <w:szCs w:val="18"/>
                <w:color w:val="0000EE"/>
                <w:w w:val="95"/>
              </w:rPr>
            </w:pPr>
            <w:hyperlink r:id="rId25">
              <w:r>
                <w:rPr>
                  <w:rFonts w:ascii="Arial" w:cs="Arial" w:eastAsia="Arial" w:hAnsi="Arial"/>
                  <w:sz w:val="18"/>
                  <w:szCs w:val="18"/>
                  <w:color w:val="0000EE"/>
                  <w:w w:val="95"/>
                </w:rPr>
                <w:t>Warrant Agreement, dated September 13, 2016, by and between</w:t>
              </w:r>
            </w:hyperlink>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20"/>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By Reference</w:t>
              </w:r>
            </w:hyperlink>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5"/>
          </w:tcPr>
          <w:p>
            <w:pPr>
              <w:jc w:val="center"/>
              <w:ind w:right="200"/>
              <w:spacing w:after="0"/>
              <w:rPr>
                <w:rFonts w:ascii="Arial" w:cs="Arial" w:eastAsia="Arial" w:hAnsi="Arial"/>
                <w:sz w:val="18"/>
                <w:szCs w:val="18"/>
                <w:color w:val="0000EE"/>
                <w:w w:val="99"/>
              </w:rPr>
            </w:pPr>
            <w:hyperlink r:id="rId25">
              <w:r>
                <w:rPr>
                  <w:rFonts w:ascii="Arial" w:cs="Arial" w:eastAsia="Arial" w:hAnsi="Arial"/>
                  <w:sz w:val="18"/>
                  <w:szCs w:val="18"/>
                  <w:color w:val="0000EE"/>
                  <w:w w:val="99"/>
                </w:rPr>
                <w:t>8-K</w:t>
              </w:r>
            </w:hyperlink>
          </w:p>
        </w:tc>
        <w:tc>
          <w:tcPr>
            <w:tcW w:w="200" w:type="dxa"/>
            <w:vAlign w:val="bottom"/>
          </w:tcPr>
          <w:p>
            <w:pPr>
              <w:spacing w:after="0"/>
              <w:rPr>
                <w:sz w:val="24"/>
                <w:szCs w:val="24"/>
                <w:color w:val="auto"/>
              </w:rPr>
            </w:pPr>
          </w:p>
        </w:tc>
        <w:tc>
          <w:tcPr>
            <w:tcW w:w="1620" w:type="dxa"/>
            <w:vAlign w:val="bottom"/>
            <w:gridSpan w:val="5"/>
          </w:tcPr>
          <w:p>
            <w:pPr>
              <w:jc w:val="center"/>
              <w:spacing w:after="0"/>
              <w:rPr>
                <w:rFonts w:ascii="Arial" w:cs="Arial" w:eastAsia="Arial" w:hAnsi="Arial"/>
                <w:sz w:val="18"/>
                <w:szCs w:val="18"/>
                <w:color w:val="0000EE"/>
                <w:w w:val="89"/>
              </w:rPr>
            </w:pPr>
            <w:hyperlink r:id="rId25">
              <w:r>
                <w:rPr>
                  <w:rFonts w:ascii="Arial" w:cs="Arial" w:eastAsia="Arial" w:hAnsi="Arial"/>
                  <w:sz w:val="18"/>
                  <w:szCs w:val="18"/>
                  <w:color w:val="0000EE"/>
                  <w:w w:val="89"/>
                </w:rPr>
                <w:t>September 16, 2016</w:t>
              </w:r>
            </w:hyperlink>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60" w:type="dxa"/>
            <w:vAlign w:val="bottom"/>
            <w:gridSpan w:val="11"/>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40" w:type="dxa"/>
            <w:vAlign w:val="bottom"/>
            <w:gridSpan w:val="21"/>
          </w:tcPr>
          <w:p>
            <w:pPr>
              <w:spacing w:after="0" w:line="196" w:lineRule="exact"/>
              <w:rPr>
                <w:rFonts w:ascii="Arial" w:cs="Arial" w:eastAsia="Arial" w:hAnsi="Arial"/>
                <w:sz w:val="18"/>
                <w:szCs w:val="18"/>
                <w:color w:val="0000EE"/>
                <w:w w:val="91"/>
              </w:rPr>
            </w:pPr>
            <w:hyperlink r:id="rId25">
              <w:r>
                <w:rPr>
                  <w:rFonts w:ascii="Arial" w:cs="Arial" w:eastAsia="Arial" w:hAnsi="Arial"/>
                  <w:sz w:val="18"/>
                  <w:szCs w:val="18"/>
                  <w:color w:val="0000EE"/>
                  <w:w w:val="91"/>
                </w:rPr>
                <w:t>American Stock Transfer &amp; Trust Company, LLC and the Registrant</w:t>
              </w:r>
            </w:hyperlink>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8"/>
        </w:trPr>
        <w:tc>
          <w:tcPr>
            <w:tcW w:w="1520" w:type="dxa"/>
            <w:vAlign w:val="bottom"/>
            <w:gridSpan w:val="7"/>
          </w:tcPr>
          <w:p>
            <w:pPr>
              <w:spacing w:after="0"/>
              <w:rPr>
                <w:rFonts w:ascii="Arial" w:cs="Arial" w:eastAsia="Arial" w:hAnsi="Arial"/>
                <w:sz w:val="18"/>
                <w:szCs w:val="18"/>
                <w:color w:val="0000EE"/>
              </w:rPr>
            </w:pPr>
            <w:hyperlink r:id="rId26">
              <w:r>
                <w:rPr>
                  <w:rFonts w:ascii="Arial" w:cs="Arial" w:eastAsia="Arial" w:hAnsi="Arial"/>
                  <w:sz w:val="18"/>
                  <w:szCs w:val="18"/>
                  <w:color w:val="0000EE"/>
                </w:rPr>
                <w:t>(d)(iv)</w:t>
              </w:r>
            </w:hyperlink>
          </w:p>
        </w:tc>
        <w:tc>
          <w:tcPr>
            <w:tcW w:w="200" w:type="dxa"/>
            <w:vAlign w:val="bottom"/>
          </w:tcPr>
          <w:p>
            <w:pPr>
              <w:spacing w:after="0"/>
              <w:rPr>
                <w:sz w:val="24"/>
                <w:szCs w:val="24"/>
                <w:color w:val="auto"/>
              </w:rPr>
            </w:pPr>
          </w:p>
        </w:tc>
        <w:tc>
          <w:tcPr>
            <w:tcW w:w="4920" w:type="dxa"/>
            <w:vAlign w:val="bottom"/>
            <w:tcBorders>
              <w:top w:val="single" w:sz="8" w:color="0000EE"/>
            </w:tcBorders>
            <w:gridSpan w:val="20"/>
          </w:tcPr>
          <w:p>
            <w:pPr>
              <w:spacing w:after="0"/>
              <w:rPr>
                <w:rFonts w:ascii="Arial" w:cs="Arial" w:eastAsia="Arial" w:hAnsi="Arial"/>
                <w:sz w:val="18"/>
                <w:szCs w:val="18"/>
                <w:color w:val="0000EE"/>
                <w:w w:val="96"/>
              </w:rPr>
            </w:pPr>
            <w:hyperlink r:id="rId26">
              <w:r>
                <w:rPr>
                  <w:rFonts w:ascii="Arial" w:cs="Arial" w:eastAsia="Arial" w:hAnsi="Arial"/>
                  <w:sz w:val="18"/>
                  <w:szCs w:val="18"/>
                  <w:color w:val="0000EE"/>
                  <w:w w:val="96"/>
                </w:rPr>
                <w:t>Registration Rights Agreement dated as of July 25, 2018 by and</w:t>
              </w:r>
            </w:hyperlink>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20"/>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By Reference</w:t>
              </w:r>
            </w:hyperlink>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5"/>
          </w:tcPr>
          <w:p>
            <w:pPr>
              <w:jc w:val="center"/>
              <w:ind w:right="200"/>
              <w:spacing w:after="0"/>
              <w:rPr>
                <w:rFonts w:ascii="Arial" w:cs="Arial" w:eastAsia="Arial" w:hAnsi="Arial"/>
                <w:sz w:val="18"/>
                <w:szCs w:val="18"/>
                <w:color w:val="0000EE"/>
                <w:w w:val="99"/>
              </w:rPr>
            </w:pPr>
            <w:hyperlink r:id="rId26">
              <w:r>
                <w:rPr>
                  <w:rFonts w:ascii="Arial" w:cs="Arial" w:eastAsia="Arial" w:hAnsi="Arial"/>
                  <w:sz w:val="18"/>
                  <w:szCs w:val="18"/>
                  <w:color w:val="0000EE"/>
                  <w:w w:val="99"/>
                </w:rPr>
                <w:t>8-K</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center"/>
              <w:ind w:right="320"/>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July 31, 2018</w:t>
              </w:r>
            </w:hyperlink>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among M I Acquisitions, Inc. and the other parties thereto</w:t>
              </w:r>
            </w:hyperlink>
          </w:p>
        </w:tc>
        <w:tc>
          <w:tcPr>
            <w:tcW w:w="34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160" w:type="dxa"/>
            <w:vAlign w:val="bottom"/>
            <w:gridSpan w:val="11"/>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520" w:type="dxa"/>
            <w:vAlign w:val="bottom"/>
            <w:gridSpan w:val="7"/>
          </w:tcPr>
          <w:p>
            <w:pPr>
              <w:spacing w:after="0"/>
              <w:rPr>
                <w:rFonts w:ascii="Arial" w:cs="Arial" w:eastAsia="Arial" w:hAnsi="Arial"/>
                <w:sz w:val="18"/>
                <w:szCs w:val="18"/>
                <w:color w:val="0000EE"/>
              </w:rPr>
            </w:pPr>
            <w:hyperlink r:id="rId27">
              <w:r>
                <w:rPr>
                  <w:rFonts w:ascii="Arial" w:cs="Arial" w:eastAsia="Arial" w:hAnsi="Arial"/>
                  <w:sz w:val="18"/>
                  <w:szCs w:val="18"/>
                  <w:color w:val="0000EE"/>
                </w:rPr>
                <w:t>(d)(v)</w:t>
              </w:r>
            </w:hyperlink>
          </w:p>
        </w:tc>
        <w:tc>
          <w:tcPr>
            <w:tcW w:w="200" w:type="dxa"/>
            <w:vAlign w:val="bottom"/>
          </w:tcPr>
          <w:p>
            <w:pPr>
              <w:spacing w:after="0"/>
              <w:rPr>
                <w:sz w:val="24"/>
                <w:szCs w:val="24"/>
                <w:color w:val="auto"/>
              </w:rPr>
            </w:pPr>
          </w:p>
        </w:tc>
        <w:tc>
          <w:tcPr>
            <w:tcW w:w="4940" w:type="dxa"/>
            <w:vAlign w:val="bottom"/>
            <w:gridSpan w:val="21"/>
          </w:tcPr>
          <w:p>
            <w:pPr>
              <w:spacing w:after="0"/>
              <w:rPr>
                <w:rFonts w:ascii="Arial" w:cs="Arial" w:eastAsia="Arial" w:hAnsi="Arial"/>
                <w:sz w:val="18"/>
                <w:szCs w:val="18"/>
                <w:color w:val="0000EE"/>
                <w:w w:val="98"/>
              </w:rPr>
            </w:pPr>
            <w:hyperlink r:id="rId27">
              <w:r>
                <w:rPr>
                  <w:rFonts w:ascii="Arial" w:cs="Arial" w:eastAsia="Arial" w:hAnsi="Arial"/>
                  <w:sz w:val="18"/>
                  <w:szCs w:val="18"/>
                  <w:color w:val="0000EE"/>
                  <w:w w:val="98"/>
                </w:rPr>
                <w:t>Priority Technology Holdings, Inc. 2018 Equity Incentive Plan †</w:t>
              </w:r>
            </w:hyperlink>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20"/>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By Reference</w:t>
              </w:r>
            </w:hyperlink>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5"/>
          </w:tcPr>
          <w:p>
            <w:pPr>
              <w:jc w:val="center"/>
              <w:ind w:right="200"/>
              <w:spacing w:after="0"/>
              <w:rPr>
                <w:rFonts w:ascii="Arial" w:cs="Arial" w:eastAsia="Arial" w:hAnsi="Arial"/>
                <w:sz w:val="18"/>
                <w:szCs w:val="18"/>
                <w:color w:val="0000EE"/>
                <w:w w:val="99"/>
              </w:rPr>
            </w:pPr>
            <w:hyperlink r:id="rId27">
              <w:r>
                <w:rPr>
                  <w:rFonts w:ascii="Arial" w:cs="Arial" w:eastAsia="Arial" w:hAnsi="Arial"/>
                  <w:sz w:val="18"/>
                  <w:szCs w:val="18"/>
                  <w:color w:val="0000EE"/>
                  <w:w w:val="99"/>
                </w:rPr>
                <w:t>8-K</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center"/>
              <w:ind w:right="320"/>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July 31, 2018</w:t>
              </w:r>
            </w:hyperlink>
          </w:p>
        </w:tc>
        <w:tc>
          <w:tcPr>
            <w:tcW w:w="100" w:type="dxa"/>
            <w:vAlign w:val="bottom"/>
          </w:tcPr>
          <w:p>
            <w:pPr>
              <w:spacing w:after="0"/>
              <w:rPr>
                <w:sz w:val="24"/>
                <w:szCs w:val="24"/>
                <w:color w:val="auto"/>
              </w:rPr>
            </w:pPr>
          </w:p>
        </w:tc>
      </w:tr>
      <w:tr>
        <w:trPr>
          <w:trHeight w:val="318"/>
        </w:trPr>
        <w:tc>
          <w:tcPr>
            <w:tcW w:w="1520" w:type="dxa"/>
            <w:vAlign w:val="bottom"/>
            <w:tcBorders>
              <w:top w:val="single" w:sz="8" w:color="0000EE"/>
            </w:tcBorders>
            <w:gridSpan w:val="7"/>
          </w:tcPr>
          <w:p>
            <w:pPr>
              <w:spacing w:after="0"/>
              <w:rPr>
                <w:rFonts w:ascii="Arial" w:cs="Arial" w:eastAsia="Arial" w:hAnsi="Arial"/>
                <w:sz w:val="18"/>
                <w:szCs w:val="18"/>
                <w:color w:val="0000EE"/>
              </w:rPr>
            </w:pPr>
            <w:hyperlink r:id="rId28">
              <w:r>
                <w:rPr>
                  <w:rFonts w:ascii="Arial" w:cs="Arial" w:eastAsia="Arial" w:hAnsi="Arial"/>
                  <w:sz w:val="18"/>
                  <w:szCs w:val="18"/>
                  <w:color w:val="0000EE"/>
                </w:rPr>
                <w:t>(d)(vi)</w:t>
              </w:r>
            </w:hyperlink>
          </w:p>
        </w:tc>
        <w:tc>
          <w:tcPr>
            <w:tcW w:w="200" w:type="dxa"/>
            <w:vAlign w:val="bottom"/>
          </w:tcPr>
          <w:p>
            <w:pPr>
              <w:spacing w:after="0"/>
              <w:rPr>
                <w:sz w:val="24"/>
                <w:szCs w:val="24"/>
                <w:color w:val="auto"/>
              </w:rPr>
            </w:pPr>
          </w:p>
        </w:tc>
        <w:tc>
          <w:tcPr>
            <w:tcW w:w="4640" w:type="dxa"/>
            <w:vAlign w:val="bottom"/>
            <w:tcBorders>
              <w:top w:val="single" w:sz="8" w:color="0000EE"/>
            </w:tcBorders>
            <w:gridSpan w:val="16"/>
          </w:tcPr>
          <w:p>
            <w:pPr>
              <w:spacing w:after="0"/>
              <w:rPr>
                <w:rFonts w:ascii="Arial" w:cs="Arial" w:eastAsia="Arial" w:hAnsi="Arial"/>
                <w:sz w:val="18"/>
                <w:szCs w:val="18"/>
                <w:color w:val="0000EE"/>
                <w:w w:val="98"/>
              </w:rPr>
            </w:pPr>
            <w:hyperlink r:id="rId28">
              <w:r>
                <w:rPr>
                  <w:rFonts w:ascii="Arial" w:cs="Arial" w:eastAsia="Arial" w:hAnsi="Arial"/>
                  <w:sz w:val="18"/>
                  <w:szCs w:val="18"/>
                  <w:color w:val="0000EE"/>
                  <w:w w:val="98"/>
                </w:rPr>
                <w:t>Priority Technology Holdings, Inc. Earnout Incentive Plan †</w:t>
              </w:r>
            </w:hyperlink>
          </w:p>
        </w:tc>
        <w:tc>
          <w:tcPr>
            <w:tcW w:w="30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Borders>
              <w:top w:val="single" w:sz="8" w:color="0000EE"/>
            </w:tcBorders>
          </w:tcPr>
          <w:p>
            <w:pPr>
              <w:jc w:val="center"/>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By Reference</w:t>
              </w:r>
            </w:hyperlink>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5"/>
          </w:tcPr>
          <w:p>
            <w:pPr>
              <w:jc w:val="center"/>
              <w:ind w:right="200"/>
              <w:spacing w:after="0"/>
              <w:rPr>
                <w:rFonts w:ascii="Arial" w:cs="Arial" w:eastAsia="Arial" w:hAnsi="Arial"/>
                <w:sz w:val="18"/>
                <w:szCs w:val="18"/>
                <w:color w:val="0000EE"/>
                <w:w w:val="99"/>
              </w:rPr>
            </w:pPr>
            <w:hyperlink r:id="rId28">
              <w:r>
                <w:rPr>
                  <w:rFonts w:ascii="Arial" w:cs="Arial" w:eastAsia="Arial" w:hAnsi="Arial"/>
                  <w:sz w:val="18"/>
                  <w:szCs w:val="18"/>
                  <w:color w:val="0000EE"/>
                  <w:w w:val="99"/>
                </w:rPr>
                <w:t>8-K</w:t>
              </w:r>
            </w:hyperlink>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Borders>
              <w:top w:val="single" w:sz="8" w:color="0000EE"/>
            </w:tcBorders>
          </w:tcPr>
          <w:p>
            <w:pPr>
              <w:jc w:val="center"/>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July 31, 2018</w:t>
              </w:r>
            </w:hyperlink>
          </w:p>
        </w:tc>
        <w:tc>
          <w:tcPr>
            <w:tcW w:w="3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r>
      <w:tr>
        <w:trPr>
          <w:trHeight w:val="946"/>
        </w:trPr>
        <w:tc>
          <w:tcPr>
            <w:tcW w:w="20" w:type="dxa"/>
            <w:vAlign w:val="bottom"/>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160" w:type="dxa"/>
            <w:vAlign w:val="bottom"/>
            <w:tcBorders>
              <w:top w:val="single" w:sz="8" w:color="0000EE"/>
              <w:bottom w:val="single" w:sz="8" w:color="auto"/>
            </w:tcBorders>
            <w:gridSpan w:val="11"/>
          </w:tcPr>
          <w:p>
            <w:pPr>
              <w:ind w:left="3920"/>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0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Exhibit No.</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16"/>
          </w:tcPr>
          <w:p>
            <w:pPr>
              <w:ind w:left="152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1"/>
              </w:rPr>
              <w:t>Included</w:t>
            </w:r>
          </w:p>
        </w:tc>
        <w:tc>
          <w:tcPr>
            <w:tcW w:w="180" w:type="dxa"/>
            <w:vAlign w:val="bottom"/>
          </w:tcPr>
          <w:p>
            <w:pPr>
              <w:spacing w:after="0"/>
              <w:rPr>
                <w:sz w:val="20"/>
                <w:szCs w:val="20"/>
                <w:color w:val="auto"/>
              </w:rPr>
            </w:pPr>
          </w:p>
        </w:tc>
        <w:tc>
          <w:tcPr>
            <w:tcW w:w="8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97"/>
              </w:rPr>
              <w:t>Form</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3"/>
              </w:rPr>
              <w:t>Filing Date</w:t>
            </w:r>
          </w:p>
        </w:tc>
      </w:tr>
      <w:tr>
        <w:trPr>
          <w:trHeight w:val="169"/>
        </w:trPr>
        <w:tc>
          <w:tcPr>
            <w:tcW w:w="20" w:type="dxa"/>
            <w:vAlign w:val="bottom"/>
          </w:tcPr>
          <w:p>
            <w:pPr>
              <w:spacing w:after="0"/>
              <w:rPr>
                <w:sz w:val="14"/>
                <w:szCs w:val="14"/>
                <w:color w:val="auto"/>
              </w:rPr>
            </w:pPr>
          </w:p>
        </w:tc>
        <w:tc>
          <w:tcPr>
            <w:tcW w:w="1500" w:type="dxa"/>
            <w:vAlign w:val="bottom"/>
            <w:gridSpan w:val="3"/>
          </w:tcPr>
          <w:p>
            <w:pPr>
              <w:spacing w:after="0" w:line="170" w:lineRule="exact"/>
              <w:rPr>
                <w:rFonts w:ascii="Arial" w:cs="Arial" w:eastAsia="Arial" w:hAnsi="Arial"/>
                <w:sz w:val="18"/>
                <w:szCs w:val="18"/>
                <w:color w:val="0000EE"/>
              </w:rPr>
            </w:pPr>
            <w:hyperlink r:id="rId29">
              <w:r>
                <w:rPr>
                  <w:rFonts w:ascii="Arial" w:cs="Arial" w:eastAsia="Arial" w:hAnsi="Arial"/>
                  <w:sz w:val="18"/>
                  <w:szCs w:val="18"/>
                  <w:color w:val="0000EE"/>
                </w:rPr>
                <w:t>(d)(vii)</w:t>
              </w:r>
            </w:hyperlink>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gridSpan w:val="18"/>
          </w:tcPr>
          <w:p>
            <w:pPr>
              <w:spacing w:after="0" w:line="170" w:lineRule="exact"/>
              <w:rPr>
                <w:rFonts w:ascii="Arial" w:cs="Arial" w:eastAsia="Arial" w:hAnsi="Arial"/>
                <w:sz w:val="18"/>
                <w:szCs w:val="18"/>
                <w:color w:val="0000EE"/>
                <w:w w:val="94"/>
              </w:rPr>
            </w:pPr>
            <w:hyperlink r:id="rId29">
              <w:r>
                <w:rPr>
                  <w:rFonts w:ascii="Arial" w:cs="Arial" w:eastAsia="Arial" w:hAnsi="Arial"/>
                  <w:sz w:val="18"/>
                  <w:szCs w:val="18"/>
                  <w:color w:val="0000EE"/>
                  <w:w w:val="94"/>
                </w:rPr>
                <w:t>Director Agreement by and among Priority Holdings LLC, Pipeline</w:t>
              </w:r>
            </w:hyperlink>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320"/>
              <w:spacing w:after="0" w:line="170"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By Reference</w:t>
              </w:r>
            </w:hyperlink>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4"/>
          </w:tcPr>
          <w:p>
            <w:pPr>
              <w:jc w:val="center"/>
              <w:ind w:right="200"/>
              <w:spacing w:after="0" w:line="170" w:lineRule="exact"/>
              <w:rPr>
                <w:rFonts w:ascii="Arial" w:cs="Arial" w:eastAsia="Arial" w:hAnsi="Arial"/>
                <w:sz w:val="18"/>
                <w:szCs w:val="18"/>
                <w:color w:val="0000EE"/>
                <w:w w:val="97"/>
              </w:rPr>
            </w:pPr>
            <w:hyperlink r:id="rId29">
              <w:r>
                <w:rPr>
                  <w:rFonts w:ascii="Arial" w:cs="Arial" w:eastAsia="Arial" w:hAnsi="Arial"/>
                  <w:sz w:val="18"/>
                  <w:szCs w:val="18"/>
                  <w:color w:val="0000EE"/>
                  <w:w w:val="97"/>
                </w:rPr>
                <w:t>S-4/A</w:t>
              </w:r>
            </w:hyperlink>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line="170" w:lineRule="exact"/>
              <w:rPr>
                <w:rFonts w:ascii="Arial" w:cs="Arial" w:eastAsia="Arial" w:hAnsi="Arial"/>
                <w:sz w:val="18"/>
                <w:szCs w:val="18"/>
                <w:color w:val="0000EE"/>
                <w:w w:val="89"/>
              </w:rPr>
            </w:pPr>
            <w:hyperlink r:id="rId29">
              <w:r>
                <w:rPr>
                  <w:rFonts w:ascii="Arial" w:cs="Arial" w:eastAsia="Arial" w:hAnsi="Arial"/>
                  <w:sz w:val="18"/>
                  <w:szCs w:val="18"/>
                  <w:color w:val="0000EE"/>
                  <w:w w:val="89"/>
                </w:rPr>
                <w:t>December 26, 2018</w:t>
              </w:r>
            </w:hyperlink>
          </w:p>
        </w:tc>
      </w:tr>
      <w:tr>
        <w:trPr>
          <w:trHeight w:val="196"/>
        </w:trPr>
        <w:tc>
          <w:tcPr>
            <w:tcW w:w="2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3"/>
              </w:rPr>
            </w:pPr>
            <w:hyperlink r:id="rId29">
              <w:r>
                <w:rPr>
                  <w:rFonts w:ascii="Arial" w:cs="Arial" w:eastAsia="Arial" w:hAnsi="Arial"/>
                  <w:sz w:val="18"/>
                  <w:szCs w:val="18"/>
                  <w:color w:val="0000EE"/>
                  <w:w w:val="93"/>
                </w:rPr>
                <w:t>Cynergy Holdings, LLC, Priority Payment Systems Holdings, LLC</w:t>
              </w:r>
            </w:hyperlink>
          </w:p>
        </w:tc>
        <w:tc>
          <w:tcPr>
            <w:tcW w:w="20" w:type="dxa"/>
            <w:vAlign w:val="bottom"/>
            <w:tcBorders>
              <w:top w:val="single" w:sz="8" w:color="0000EE"/>
            </w:tcBorders>
          </w:tcPr>
          <w:p>
            <w:pPr>
              <w:spacing w:after="0"/>
              <w:rPr>
                <w:sz w:val="17"/>
                <w:szCs w:val="17"/>
                <w:color w:val="auto"/>
              </w:rPr>
            </w:pPr>
          </w:p>
        </w:tc>
        <w:tc>
          <w:tcPr>
            <w:tcW w:w="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29">
              <w:r>
                <w:rPr>
                  <w:rFonts w:ascii="Arial" w:cs="Arial" w:eastAsia="Arial" w:hAnsi="Arial"/>
                  <w:sz w:val="18"/>
                  <w:szCs w:val="18"/>
                  <w:color w:val="0000EE"/>
                  <w:w w:val="89"/>
                </w:rPr>
                <w:t>and Thomas C. Priore, dated May 21, 2014 †</w:t>
              </w:r>
            </w:hyperlink>
          </w:p>
        </w:tc>
        <w:tc>
          <w:tcPr>
            <w:tcW w:w="1700" w:type="dxa"/>
            <w:vAlign w:val="bottom"/>
            <w:gridSpan w:val="15"/>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8"/>
        </w:trPr>
        <w:tc>
          <w:tcPr>
            <w:tcW w:w="1520" w:type="dxa"/>
            <w:vAlign w:val="bottom"/>
            <w:gridSpan w:val="4"/>
          </w:tcPr>
          <w:p>
            <w:pPr>
              <w:spacing w:after="0"/>
              <w:rPr>
                <w:rFonts w:ascii="Arial" w:cs="Arial" w:eastAsia="Arial" w:hAnsi="Arial"/>
                <w:sz w:val="18"/>
                <w:szCs w:val="18"/>
                <w:color w:val="0000EE"/>
              </w:rPr>
            </w:pPr>
            <w:hyperlink r:id="rId30">
              <w:r>
                <w:rPr>
                  <w:rFonts w:ascii="Arial" w:cs="Arial" w:eastAsia="Arial" w:hAnsi="Arial"/>
                  <w:sz w:val="18"/>
                  <w:szCs w:val="18"/>
                  <w:color w:val="0000EE"/>
                </w:rPr>
                <w:t>(d)(viii)</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8"/>
          </w:tcPr>
          <w:p>
            <w:pPr>
              <w:spacing w:after="0"/>
              <w:rPr>
                <w:rFonts w:ascii="Arial" w:cs="Arial" w:eastAsia="Arial" w:hAnsi="Arial"/>
                <w:sz w:val="18"/>
                <w:szCs w:val="18"/>
                <w:color w:val="0000EE"/>
                <w:w w:val="97"/>
              </w:rPr>
            </w:pPr>
            <w:hyperlink r:id="rId30">
              <w:r>
                <w:rPr>
                  <w:rFonts w:ascii="Arial" w:cs="Arial" w:eastAsia="Arial" w:hAnsi="Arial"/>
                  <w:sz w:val="18"/>
                  <w:szCs w:val="18"/>
                  <w:color w:val="0000EE"/>
                  <w:w w:val="97"/>
                </w:rPr>
                <w:t>Amendment No. 1 to Director Agreement by and among Priority</w:t>
              </w:r>
            </w:hyperlink>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20"/>
              <w:spacing w:after="0"/>
              <w:rPr>
                <w:rFonts w:ascii="Arial" w:cs="Arial" w:eastAsia="Arial" w:hAnsi="Arial"/>
                <w:sz w:val="18"/>
                <w:szCs w:val="18"/>
                <w:color w:val="0000EE"/>
                <w:w w:val="91"/>
              </w:rPr>
            </w:pPr>
            <w:hyperlink r:id="rId30">
              <w:r>
                <w:rPr>
                  <w:rFonts w:ascii="Arial" w:cs="Arial" w:eastAsia="Arial" w:hAnsi="Arial"/>
                  <w:sz w:val="18"/>
                  <w:szCs w:val="18"/>
                  <w:color w:val="0000EE"/>
                  <w:w w:val="91"/>
                </w:rPr>
                <w:t>By Reference</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4"/>
          </w:tcPr>
          <w:p>
            <w:pPr>
              <w:jc w:val="center"/>
              <w:ind w:right="200"/>
              <w:spacing w:after="0"/>
              <w:rPr>
                <w:rFonts w:ascii="Arial" w:cs="Arial" w:eastAsia="Arial" w:hAnsi="Arial"/>
                <w:sz w:val="18"/>
                <w:szCs w:val="18"/>
                <w:color w:val="0000EE"/>
                <w:w w:val="97"/>
              </w:rPr>
            </w:pPr>
            <w:hyperlink r:id="rId30">
              <w:r>
                <w:rPr>
                  <w:rFonts w:ascii="Arial" w:cs="Arial" w:eastAsia="Arial" w:hAnsi="Arial"/>
                  <w:sz w:val="18"/>
                  <w:szCs w:val="18"/>
                  <w:color w:val="0000EE"/>
                  <w:w w:val="97"/>
                </w:rPr>
                <w:t>S-4/A</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ind w:right="100"/>
              <w:spacing w:after="0"/>
              <w:rPr>
                <w:rFonts w:ascii="Arial" w:cs="Arial" w:eastAsia="Arial" w:hAnsi="Arial"/>
                <w:sz w:val="18"/>
                <w:szCs w:val="18"/>
                <w:color w:val="0000EE"/>
                <w:w w:val="89"/>
              </w:rPr>
            </w:pPr>
            <w:hyperlink r:id="rId30">
              <w:r>
                <w:rPr>
                  <w:rFonts w:ascii="Arial" w:cs="Arial" w:eastAsia="Arial" w:hAnsi="Arial"/>
                  <w:sz w:val="18"/>
                  <w:szCs w:val="18"/>
                  <w:color w:val="0000EE"/>
                  <w:w w:val="89"/>
                </w:rPr>
                <w:t>December 26, 2018</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30">
              <w:r>
                <w:rPr>
                  <w:rFonts w:ascii="Arial" w:cs="Arial" w:eastAsia="Arial" w:hAnsi="Arial"/>
                  <w:sz w:val="18"/>
                  <w:szCs w:val="18"/>
                  <w:color w:val="0000EE"/>
                  <w:w w:val="93"/>
                </w:rPr>
                <w:t>Holdings LLC, Pipeline Cynergy Holdings, LLC, Priority Payment</w:t>
              </w:r>
            </w:hyperlink>
          </w:p>
        </w:tc>
        <w:tc>
          <w:tcPr>
            <w:tcW w:w="10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gridSpan w:val="18"/>
          </w:tcPr>
          <w:p>
            <w:pPr>
              <w:spacing w:after="0" w:line="196" w:lineRule="exact"/>
              <w:rPr>
                <w:rFonts w:ascii="Arial" w:cs="Arial" w:eastAsia="Arial" w:hAnsi="Arial"/>
                <w:sz w:val="18"/>
                <w:szCs w:val="18"/>
                <w:color w:val="0000EE"/>
                <w:w w:val="99"/>
              </w:rPr>
            </w:pPr>
            <w:hyperlink r:id="rId30">
              <w:r>
                <w:rPr>
                  <w:rFonts w:ascii="Arial" w:cs="Arial" w:eastAsia="Arial" w:hAnsi="Arial"/>
                  <w:sz w:val="18"/>
                  <w:szCs w:val="18"/>
                  <w:color w:val="0000EE"/>
                  <w:w w:val="99"/>
                </w:rPr>
                <w:t>Systems Holdings, LLC and Thomas C. Priore, dated April 19,</w:t>
              </w:r>
            </w:hyperlink>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2018 †</w:t>
              </w:r>
            </w:hyperlink>
          </w:p>
        </w:tc>
        <w:tc>
          <w:tcPr>
            <w:tcW w:w="420" w:type="dxa"/>
            <w:vAlign w:val="bottom"/>
            <w:gridSpan w:val="9"/>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318"/>
        </w:trPr>
        <w:tc>
          <w:tcPr>
            <w:tcW w:w="1520" w:type="dxa"/>
            <w:vAlign w:val="bottom"/>
            <w:gridSpan w:val="4"/>
          </w:tcPr>
          <w:p>
            <w:pPr>
              <w:spacing w:after="0"/>
              <w:rPr>
                <w:rFonts w:ascii="Arial" w:cs="Arial" w:eastAsia="Arial" w:hAnsi="Arial"/>
                <w:sz w:val="18"/>
                <w:szCs w:val="18"/>
                <w:color w:val="0000EE"/>
              </w:rPr>
            </w:pPr>
            <w:hyperlink r:id="rId31">
              <w:r>
                <w:rPr>
                  <w:rFonts w:ascii="Arial" w:cs="Arial" w:eastAsia="Arial" w:hAnsi="Arial"/>
                  <w:sz w:val="18"/>
                  <w:szCs w:val="18"/>
                  <w:color w:val="0000EE"/>
                </w:rPr>
                <w:t>(d)(ix)</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8"/>
          </w:tcPr>
          <w:p>
            <w:pPr>
              <w:spacing w:after="0"/>
              <w:rPr>
                <w:rFonts w:ascii="Arial" w:cs="Arial" w:eastAsia="Arial" w:hAnsi="Arial"/>
                <w:sz w:val="18"/>
                <w:szCs w:val="18"/>
                <w:color w:val="0000EE"/>
              </w:rPr>
            </w:pPr>
            <w:hyperlink r:id="rId31">
              <w:r>
                <w:rPr>
                  <w:rFonts w:ascii="Arial" w:cs="Arial" w:eastAsia="Arial" w:hAnsi="Arial"/>
                  <w:sz w:val="18"/>
                  <w:szCs w:val="18"/>
                  <w:color w:val="0000EE"/>
                </w:rPr>
                <w:t>Executive Employment Agreement between Priority Payment</w:t>
              </w:r>
            </w:hyperlink>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20"/>
              <w:spacing w:after="0"/>
              <w:rPr>
                <w:rFonts w:ascii="Arial" w:cs="Arial" w:eastAsia="Arial" w:hAnsi="Arial"/>
                <w:sz w:val="18"/>
                <w:szCs w:val="18"/>
                <w:color w:val="0000EE"/>
                <w:w w:val="91"/>
              </w:rPr>
            </w:pPr>
            <w:hyperlink r:id="rId31">
              <w:r>
                <w:rPr>
                  <w:rFonts w:ascii="Arial" w:cs="Arial" w:eastAsia="Arial" w:hAnsi="Arial"/>
                  <w:sz w:val="18"/>
                  <w:szCs w:val="18"/>
                  <w:color w:val="0000EE"/>
                  <w:w w:val="91"/>
                </w:rPr>
                <w:t>By Reference</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4"/>
          </w:tcPr>
          <w:p>
            <w:pPr>
              <w:jc w:val="center"/>
              <w:ind w:right="200"/>
              <w:spacing w:after="0"/>
              <w:rPr>
                <w:rFonts w:ascii="Arial" w:cs="Arial" w:eastAsia="Arial" w:hAnsi="Arial"/>
                <w:sz w:val="18"/>
                <w:szCs w:val="18"/>
                <w:color w:val="0000EE"/>
                <w:w w:val="99"/>
              </w:rPr>
            </w:pPr>
            <w:hyperlink r:id="rId31">
              <w:r>
                <w:rPr>
                  <w:rFonts w:ascii="Arial" w:cs="Arial" w:eastAsia="Arial" w:hAnsi="Arial"/>
                  <w:sz w:val="18"/>
                  <w:szCs w:val="18"/>
                  <w:color w:val="0000EE"/>
                  <w:w w:val="99"/>
                </w:rPr>
                <w:t>8-K</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ind w:right="100"/>
              <w:spacing w:after="0"/>
              <w:rPr>
                <w:rFonts w:ascii="Arial" w:cs="Arial" w:eastAsia="Arial" w:hAnsi="Arial"/>
                <w:sz w:val="18"/>
                <w:szCs w:val="18"/>
                <w:color w:val="0000EE"/>
                <w:w w:val="89"/>
              </w:rPr>
            </w:pPr>
            <w:hyperlink r:id="rId31">
              <w:r>
                <w:rPr>
                  <w:rFonts w:ascii="Arial" w:cs="Arial" w:eastAsia="Arial" w:hAnsi="Arial"/>
                  <w:sz w:val="18"/>
                  <w:szCs w:val="18"/>
                  <w:color w:val="0000EE"/>
                  <w:w w:val="89"/>
                </w:rPr>
                <w:t>December 26, 2018</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31">
              <w:r>
                <w:rPr>
                  <w:rFonts w:ascii="Arial" w:cs="Arial" w:eastAsia="Arial" w:hAnsi="Arial"/>
                  <w:sz w:val="18"/>
                  <w:szCs w:val="18"/>
                  <w:color w:val="0000EE"/>
                  <w:w w:val="93"/>
                </w:rPr>
                <w:t>Systems Holdings LLC, Pipeline Cynergy Holdings, LLC, Priority</w:t>
              </w:r>
            </w:hyperlink>
          </w:p>
        </w:tc>
        <w:tc>
          <w:tcPr>
            <w:tcW w:w="14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31">
              <w:r>
                <w:rPr>
                  <w:rFonts w:ascii="Arial" w:cs="Arial" w:eastAsia="Arial" w:hAnsi="Arial"/>
                  <w:sz w:val="18"/>
                  <w:szCs w:val="18"/>
                  <w:color w:val="0000EE"/>
                  <w:w w:val="90"/>
                </w:rPr>
                <w:t>Holdings, LLC and John V. Priore, dated May 21, 2014 †</w:t>
              </w:r>
            </w:hyperlink>
          </w:p>
        </w:tc>
        <w:tc>
          <w:tcPr>
            <w:tcW w:w="820" w:type="dxa"/>
            <w:vAlign w:val="bottom"/>
            <w:gridSpan w:val="12"/>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38"/>
        </w:trPr>
        <w:tc>
          <w:tcPr>
            <w:tcW w:w="1520" w:type="dxa"/>
            <w:vAlign w:val="bottom"/>
            <w:gridSpan w:val="4"/>
          </w:tcPr>
          <w:p>
            <w:pPr>
              <w:spacing w:after="0"/>
              <w:rPr>
                <w:rFonts w:ascii="Arial" w:cs="Arial" w:eastAsia="Arial" w:hAnsi="Arial"/>
                <w:sz w:val="18"/>
                <w:szCs w:val="18"/>
                <w:color w:val="0000EE"/>
              </w:rPr>
            </w:pPr>
            <w:hyperlink r:id="rId32">
              <w:r>
                <w:rPr>
                  <w:rFonts w:ascii="Arial" w:cs="Arial" w:eastAsia="Arial" w:hAnsi="Arial"/>
                  <w:sz w:val="18"/>
                  <w:szCs w:val="18"/>
                  <w:color w:val="0000EE"/>
                </w:rPr>
                <w:t>(d)(x)</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8"/>
          </w:tcPr>
          <w:p>
            <w:pPr>
              <w:spacing w:after="0"/>
              <w:rPr>
                <w:rFonts w:ascii="Arial" w:cs="Arial" w:eastAsia="Arial" w:hAnsi="Arial"/>
                <w:sz w:val="18"/>
                <w:szCs w:val="18"/>
                <w:color w:val="0000EE"/>
                <w:w w:val="92"/>
              </w:rPr>
            </w:pPr>
            <w:hyperlink r:id="rId32">
              <w:r>
                <w:rPr>
                  <w:rFonts w:ascii="Arial" w:cs="Arial" w:eastAsia="Arial" w:hAnsi="Arial"/>
                  <w:sz w:val="18"/>
                  <w:szCs w:val="18"/>
                  <w:color w:val="0000EE"/>
                  <w:w w:val="92"/>
                </w:rPr>
                <w:t>Amendment to Executive Employment Agreement between Priority</w:t>
              </w:r>
            </w:hyperlink>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20"/>
              <w:spacing w:after="0"/>
              <w:rPr>
                <w:rFonts w:ascii="Arial" w:cs="Arial" w:eastAsia="Arial" w:hAnsi="Arial"/>
                <w:sz w:val="18"/>
                <w:szCs w:val="18"/>
                <w:color w:val="0000EE"/>
                <w:w w:val="91"/>
              </w:rPr>
            </w:pPr>
            <w:hyperlink r:id="rId32">
              <w:r>
                <w:rPr>
                  <w:rFonts w:ascii="Arial" w:cs="Arial" w:eastAsia="Arial" w:hAnsi="Arial"/>
                  <w:sz w:val="18"/>
                  <w:szCs w:val="18"/>
                  <w:color w:val="0000EE"/>
                  <w:w w:val="91"/>
                </w:rPr>
                <w:t>By Reference</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4"/>
          </w:tcPr>
          <w:p>
            <w:pPr>
              <w:jc w:val="center"/>
              <w:ind w:right="200"/>
              <w:spacing w:after="0"/>
              <w:rPr>
                <w:rFonts w:ascii="Arial" w:cs="Arial" w:eastAsia="Arial" w:hAnsi="Arial"/>
                <w:sz w:val="18"/>
                <w:szCs w:val="18"/>
                <w:color w:val="0000EE"/>
                <w:w w:val="99"/>
              </w:rPr>
            </w:pPr>
            <w:hyperlink r:id="rId32">
              <w:r>
                <w:rPr>
                  <w:rFonts w:ascii="Arial" w:cs="Arial" w:eastAsia="Arial" w:hAnsi="Arial"/>
                  <w:sz w:val="18"/>
                  <w:szCs w:val="18"/>
                  <w:color w:val="0000EE"/>
                  <w:w w:val="99"/>
                </w:rPr>
                <w:t>8-K</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ind w:right="100"/>
              <w:spacing w:after="0"/>
              <w:rPr>
                <w:rFonts w:ascii="Arial" w:cs="Arial" w:eastAsia="Arial" w:hAnsi="Arial"/>
                <w:sz w:val="18"/>
                <w:szCs w:val="18"/>
                <w:color w:val="0000EE"/>
                <w:w w:val="89"/>
              </w:rPr>
            </w:pPr>
            <w:hyperlink r:id="rId32">
              <w:r>
                <w:rPr>
                  <w:rFonts w:ascii="Arial" w:cs="Arial" w:eastAsia="Arial" w:hAnsi="Arial"/>
                  <w:sz w:val="18"/>
                  <w:szCs w:val="18"/>
                  <w:color w:val="0000EE"/>
                  <w:w w:val="89"/>
                </w:rPr>
                <w:t>December 26, 2018</w:t>
              </w:r>
            </w:hyperlink>
          </w:p>
        </w:tc>
      </w:tr>
      <w:tr>
        <w:trPr>
          <w:trHeight w:val="176"/>
        </w:trPr>
        <w:tc>
          <w:tcPr>
            <w:tcW w:w="20" w:type="dxa"/>
            <w:vAlign w:val="bottom"/>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tcBorders>
              <w:top w:val="single" w:sz="8" w:color="0000EE"/>
              <w:bottom w:val="single" w:sz="8" w:color="0000EE"/>
            </w:tcBorders>
            <w:gridSpan w:val="16"/>
          </w:tcPr>
          <w:p>
            <w:pPr>
              <w:spacing w:after="0" w:line="176" w:lineRule="exact"/>
              <w:rPr>
                <w:rFonts w:ascii="Arial" w:cs="Arial" w:eastAsia="Arial" w:hAnsi="Arial"/>
                <w:sz w:val="18"/>
                <w:szCs w:val="18"/>
                <w:color w:val="0000EE"/>
                <w:w w:val="92"/>
              </w:rPr>
            </w:pPr>
            <w:hyperlink r:id="rId32">
              <w:r>
                <w:rPr>
                  <w:rFonts w:ascii="Arial" w:cs="Arial" w:eastAsia="Arial" w:hAnsi="Arial"/>
                  <w:sz w:val="18"/>
                  <w:szCs w:val="18"/>
                  <w:color w:val="0000EE"/>
                  <w:w w:val="92"/>
                </w:rPr>
                <w:t>Payment Systems Holdings LLC, Pipeline Cynergy Holdings, LLC,</w:t>
              </w:r>
            </w:hyperlink>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Borders>
              <w:top w:val="single" w:sz="8" w:color="0000EE"/>
            </w:tcBorders>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gridSpan w:val="18"/>
          </w:tcPr>
          <w:p>
            <w:pPr>
              <w:spacing w:after="0" w:line="196" w:lineRule="exact"/>
              <w:rPr>
                <w:rFonts w:ascii="Arial" w:cs="Arial" w:eastAsia="Arial" w:hAnsi="Arial"/>
                <w:sz w:val="18"/>
                <w:szCs w:val="18"/>
                <w:color w:val="0000EE"/>
                <w:w w:val="98"/>
              </w:rPr>
            </w:pPr>
            <w:hyperlink r:id="rId32">
              <w:r>
                <w:rPr>
                  <w:rFonts w:ascii="Arial" w:cs="Arial" w:eastAsia="Arial" w:hAnsi="Arial"/>
                  <w:sz w:val="18"/>
                  <w:szCs w:val="18"/>
                  <w:color w:val="0000EE"/>
                  <w:w w:val="98"/>
                </w:rPr>
                <w:t>Priority Holdings, LLC and John V. Priore, dated November 13,</w:t>
              </w:r>
            </w:hyperlink>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2018 †</w:t>
              </w:r>
            </w:hyperlink>
          </w:p>
        </w:tc>
        <w:tc>
          <w:tcPr>
            <w:tcW w:w="280" w:type="dxa"/>
            <w:vAlign w:val="bottom"/>
            <w:gridSpan w:val="8"/>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5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318"/>
        </w:trPr>
        <w:tc>
          <w:tcPr>
            <w:tcW w:w="1520" w:type="dxa"/>
            <w:vAlign w:val="bottom"/>
            <w:gridSpan w:val="4"/>
          </w:tcPr>
          <w:p>
            <w:pPr>
              <w:spacing w:after="0"/>
              <w:rPr>
                <w:rFonts w:ascii="Arial" w:cs="Arial" w:eastAsia="Arial" w:hAnsi="Arial"/>
                <w:sz w:val="18"/>
                <w:szCs w:val="18"/>
                <w:color w:val="0000EE"/>
              </w:rPr>
            </w:pPr>
            <w:hyperlink r:id="rId33">
              <w:r>
                <w:rPr>
                  <w:rFonts w:ascii="Arial" w:cs="Arial" w:eastAsia="Arial" w:hAnsi="Arial"/>
                  <w:sz w:val="18"/>
                  <w:szCs w:val="18"/>
                  <w:color w:val="0000EE"/>
                </w:rPr>
                <w:t>(d)(xi)</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8"/>
          </w:tcPr>
          <w:p>
            <w:pPr>
              <w:spacing w:after="0"/>
              <w:rPr>
                <w:rFonts w:ascii="Arial" w:cs="Arial" w:eastAsia="Arial" w:hAnsi="Arial"/>
                <w:sz w:val="18"/>
                <w:szCs w:val="18"/>
                <w:color w:val="0000EE"/>
                <w:w w:val="95"/>
              </w:rPr>
            </w:pPr>
            <w:hyperlink r:id="rId33">
              <w:r>
                <w:rPr>
                  <w:rFonts w:ascii="Arial" w:cs="Arial" w:eastAsia="Arial" w:hAnsi="Arial"/>
                  <w:sz w:val="18"/>
                  <w:szCs w:val="18"/>
                  <w:color w:val="0000EE"/>
                  <w:w w:val="95"/>
                </w:rPr>
                <w:t>Director Agreement by and among Priority Technology Holdings,</w:t>
              </w:r>
            </w:hyperlink>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20"/>
              <w:spacing w:after="0"/>
              <w:rPr>
                <w:rFonts w:ascii="Arial" w:cs="Arial" w:eastAsia="Arial" w:hAnsi="Arial"/>
                <w:sz w:val="18"/>
                <w:szCs w:val="18"/>
                <w:color w:val="0000EE"/>
                <w:w w:val="91"/>
              </w:rPr>
            </w:pPr>
            <w:hyperlink r:id="rId33">
              <w:r>
                <w:rPr>
                  <w:rFonts w:ascii="Arial" w:cs="Arial" w:eastAsia="Arial" w:hAnsi="Arial"/>
                  <w:sz w:val="18"/>
                  <w:szCs w:val="18"/>
                  <w:color w:val="0000EE"/>
                  <w:w w:val="91"/>
                </w:rPr>
                <w:t>By Reference</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4"/>
          </w:tcPr>
          <w:p>
            <w:pPr>
              <w:jc w:val="center"/>
              <w:ind w:right="200"/>
              <w:spacing w:after="0"/>
              <w:rPr>
                <w:rFonts w:ascii="Arial" w:cs="Arial" w:eastAsia="Arial" w:hAnsi="Arial"/>
                <w:sz w:val="18"/>
                <w:szCs w:val="18"/>
                <w:color w:val="0000EE"/>
                <w:w w:val="99"/>
              </w:rPr>
            </w:pPr>
            <w:hyperlink r:id="rId33">
              <w:r>
                <w:rPr>
                  <w:rFonts w:ascii="Arial" w:cs="Arial" w:eastAsia="Arial" w:hAnsi="Arial"/>
                  <w:sz w:val="18"/>
                  <w:szCs w:val="18"/>
                  <w:color w:val="0000EE"/>
                  <w:w w:val="99"/>
                </w:rPr>
                <w:t>8-K</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ind w:right="100"/>
              <w:spacing w:after="0"/>
              <w:rPr>
                <w:rFonts w:ascii="Arial" w:cs="Arial" w:eastAsia="Arial" w:hAnsi="Arial"/>
                <w:sz w:val="18"/>
                <w:szCs w:val="18"/>
                <w:color w:val="0000EE"/>
                <w:w w:val="89"/>
              </w:rPr>
            </w:pPr>
            <w:hyperlink r:id="rId33">
              <w:r>
                <w:rPr>
                  <w:rFonts w:ascii="Arial" w:cs="Arial" w:eastAsia="Arial" w:hAnsi="Arial"/>
                  <w:sz w:val="18"/>
                  <w:szCs w:val="18"/>
                  <w:color w:val="0000EE"/>
                  <w:w w:val="89"/>
                </w:rPr>
                <w:t>December 26, 2018</w:t>
              </w:r>
            </w:hyperlink>
          </w:p>
        </w:tc>
      </w:tr>
      <w:tr>
        <w:trPr>
          <w:trHeight w:val="196"/>
        </w:trPr>
        <w:tc>
          <w:tcPr>
            <w:tcW w:w="2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33">
              <w:r>
                <w:rPr>
                  <w:rFonts w:ascii="Arial" w:cs="Arial" w:eastAsia="Arial" w:hAnsi="Arial"/>
                  <w:sz w:val="18"/>
                  <w:szCs w:val="18"/>
                  <w:color w:val="0000EE"/>
                  <w:w w:val="88"/>
                </w:rPr>
                <w:t>Inc. and John V. Priore, dated December 1, 2018†</w:t>
              </w:r>
            </w:hyperlink>
          </w:p>
        </w:tc>
        <w:tc>
          <w:tcPr>
            <w:tcW w:w="1160" w:type="dxa"/>
            <w:vAlign w:val="bottom"/>
            <w:tcBorders>
              <w:top w:val="single" w:sz="8" w:color="0000EE"/>
            </w:tcBorders>
            <w:gridSpan w:val="6"/>
          </w:tcPr>
          <w:p>
            <w:pPr>
              <w:spacing w:after="0"/>
              <w:rPr>
                <w:sz w:val="17"/>
                <w:szCs w:val="17"/>
                <w:color w:val="auto"/>
              </w:rPr>
            </w:pPr>
          </w:p>
        </w:tc>
        <w:tc>
          <w:tcPr>
            <w:tcW w:w="20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318"/>
        </w:trPr>
        <w:tc>
          <w:tcPr>
            <w:tcW w:w="1520" w:type="dxa"/>
            <w:vAlign w:val="bottom"/>
            <w:gridSpan w:val="4"/>
          </w:tcPr>
          <w:p>
            <w:pPr>
              <w:spacing w:after="0"/>
              <w:rPr>
                <w:rFonts w:ascii="Arial" w:cs="Arial" w:eastAsia="Arial" w:hAnsi="Arial"/>
                <w:sz w:val="18"/>
                <w:szCs w:val="18"/>
                <w:color w:val="0000EE"/>
              </w:rPr>
            </w:pPr>
            <w:hyperlink r:id="rId34">
              <w:r>
                <w:rPr>
                  <w:rFonts w:ascii="Arial" w:cs="Arial" w:eastAsia="Arial" w:hAnsi="Arial"/>
                  <w:sz w:val="18"/>
                  <w:szCs w:val="18"/>
                  <w:color w:val="0000EE"/>
                </w:rPr>
                <w:t>(d)(xii)</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8"/>
          </w:tcPr>
          <w:p>
            <w:pPr>
              <w:spacing w:after="0"/>
              <w:rPr>
                <w:rFonts w:ascii="Arial" w:cs="Arial" w:eastAsia="Arial" w:hAnsi="Arial"/>
                <w:sz w:val="18"/>
                <w:szCs w:val="18"/>
                <w:color w:val="0000EE"/>
              </w:rPr>
            </w:pPr>
            <w:hyperlink r:id="rId34">
              <w:r>
                <w:rPr>
                  <w:rFonts w:ascii="Arial" w:cs="Arial" w:eastAsia="Arial" w:hAnsi="Arial"/>
                  <w:sz w:val="18"/>
                  <w:szCs w:val="18"/>
                  <w:color w:val="0000EE"/>
                </w:rPr>
                <w:t>Employment Agreement between Priority Payment Systems</w:t>
              </w:r>
            </w:hyperlink>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20"/>
              <w:spacing w:after="0"/>
              <w:rPr>
                <w:rFonts w:ascii="Arial" w:cs="Arial" w:eastAsia="Arial" w:hAnsi="Arial"/>
                <w:sz w:val="18"/>
                <w:szCs w:val="18"/>
                <w:color w:val="0000EE"/>
                <w:w w:val="91"/>
              </w:rPr>
            </w:pPr>
            <w:hyperlink r:id="rId34">
              <w:r>
                <w:rPr>
                  <w:rFonts w:ascii="Arial" w:cs="Arial" w:eastAsia="Arial" w:hAnsi="Arial"/>
                  <w:sz w:val="18"/>
                  <w:szCs w:val="18"/>
                  <w:color w:val="0000EE"/>
                  <w:w w:val="91"/>
                </w:rPr>
                <w:t>By Reference</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4"/>
          </w:tcPr>
          <w:p>
            <w:pPr>
              <w:jc w:val="center"/>
              <w:ind w:right="200"/>
              <w:spacing w:after="0"/>
              <w:rPr>
                <w:rFonts w:ascii="Arial" w:cs="Arial" w:eastAsia="Arial" w:hAnsi="Arial"/>
                <w:sz w:val="18"/>
                <w:szCs w:val="18"/>
                <w:color w:val="0000EE"/>
                <w:w w:val="97"/>
              </w:rPr>
            </w:pPr>
            <w:hyperlink r:id="rId34">
              <w:r>
                <w:rPr>
                  <w:rFonts w:ascii="Arial" w:cs="Arial" w:eastAsia="Arial" w:hAnsi="Arial"/>
                  <w:sz w:val="18"/>
                  <w:szCs w:val="18"/>
                  <w:color w:val="0000EE"/>
                  <w:w w:val="97"/>
                </w:rPr>
                <w:t>S-4/A</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ind w:right="100"/>
              <w:spacing w:after="0"/>
              <w:rPr>
                <w:rFonts w:ascii="Arial" w:cs="Arial" w:eastAsia="Arial" w:hAnsi="Arial"/>
                <w:sz w:val="18"/>
                <w:szCs w:val="18"/>
                <w:color w:val="0000EE"/>
                <w:w w:val="89"/>
              </w:rPr>
            </w:pPr>
            <w:hyperlink r:id="rId34">
              <w:r>
                <w:rPr>
                  <w:rFonts w:ascii="Arial" w:cs="Arial" w:eastAsia="Arial" w:hAnsi="Arial"/>
                  <w:sz w:val="18"/>
                  <w:szCs w:val="18"/>
                  <w:color w:val="0000EE"/>
                  <w:w w:val="89"/>
                </w:rPr>
                <w:t>December 26, 2018</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gridSpan w:val="18"/>
          </w:tcPr>
          <w:p>
            <w:pPr>
              <w:spacing w:after="0" w:line="196" w:lineRule="exact"/>
              <w:rPr>
                <w:rFonts w:ascii="Arial" w:cs="Arial" w:eastAsia="Arial" w:hAnsi="Arial"/>
                <w:sz w:val="18"/>
                <w:szCs w:val="18"/>
                <w:color w:val="0000EE"/>
                <w:w w:val="94"/>
              </w:rPr>
            </w:pPr>
            <w:hyperlink r:id="rId34">
              <w:r>
                <w:rPr>
                  <w:rFonts w:ascii="Arial" w:cs="Arial" w:eastAsia="Arial" w:hAnsi="Arial"/>
                  <w:sz w:val="18"/>
                  <w:szCs w:val="18"/>
                  <w:color w:val="0000EE"/>
                  <w:w w:val="94"/>
                </w:rPr>
                <w:t>Holdings LLC, Pipeline Cynergy Holdings, LLC, Priority Holdings,</w:t>
              </w:r>
            </w:hyperlink>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34">
              <w:r>
                <w:rPr>
                  <w:rFonts w:ascii="Arial" w:cs="Arial" w:eastAsia="Arial" w:hAnsi="Arial"/>
                  <w:sz w:val="18"/>
                  <w:szCs w:val="18"/>
                  <w:color w:val="0000EE"/>
                  <w:w w:val="91"/>
                </w:rPr>
                <w:t>LLC and Afshin Yazdian, dated May 21, 2014†</w:t>
              </w:r>
            </w:hyperlink>
          </w:p>
        </w:tc>
        <w:tc>
          <w:tcPr>
            <w:tcW w:w="1480" w:type="dxa"/>
            <w:vAlign w:val="bottom"/>
            <w:tcBorders>
              <w:top w:val="single" w:sz="8" w:color="0000EE"/>
            </w:tcBorders>
            <w:gridSpan w:val="13"/>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8"/>
        </w:trPr>
        <w:tc>
          <w:tcPr>
            <w:tcW w:w="1520" w:type="dxa"/>
            <w:vAlign w:val="bottom"/>
            <w:gridSpan w:val="4"/>
          </w:tcPr>
          <w:p>
            <w:pPr>
              <w:spacing w:after="0"/>
              <w:rPr>
                <w:rFonts w:ascii="Arial" w:cs="Arial" w:eastAsia="Arial" w:hAnsi="Arial"/>
                <w:sz w:val="18"/>
                <w:szCs w:val="18"/>
                <w:color w:val="0000EE"/>
              </w:rPr>
            </w:pPr>
            <w:hyperlink r:id="rId35">
              <w:r>
                <w:rPr>
                  <w:rFonts w:ascii="Arial" w:cs="Arial" w:eastAsia="Arial" w:hAnsi="Arial"/>
                  <w:sz w:val="18"/>
                  <w:szCs w:val="18"/>
                  <w:color w:val="0000EE"/>
                </w:rPr>
                <w:t>(d)(xiii)</w:t>
              </w:r>
            </w:hyperlink>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8"/>
          </w:tcPr>
          <w:p>
            <w:pPr>
              <w:spacing w:after="0"/>
              <w:rPr>
                <w:rFonts w:ascii="Arial" w:cs="Arial" w:eastAsia="Arial" w:hAnsi="Arial"/>
                <w:sz w:val="18"/>
                <w:szCs w:val="18"/>
                <w:color w:val="0000EE"/>
                <w:w w:val="96"/>
              </w:rPr>
            </w:pPr>
            <w:hyperlink r:id="rId35">
              <w:r>
                <w:rPr>
                  <w:rFonts w:ascii="Arial" w:cs="Arial" w:eastAsia="Arial" w:hAnsi="Arial"/>
                  <w:sz w:val="18"/>
                  <w:szCs w:val="18"/>
                  <w:color w:val="0000EE"/>
                  <w:w w:val="96"/>
                </w:rPr>
                <w:t>Executive Employment Agreement between Priority Technology</w:t>
              </w:r>
            </w:hyperlink>
          </w:p>
        </w:tc>
        <w:tc>
          <w:tcPr>
            <w:tcW w:w="180" w:type="dxa"/>
            <w:vAlign w:val="bottom"/>
          </w:tcPr>
          <w:p>
            <w:pPr>
              <w:spacing w:after="0"/>
              <w:rPr>
                <w:sz w:val="24"/>
                <w:szCs w:val="24"/>
                <w:color w:val="auto"/>
              </w:rPr>
            </w:pPr>
          </w:p>
        </w:tc>
        <w:tc>
          <w:tcPr>
            <w:tcW w:w="1640" w:type="dxa"/>
            <w:vAlign w:val="bottom"/>
            <w:gridSpan w:val="3"/>
          </w:tcPr>
          <w:p>
            <w:pPr>
              <w:jc w:val="center"/>
              <w:spacing w:after="0"/>
              <w:rPr>
                <w:rFonts w:ascii="Arial" w:cs="Arial" w:eastAsia="Arial" w:hAnsi="Arial"/>
                <w:sz w:val="18"/>
                <w:szCs w:val="18"/>
                <w:color w:val="0000EE"/>
                <w:w w:val="91"/>
              </w:rPr>
            </w:pPr>
            <w:hyperlink r:id="rId35">
              <w:r>
                <w:rPr>
                  <w:rFonts w:ascii="Arial" w:cs="Arial" w:eastAsia="Arial" w:hAnsi="Arial"/>
                  <w:sz w:val="18"/>
                  <w:szCs w:val="18"/>
                  <w:color w:val="0000EE"/>
                  <w:w w:val="91"/>
                </w:rPr>
                <w:t>By Reference</w:t>
              </w:r>
            </w:hyperlink>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4"/>
          </w:tcPr>
          <w:p>
            <w:pPr>
              <w:jc w:val="center"/>
              <w:ind w:right="200"/>
              <w:spacing w:after="0"/>
              <w:rPr>
                <w:rFonts w:ascii="Arial" w:cs="Arial" w:eastAsia="Arial" w:hAnsi="Arial"/>
                <w:sz w:val="18"/>
                <w:szCs w:val="18"/>
                <w:color w:val="0000EE"/>
                <w:w w:val="99"/>
              </w:rPr>
            </w:pPr>
            <w:hyperlink r:id="rId35">
              <w:r>
                <w:rPr>
                  <w:rFonts w:ascii="Arial" w:cs="Arial" w:eastAsia="Arial" w:hAnsi="Arial"/>
                  <w:sz w:val="18"/>
                  <w:szCs w:val="18"/>
                  <w:color w:val="0000EE"/>
                  <w:w w:val="99"/>
                </w:rPr>
                <w:t>8-K</w:t>
              </w:r>
            </w:hyperlink>
          </w:p>
        </w:tc>
        <w:tc>
          <w:tcPr>
            <w:tcW w:w="200" w:type="dxa"/>
            <w:vAlign w:val="bottom"/>
          </w:tcPr>
          <w:p>
            <w:pPr>
              <w:spacing w:after="0"/>
              <w:rPr>
                <w:sz w:val="24"/>
                <w:szCs w:val="24"/>
                <w:color w:val="auto"/>
              </w:rPr>
            </w:pPr>
          </w:p>
        </w:tc>
        <w:tc>
          <w:tcPr>
            <w:tcW w:w="1620" w:type="dxa"/>
            <w:vAlign w:val="bottom"/>
            <w:gridSpan w:val="3"/>
          </w:tcPr>
          <w:p>
            <w:pPr>
              <w:jc w:val="center"/>
              <w:spacing w:after="0"/>
              <w:rPr>
                <w:rFonts w:ascii="Arial" w:cs="Arial" w:eastAsia="Arial" w:hAnsi="Arial"/>
                <w:sz w:val="18"/>
                <w:szCs w:val="18"/>
                <w:color w:val="0000EE"/>
                <w:w w:val="89"/>
              </w:rPr>
            </w:pPr>
            <w:hyperlink r:id="rId35">
              <w:r>
                <w:rPr>
                  <w:rFonts w:ascii="Arial" w:cs="Arial" w:eastAsia="Arial" w:hAnsi="Arial"/>
                  <w:sz w:val="18"/>
                  <w:szCs w:val="18"/>
                  <w:color w:val="0000EE"/>
                  <w:w w:val="89"/>
                </w:rPr>
                <w:t>December 26, 2018</w:t>
              </w:r>
            </w:hyperlink>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580" w:type="dxa"/>
            <w:vAlign w:val="bottom"/>
            <w:tcBorders>
              <w:right w:val="single" w:sz="8" w:color="0000EE"/>
            </w:tcBorders>
            <w:gridSpan w:val="9"/>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gridSpan w:val="18"/>
          </w:tcPr>
          <w:p>
            <w:pPr>
              <w:spacing w:after="0" w:line="196" w:lineRule="exact"/>
              <w:rPr>
                <w:rFonts w:ascii="Arial" w:cs="Arial" w:eastAsia="Arial" w:hAnsi="Arial"/>
                <w:sz w:val="18"/>
                <w:szCs w:val="18"/>
                <w:color w:val="0000EE"/>
                <w:w w:val="92"/>
              </w:rPr>
            </w:pPr>
            <w:hyperlink r:id="rId35">
              <w:r>
                <w:rPr>
                  <w:rFonts w:ascii="Arial" w:cs="Arial" w:eastAsia="Arial" w:hAnsi="Arial"/>
                  <w:sz w:val="18"/>
                  <w:szCs w:val="18"/>
                  <w:color w:val="0000EE"/>
                  <w:w w:val="92"/>
                </w:rPr>
                <w:t>Holdings, Inc. and Michael Vollkommer, dated December 20, 2018</w:t>
              </w:r>
            </w:hyperlink>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w:t>
              </w:r>
            </w:hyperlink>
          </w:p>
        </w:tc>
        <w:tc>
          <w:tcPr>
            <w:tcW w:w="12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5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60" w:type="dxa"/>
            <w:vAlign w:val="bottom"/>
            <w:gridSpan w:val="1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358"/>
        </w:trPr>
        <w:tc>
          <w:tcPr>
            <w:tcW w:w="1520" w:type="dxa"/>
            <w:vAlign w:val="bottom"/>
            <w:gridSpan w:val="4"/>
          </w:tcPr>
          <w:p>
            <w:pPr>
              <w:spacing w:after="0"/>
              <w:rPr>
                <w:sz w:val="20"/>
                <w:szCs w:val="20"/>
                <w:color w:val="auto"/>
              </w:rPr>
            </w:pPr>
            <w:r>
              <w:rPr>
                <w:rFonts w:ascii="Arial" w:cs="Arial" w:eastAsia="Arial" w:hAnsi="Arial"/>
                <w:sz w:val="18"/>
                <w:szCs w:val="18"/>
                <w:color w:val="auto"/>
              </w:rPr>
              <w:t>(g)</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8"/>
          </w:tcPr>
          <w:p>
            <w:pPr>
              <w:spacing w:after="0"/>
              <w:rPr>
                <w:sz w:val="20"/>
                <w:szCs w:val="20"/>
                <w:color w:val="auto"/>
              </w:rPr>
            </w:pPr>
            <w:r>
              <w:rPr>
                <w:rFonts w:ascii="Arial" w:cs="Arial" w:eastAsia="Arial" w:hAnsi="Arial"/>
                <w:sz w:val="18"/>
                <w:szCs w:val="18"/>
                <w:color w:val="auto"/>
              </w:rPr>
              <w:t>Not applicable</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r>
      <w:tr>
        <w:trPr>
          <w:trHeight w:val="338"/>
        </w:trPr>
        <w:tc>
          <w:tcPr>
            <w:tcW w:w="1520" w:type="dxa"/>
            <w:vAlign w:val="bottom"/>
            <w:gridSpan w:val="4"/>
          </w:tcPr>
          <w:p>
            <w:pPr>
              <w:spacing w:after="0"/>
              <w:rPr>
                <w:sz w:val="20"/>
                <w:szCs w:val="20"/>
                <w:color w:val="auto"/>
              </w:rPr>
            </w:pPr>
            <w:r>
              <w:rPr>
                <w:rFonts w:ascii="Arial" w:cs="Arial" w:eastAsia="Arial" w:hAnsi="Arial"/>
                <w:sz w:val="18"/>
                <w:szCs w:val="18"/>
                <w:color w:val="auto"/>
              </w:rPr>
              <w:t>(h)</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18"/>
          </w:tcPr>
          <w:p>
            <w:pPr>
              <w:spacing w:after="0"/>
              <w:rPr>
                <w:sz w:val="20"/>
                <w:szCs w:val="20"/>
                <w:color w:val="auto"/>
              </w:rPr>
            </w:pPr>
            <w:r>
              <w:rPr>
                <w:rFonts w:ascii="Arial" w:cs="Arial" w:eastAsia="Arial" w:hAnsi="Arial"/>
                <w:sz w:val="18"/>
                <w:szCs w:val="18"/>
                <w:color w:val="auto"/>
              </w:rPr>
              <w:t>Not applicable</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449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40" w:right="4260" w:hanging="5632"/>
        <w:spacing w:after="0" w:line="653" w:lineRule="auto"/>
        <w:tabs>
          <w:tab w:leader="none" w:pos="137"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exhibits that constitute management contracts or compensatory plans or arrangements.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796" w:right="339" w:bottom="1440" w:gutter="0" w:footer="0" w:header="0"/>
        </w:sectPr>
      </w:pPr>
    </w:p>
    <w:bookmarkStart w:id="5" w:name="page6"/>
    <w:bookmarkEnd w:id="5"/>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Priority Technology Holdings,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Thomas C. Priore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President, Chief Executive 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22, 2019</w:t>
      </w: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00"/>
          </w:cols>
          <w:pgMar w:left="240" w:top="796" w:right="45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99(a)(5)(C)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165735</wp:posOffset>
            </wp:positionV>
            <wp:extent cx="1715135"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extLst>
                    </a:blip>
                    <a:srcRect/>
                    <a:stretch>
                      <a:fillRect/>
                    </a:stretch>
                  </pic:blipFill>
                  <pic:spPr bwMode="auto">
                    <a:xfrm>
                      <a:off x="0" y="0"/>
                      <a:ext cx="171513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Priority Technology Holdings, Inc. (PRTH) Announces Extension of Offer to Exchange New Shares of its Common Stock for its Outstanding Warrants</w:t>
      </w:r>
    </w:p>
    <w:p>
      <w:pPr>
        <w:spacing w:after="0" w:line="138"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Alpharetta, GA and New York, NY, January 22, 2019 – Priority Technology Holdings, Inc. (NASDAQ: PRTH) (“Priority” or the “Company”) today announces the extension of the expiration date of its offer to exchange newly issued shares of its common stock for its currently outstanding warrants (the “Exchange Offer”), and a related consent solicitation (the “Consent Solicitation”). Priority hereby extends such expiration date from 11:59 p.m., Eastern Standard time, on January 25, 2019, to 11:59 p.m., Eastern Standard time, on February 12, 2019 (as the same may be further extended, the “Expiration Date”).</w:t>
      </w:r>
    </w:p>
    <w:p>
      <w:pPr>
        <w:spacing w:after="0" w:line="15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Exchange Offer and Consent Solicitation are being made pursuant to a Prospectus/Offer to Exchange dated December 26, 2018, and Schedule TO, dated December 26, 2018, each as amended on January 22, 2019 and each of which are filed with the SEC and more fully set forth the terms and conditions of the Exchange Offer and Consent Solicitation. The Exchange Offer and Consent Solicitation are being made to:</w:t>
      </w:r>
    </w:p>
    <w:p>
      <w:pPr>
        <w:spacing w:after="0" w:line="148" w:lineRule="exact"/>
        <w:rPr>
          <w:sz w:val="20"/>
          <w:szCs w:val="20"/>
          <w:color w:val="auto"/>
        </w:rPr>
      </w:pPr>
    </w:p>
    <w:p>
      <w:pPr>
        <w:jc w:val="both"/>
        <w:ind w:left="660" w:hanging="328"/>
        <w:spacing w:after="0" w:line="22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holders of Priority’s publicly traded warrants to purchase its common stock, which were originally issued in connection with the initial public offering of Priority’s predecessor, M I Acquisitions, Inc., on September 19, 2016 (the “M I IPO”), which entitle such warrant holders to purchase one share of Priority’s common stock at an exercise price of $11.50, subject to adjustments, referred to as the “Public Warrants.” As of January 17, 2019, 5,310,109 Public Warrants were outstanding. Pursuant to the Exchange Offer, Priority is offering up to an aggregate of 1,019,541 shares of its common stock in exchange for the Public Warrants.</w:t>
      </w:r>
    </w:p>
    <w:p>
      <w:pPr>
        <w:spacing w:after="0" w:line="205" w:lineRule="exact"/>
        <w:rPr>
          <w:rFonts w:ascii="Arial" w:cs="Arial" w:eastAsia="Arial" w:hAnsi="Arial"/>
          <w:sz w:val="18"/>
          <w:szCs w:val="18"/>
          <w:color w:val="auto"/>
        </w:rPr>
      </w:pPr>
    </w:p>
    <w:p>
      <w:pPr>
        <w:jc w:val="both"/>
        <w:ind w:left="660" w:hanging="328"/>
        <w:spacing w:after="0" w:line="22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holders of certain of Priority’s warrants to purchase shares of its common stock that were privately issued in connection with the M I IPO, referred to as the “Private Warrants.” The Private Warrants entitle the holders to purchase one share of Priority’s common stock for a purchase price of $11.50, subject to adjustments. The terms of the Private Warrants are identical to the Public Warrants, except that such Private Warrants are exercisable on a cashless basis and are not redeemable by Priority, in each case so long as they are still held by the initial holders or their affiliates. The Public Warrants and Private Warrants are referred to collectively as the “Warrants.” As of January 17, 2019, 421,107 Private Warrants were outstanding. Pursuant to the Exchange Offer, Priority is offering up to an aggregate of 80,852 shares of our Common Stock in exchange for the Private Warrants.</w:t>
      </w:r>
    </w:p>
    <w:p>
      <w:pPr>
        <w:spacing w:after="0" w:line="148"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Priority is offering 0.1920 shares of newly issued Priority common stock in exchange for each of its outstanding Warrants. The offering period will continue until 11:59 p.m., Eastern Time, on February 12, 2019, or until such later time and date to which Priority may further extend it (the “Expiration Date”). Tendered Warrants may be withdrawn by holders at any time prior to the Expiration Date. Priority’s obligation to complete the Exchange Offer is not conditioned on the receipt of a minimum number of tendered Warrants.</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Concurrent with the Exchange Offer, Priority will be soliciting consents from holders of the outstanding Warrants to amend the warrant agreement, dated September 13, 2016, between the Company and American Stock Transfer &amp; Trust Company, LLC (the “Warrant Agreement “), which governs all of the outstanding Warrants, to permit the Company to require that each Warrant be mandatorily converted into 0.1728 shares of newly issued Priority common stock. If this amendment to the Warrant Agreement is approved by the Warrant holders, then the ratio that will be applied after the Exchange Offer to mandatorily convert any remaining outstanding Warrants into Priority common stock will be 10% less than the ratio at which Warrant holders can choose to exchange Warrants for common stock in the Exchange Offer. The Consent Solicitation will continue until 11:59 p.m., Eastern Time, on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jc w:val="both"/>
        <w:spacing w:after="0" w:line="246" w:lineRule="auto"/>
        <w:rPr>
          <w:sz w:val="20"/>
          <w:szCs w:val="20"/>
          <w:color w:val="auto"/>
        </w:rPr>
      </w:pPr>
      <w:r>
        <w:rPr>
          <w:rFonts w:ascii="Arial" w:cs="Arial" w:eastAsia="Arial" w:hAnsi="Arial"/>
          <w:sz w:val="18"/>
          <w:szCs w:val="18"/>
          <w:color w:val="auto"/>
        </w:rPr>
        <w:t>As of 5:00 p.m., Eastern Time, on January 18, 2019, 20,513 Warrants (0.3585% of the outstanding Warrants) had been validly tendered and not validly withdrawn.</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Priority has engaged Cowen as the Dealer Manager for the Exchange Offer and Consent Solicitation. Any questions or requests for assistance concerning the Exchange Offer or the Consent Solicitation may be directed to Cowen at (833) 297-2926. D.F. King &amp; Co., Inc. has been appointed the Information Agent for the Exchange Offer and Consent Solicitation, and American Stock Transfer &amp; Trust Company, LLC has been appointed the Exchange Agent. Schulte Roth &amp; Zabel LLP is serving as legal counsel to Priority and Ellenoff Grossman &amp; Schole LLP is serving as legal counsel to Cowen.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Has Been Filed with the SEC</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Copies of the Schedule TO and Prospectus/Offer to Exchange will be available free of charge at the website of the SEC at www.sec.gov. Requests for documents may also be directed to Cowen at (833) 297-2926.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registration statement on Form S-4 relating to the securities to be issued in the Exchange Offer has been filed with the Securities and Exchange Commission but has not yet become effective. Such securities may not be sold nor may offers to buy be accepted prior to the time the registration statement becomes effective.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announcement is for informational purposes only and shall not constitute an offer to purchase or a solicitation of an offer to sell the Warrants or an offer to sell or a solicitation of an offer to buy any shares of common stock in any state in which such offer, solicitation or sale would be unlawful before registration or qualification under the laws of any such state. The Exchange Offer and Consent Solicitation are being made only through the Schedule TO and Prospectus/Offer to Exchange, and the complete terms and conditions of the Exchange Offer and Consent Solicitation are set forth in the Schedule TO and Prospectus/Offer to Exchange. Holders of the Warrants are urged to read the Schedule TO and Prospectus/Offer to Exchange carefully before making any decision with respect to the Exchange Offer and Consent Solicitation because they contain important information, including the various terms of, and conditions to, the Exchange Offer and Consent Solicitation. None of Priority, or any of its management or its board of directors, or the Information Agent, the Exchange Agent or the Dealer Manager makes any recommendation as to whether or not holders of warrants should tender Warrants for exchange in the Exchange Offer or consent to the Warrant Amendment in the Consent Solicitation.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Priority Technology Holdings,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Priority is a leading provider of merchant acquiring and commercial payment solutions, offering unique product and service capabilities to its merchant network and distribution partners. Our enterprise operates from a purpose-built business platform that includes tailored customer service offerings and bespoke technology development, allowing us to provide end-to-end solutions for payment and payment-adjacent opportunities. Additional information can be found at </w:t>
      </w:r>
      <w:r>
        <w:rPr>
          <w:rFonts w:ascii="Arial" w:cs="Arial" w:eastAsia="Arial" w:hAnsi="Arial"/>
          <w:sz w:val="18"/>
          <w:szCs w:val="18"/>
          <w:u w:val="single" w:color="auto"/>
          <w:color w:val="auto"/>
        </w:rPr>
        <w:t>www.PRTH.com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statements in this press release constitute “forward-looking statements” within the meaning of the federal securities laws. Words such as “may,” “might,” “will,” “should,” “believe,” “expect,” “anticipate,” “estimate,” “continue,” “predict,” “forecast,” “project,” “plan,” “intend” or similar expressions, or statements regarding intent, belief, or expectations, are forward-looking statements. Although the Company believes that its forward-looking statements are reasonable, undue reliance should not be placed on any forward-looking statements. The Company’s forward-looking statements are based upon current estimates and assumptions and are subject to various risks and uncertainties, including those described in the Company’s filings with the SEC. As a result, actual results could be materially different. The Company expressly disclaims any obligation to update any forward-looking statements, whether as a result of new information, future events or otherwise, except as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Investor and Media Inquiries: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Chris Kettmann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773-497-7575</w:t>
      </w:r>
    </w:p>
    <w:p>
      <w:pPr>
        <w:spacing w:after="0"/>
        <w:rPr>
          <w:sz w:val="20"/>
          <w:szCs w:val="20"/>
          <w:color w:val="auto"/>
        </w:rPr>
      </w:pPr>
      <w:r>
        <w:rPr>
          <w:rFonts w:ascii="Arial" w:cs="Arial" w:eastAsia="Arial" w:hAnsi="Arial"/>
          <w:sz w:val="18"/>
          <w:szCs w:val="18"/>
          <w:u w:val="single" w:color="auto"/>
          <w:color w:val="auto"/>
        </w:rPr>
        <w:t>ckettmann@lincolnchurchilladvisors.com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36" Type="http://schemas.openxmlformats.org/officeDocument/2006/relationships/image" Target="media/image9.png"/><Relationship Id="rId37" Type="http://schemas.openxmlformats.org/officeDocument/2006/relationships/image" Target="media/image10.png"/><Relationship Id="rId38"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jpeg"/><Relationship Id="rId41" Type="http://schemas.openxmlformats.org/officeDocument/2006/relationships/image" Target="media/image14.png"/><Relationship Id="rId42" Type="http://schemas.openxmlformats.org/officeDocument/2006/relationships/image" Target="media/image15.png"/><Relationship Id="rId16" Type="http://schemas.openxmlformats.org/officeDocument/2006/relationships/hyperlink" Target="http://www.sec.gov/Archives/edgar/data/1653558/000161577419000803/s115449_s-4a.htm" TargetMode="External"/><Relationship Id="rId17" Type="http://schemas.openxmlformats.org/officeDocument/2006/relationships/hyperlink" Target="http://www.sec.gov/Archives/edgar/data/1653558/000161577418014981/s114881_ex99-1.htm" TargetMode="External"/><Relationship Id="rId18" Type="http://schemas.openxmlformats.org/officeDocument/2006/relationships/hyperlink" Target="http://www.sec.gov/Archives/edgar/data/1653558/000161577418014981/s114881_ex99-2.htm" TargetMode="External"/><Relationship Id="rId19" Type="http://schemas.openxmlformats.org/officeDocument/2006/relationships/hyperlink" Target="http://www.sec.gov/Archives/edgar/data/1653558/000161577418014981/s114881_ex99-3.htm" TargetMode="External"/><Relationship Id="rId20" Type="http://schemas.openxmlformats.org/officeDocument/2006/relationships/hyperlink" Target="http://www.sec.gov/Archives/edgar/data/1653558/000161577418014981/s114881_ex99-4.htm" TargetMode="External"/><Relationship Id="rId21" Type="http://schemas.openxmlformats.org/officeDocument/2006/relationships/hyperlink" Target="http://www.sec.gov/Archives/edgar/data/1653558/000161577418013696/s114397_ex99-2.htm" TargetMode="External"/><Relationship Id="rId22" Type="http://schemas.openxmlformats.org/officeDocument/2006/relationships/hyperlink" Target="http://www.sec.gov/Archives/edgar/data/1653558/000161577418014996/s114882_exa5b.htm" TargetMode="External"/><Relationship Id="rId23" Type="http://schemas.openxmlformats.org/officeDocument/2006/relationships/hyperlink" Target="http://www.sec.gov/Archives/edgar/data/1653558/000161577418007231/s111606_ex3-1.htm" TargetMode="External"/><Relationship Id="rId24" Type="http://schemas.openxmlformats.org/officeDocument/2006/relationships/hyperlink" Target="http://www.sec.gov/Archives/edgar/data/1653558/000161577418007231/s111606_ex3-2.htm" TargetMode="External"/><Relationship Id="rId25" Type="http://schemas.openxmlformats.org/officeDocument/2006/relationships/hyperlink" Target="http://www.sec.gov/Archives/edgar/data/1653558/000161577416007233/s104127_ex4-1.htm" TargetMode="External"/><Relationship Id="rId26" Type="http://schemas.openxmlformats.org/officeDocument/2006/relationships/hyperlink" Target="http://www.sec.gov/Archives/edgar/data/1653558/000161577418007231/s111606_ex10-1.htm" TargetMode="External"/><Relationship Id="rId27" Type="http://schemas.openxmlformats.org/officeDocument/2006/relationships/hyperlink" Target="http://www.sec.gov/Archives/edgar/data/1653558/000161577418007231/s111606_ex10-2.htm" TargetMode="External"/><Relationship Id="rId28" Type="http://schemas.openxmlformats.org/officeDocument/2006/relationships/hyperlink" Target="http://www.sec.gov/Archives/edgar/data/1653558/000161577418007231/s111606_ex10-3.htm" TargetMode="External"/><Relationship Id="rId29" Type="http://schemas.openxmlformats.org/officeDocument/2006/relationships/hyperlink" Target="http://www.sec.gov/Archives/edgar/data/1653558/000161577418014981/s114881_ex10-6.htm" TargetMode="External"/><Relationship Id="rId30" Type="http://schemas.openxmlformats.org/officeDocument/2006/relationships/hyperlink" Target="http://www.sec.gov/Archives/edgar/data/1653558/000161577418014981/s114881_ex10-7.htm" TargetMode="External"/><Relationship Id="rId31" Type="http://schemas.openxmlformats.org/officeDocument/2006/relationships/hyperlink" Target="http://www.sec.gov/Archives/edgar/data/1653558/000161577418014966/s114910_ex10-2.htm" TargetMode="External"/><Relationship Id="rId32" Type="http://schemas.openxmlformats.org/officeDocument/2006/relationships/hyperlink" Target="http://www.sec.gov/Archives/edgar/data/1653558/000161577418014966/s114910_ex10-3.htm" TargetMode="External"/><Relationship Id="rId33" Type="http://schemas.openxmlformats.org/officeDocument/2006/relationships/hyperlink" Target="http://www.sec.gov/Archives/edgar/data/1653558/000161577418014966/s114910_ex10-4.htm" TargetMode="External"/><Relationship Id="rId34" Type="http://schemas.openxmlformats.org/officeDocument/2006/relationships/hyperlink" Target="http://www.sec.gov/Archives/edgar/data/1653558/000161577418014981/s114881_ex10-11.htm" TargetMode="External"/><Relationship Id="rId35" Type="http://schemas.openxmlformats.org/officeDocument/2006/relationships/hyperlink" Target="http://www.sec.gov/Archives/edgar/data/1653558/000161577418014966/s114910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2020-01-10T03:36:17Z</dcterms:created>
  <dcterms:modified xsi:type="dcterms:W3CDTF">2020-01-10T03:36:17Z</dcterms:modified>
</cp:coreProperties>
</file>