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-152400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1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15875</wp:posOffset>
            </wp:positionV>
            <wp:extent cx="7023100" cy="299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Kiewiet Sean</w:t>
        </w:r>
      </w:hyperlink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2.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327"/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PRTH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1160" w:firstLine="7"/>
        <w:spacing w:after="0" w:line="26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Technology Officer</w:t>
      </w:r>
    </w:p>
    <w:p>
      <w:pPr>
        <w:spacing w:after="0" w:line="5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7" w:space="720"/>
            <w:col w:w="327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840" w:right="720" w:hanging="4056"/>
        <w:spacing w:after="0" w:line="308" w:lineRule="auto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 xml:space="preserve">6. 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jc w:val="right"/>
        <w:ind w:righ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120"/>
            <w:col w:w="7120"/>
          </w:cols>
          <w:pgMar w:left="440" w:top="199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1,566,204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On May 18, 2022, Mr. Kiewiet and the Issuer entered into that certain Stock Purchase Agreement (the "Agreement"). Pursuant to the Agreement, the Issuer purchased 250,000 shares of common stock with a purchase price of $4.84 per share.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Sean Kiewiet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05/19/2022</w:t>
            </w:r>
          </w:p>
        </w:tc>
      </w:tr>
      <w:tr>
        <w:trPr>
          <w:trHeight w:val="20"/>
        </w:trPr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/s/ Bradley J. Miller,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05/19/2022</w:t>
            </w:r>
          </w:p>
        </w:tc>
      </w:tr>
      <w:tr>
        <w:trPr>
          <w:trHeight w:val="17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constitutes and appoints each of Bradley J. Miller and Laura Pfiester, signing singly,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prepare, execute, and submit to the Securities and Exchange Commission ("SEC") a Form ID, including amendments thereto, and any other docum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Priority Technology Holdings,</w:t>
      </w:r>
    </w:p>
    <w:p>
      <w:pPr>
        <w:spacing w:after="0" w:line="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 any such F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Sean Kiewiet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6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2022-05-19T15:22:03Z</dcterms:created>
  <dcterms:modified xsi:type="dcterms:W3CDTF">2022-05-19T15:22:03Z</dcterms:modified>
</cp:coreProperties>
</file>