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March 23, 2023</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2743200</wp:posOffset>
            </wp:positionH>
            <wp:positionV relativeFrom="paragraph">
              <wp:posOffset>3810</wp:posOffset>
            </wp:positionV>
            <wp:extent cx="1691640" cy="782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91640" cy="782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Priority Technology Holdings, Inc.</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16"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40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001-37872</w:t>
            </w: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jc w:val="right"/>
              <w:ind w:right="1440"/>
              <w:spacing w:after="0"/>
              <w:rPr>
                <w:sz w:val="20"/>
                <w:szCs w:val="20"/>
                <w:color w:val="auto"/>
              </w:rPr>
            </w:pPr>
            <w:r>
              <w:rPr>
                <w:rFonts w:ascii="Times New Roman" w:cs="Times New Roman" w:eastAsia="Times New Roman" w:hAnsi="Times New Roman"/>
                <w:sz w:val="12"/>
                <w:szCs w:val="12"/>
                <w:b w:val="1"/>
                <w:bCs w:val="1"/>
                <w:color w:val="auto"/>
              </w:rPr>
              <w:t>47-4257046</w:t>
            </w:r>
          </w:p>
        </w:tc>
        <w:tc>
          <w:tcPr>
            <w:tcW w:w="20" w:type="dxa"/>
            <w:vAlign w:val="bottom"/>
          </w:tcPr>
          <w:p>
            <w:pPr>
              <w:spacing w:after="0"/>
              <w:rPr>
                <w:sz w:val="13"/>
                <w:szCs w:val="13"/>
                <w:color w:val="auto"/>
              </w:rPr>
            </w:pPr>
          </w:p>
        </w:tc>
      </w:tr>
      <w:tr>
        <w:trPr>
          <w:trHeight w:val="144"/>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(State or other jurisdiction of incorporation)</w:t>
            </w:r>
          </w:p>
        </w:tc>
        <w:tc>
          <w:tcPr>
            <w:tcW w:w="320" w:type="dxa"/>
            <w:vAlign w:val="bottom"/>
          </w:tcPr>
          <w:p>
            <w:pPr>
              <w:spacing w:after="0"/>
              <w:rPr>
                <w:sz w:val="12"/>
                <w:szCs w:val="12"/>
                <w:color w:val="auto"/>
              </w:rPr>
            </w:pPr>
          </w:p>
        </w:tc>
        <w:tc>
          <w:tcPr>
            <w:tcW w:w="338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320" w:type="dxa"/>
            <w:vAlign w:val="bottom"/>
          </w:tcPr>
          <w:p>
            <w:pPr>
              <w:spacing w:after="0"/>
              <w:rPr>
                <w:sz w:val="12"/>
                <w:szCs w:val="12"/>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(I.R.S. Employer Identification No.)</w:t>
            </w:r>
          </w:p>
        </w:tc>
        <w:tc>
          <w:tcPr>
            <w:tcW w:w="20" w:type="dxa"/>
            <w:vAlign w:val="bottom"/>
          </w:tcPr>
          <w:p>
            <w:pPr>
              <w:spacing w:after="0"/>
              <w:rPr>
                <w:sz w:val="12"/>
                <w:szCs w:val="12"/>
                <w:color w:val="auto"/>
              </w:rPr>
            </w:pPr>
          </w:p>
        </w:tc>
      </w:tr>
      <w:tr>
        <w:trPr>
          <w:trHeight w:val="433"/>
        </w:trPr>
        <w:tc>
          <w:tcPr>
            <w:tcW w:w="4000" w:type="dxa"/>
            <w:vAlign w:val="bottom"/>
            <w:gridSpan w:val="2"/>
          </w:tcPr>
          <w:p>
            <w:pPr>
              <w:jc w:val="center"/>
              <w:ind w:left="1700"/>
              <w:spacing w:after="0"/>
              <w:rPr>
                <w:sz w:val="20"/>
                <w:szCs w:val="20"/>
                <w:color w:val="auto"/>
              </w:rPr>
            </w:pPr>
            <w:r>
              <w:rPr>
                <w:rFonts w:ascii="Times New Roman" w:cs="Times New Roman" w:eastAsia="Times New Roman" w:hAnsi="Times New Roman"/>
                <w:sz w:val="12"/>
                <w:szCs w:val="12"/>
                <w:b w:val="1"/>
                <w:bCs w:val="1"/>
                <w:color w:val="auto"/>
                <w:w w:val="98"/>
              </w:rPr>
              <w:t>2001 Westside Parkway</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3"/>
        </w:trPr>
        <w:tc>
          <w:tcPr>
            <w:tcW w:w="4000" w:type="dxa"/>
            <w:vAlign w:val="bottom"/>
            <w:gridSpan w:val="2"/>
          </w:tcPr>
          <w:p>
            <w:pPr>
              <w:jc w:val="center"/>
              <w:ind w:left="1700"/>
              <w:spacing w:after="0"/>
              <w:rPr>
                <w:sz w:val="20"/>
                <w:szCs w:val="20"/>
                <w:color w:val="auto"/>
              </w:rPr>
            </w:pPr>
            <w:r>
              <w:rPr>
                <w:rFonts w:ascii="Times New Roman" w:cs="Times New Roman" w:eastAsia="Times New Roman" w:hAnsi="Times New Roman"/>
                <w:sz w:val="12"/>
                <w:szCs w:val="12"/>
                <w:b w:val="1"/>
                <w:bCs w:val="1"/>
                <w:color w:val="auto"/>
              </w:rPr>
              <w:t>Suite 155</w:t>
            </w:r>
          </w:p>
        </w:tc>
        <w:tc>
          <w:tcPr>
            <w:tcW w:w="1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4000" w:type="dxa"/>
            <w:vAlign w:val="bottom"/>
            <w:gridSpan w:val="2"/>
          </w:tcPr>
          <w:p>
            <w:pPr>
              <w:ind w:left="1140"/>
              <w:spacing w:after="0"/>
              <w:rPr>
                <w:sz w:val="20"/>
                <w:szCs w:val="20"/>
                <w:color w:val="auto"/>
              </w:rPr>
            </w:pPr>
            <w:r>
              <w:rPr>
                <w:rFonts w:ascii="Times New Roman" w:cs="Times New Roman" w:eastAsia="Times New Roman" w:hAnsi="Times New Roman"/>
                <w:sz w:val="12"/>
                <w:szCs w:val="12"/>
                <w:b w:val="1"/>
                <w:bCs w:val="1"/>
                <w:color w:val="auto"/>
              </w:rPr>
              <w:t>Alpharetta,</w:t>
            </w:r>
          </w:p>
        </w:tc>
        <w:tc>
          <w:tcPr>
            <w:tcW w:w="3700" w:type="dxa"/>
            <w:vAlign w:val="bottom"/>
            <w:gridSpan w:val="4"/>
          </w:tcPr>
          <w:p>
            <w:pPr>
              <w:ind w:left="120"/>
              <w:spacing w:after="0"/>
              <w:rPr>
                <w:sz w:val="20"/>
                <w:szCs w:val="20"/>
                <w:color w:val="auto"/>
              </w:rPr>
            </w:pPr>
            <w:r>
              <w:rPr>
                <w:rFonts w:ascii="Times New Roman" w:cs="Times New Roman" w:eastAsia="Times New Roman" w:hAnsi="Times New Roman"/>
                <w:sz w:val="12"/>
                <w:szCs w:val="12"/>
                <w:b w:val="1"/>
                <w:bCs w:val="1"/>
                <w:color w:val="auto"/>
              </w:rPr>
              <w:t>Georgia</w:t>
            </w:r>
          </w:p>
        </w:tc>
        <w:tc>
          <w:tcPr>
            <w:tcW w:w="3580" w:type="dxa"/>
            <w:vAlign w:val="bottom"/>
          </w:tcPr>
          <w:p>
            <w:pPr>
              <w:jc w:val="right"/>
              <w:ind w:right="2380"/>
              <w:spacing w:after="0"/>
              <w:rPr>
                <w:sz w:val="20"/>
                <w:szCs w:val="20"/>
                <w:color w:val="auto"/>
              </w:rPr>
            </w:pPr>
            <w:r>
              <w:rPr>
                <w:rFonts w:ascii="Times New Roman" w:cs="Times New Roman" w:eastAsia="Times New Roman" w:hAnsi="Times New Roman"/>
                <w:sz w:val="12"/>
                <w:szCs w:val="12"/>
                <w:b w:val="1"/>
                <w:bCs w:val="1"/>
                <w:color w:val="auto"/>
              </w:rPr>
              <w:t>30004</w:t>
            </w:r>
          </w:p>
        </w:tc>
        <w:tc>
          <w:tcPr>
            <w:tcW w:w="20" w:type="dxa"/>
            <w:vAlign w:val="bottom"/>
          </w:tcPr>
          <w:p>
            <w:pPr>
              <w:spacing w:after="0"/>
              <w:rPr>
                <w:sz w:val="13"/>
                <w:szCs w:val="13"/>
                <w:color w:val="auto"/>
              </w:rPr>
            </w:pPr>
          </w:p>
        </w:tc>
      </w:tr>
      <w:tr>
        <w:trPr>
          <w:trHeight w:val="144"/>
        </w:trPr>
        <w:tc>
          <w:tcPr>
            <w:tcW w:w="4000" w:type="dxa"/>
            <w:vAlign w:val="bottom"/>
            <w:tcBorders>
              <w:top w:val="single" w:sz="8" w:color="auto"/>
            </w:tcBorders>
            <w:gridSpan w:val="2"/>
          </w:tcPr>
          <w:p>
            <w:pPr>
              <w:jc w:val="center"/>
              <w:ind w:left="166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1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580" w:type="dxa"/>
            <w:vAlign w:val="bottom"/>
            <w:tcBorders>
              <w:top w:val="single" w:sz="8" w:color="auto"/>
            </w:tcBorders>
          </w:tcPr>
          <w:p>
            <w:pPr>
              <w:jc w:val="center"/>
              <w:ind w:right="1560"/>
              <w:spacing w:after="0"/>
              <w:rPr>
                <w:sz w:val="20"/>
                <w:szCs w:val="20"/>
                <w:color w:val="auto"/>
              </w:rPr>
            </w:pPr>
            <w:r>
              <w:rPr>
                <w:rFonts w:ascii="Times New Roman" w:cs="Times New Roman" w:eastAsia="Times New Roman" w:hAnsi="Times New Roman"/>
                <w:sz w:val="12"/>
                <w:szCs w:val="12"/>
                <w:color w:val="auto"/>
                <w:w w:val="98"/>
              </w:rPr>
              <w:t>(Zip Code)</w:t>
            </w:r>
          </w:p>
        </w:tc>
        <w:tc>
          <w:tcPr>
            <w:tcW w:w="20" w:type="dxa"/>
            <w:vAlign w:val="bottom"/>
            <w:tcBorders>
              <w:top w:val="single" w:sz="8" w:color="auto"/>
            </w:tcBorders>
          </w:tcPr>
          <w:p>
            <w:pPr>
              <w:spacing w:after="0"/>
              <w:rPr>
                <w:sz w:val="12"/>
                <w:szCs w:val="12"/>
                <w:color w:val="auto"/>
              </w:rPr>
            </w:pPr>
          </w:p>
        </w:tc>
      </w:tr>
    </w:tbl>
    <w:p>
      <w:pPr>
        <w:spacing w:after="0" w:line="181"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(800) 935-5961</w:t>
      </w:r>
    </w:p>
    <w:p>
      <w:pPr>
        <w:spacing w:after="0" w:line="154"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u w:val="single" w:color="auto"/>
          <w:color w:val="auto"/>
        </w:rPr>
        <w:t>see</w:t>
      </w:r>
      <w:r>
        <w:rPr>
          <w:rFonts w:ascii="Times New Roman" w:cs="Times New Roman" w:eastAsia="Times New Roman" w:hAnsi="Times New Roman"/>
          <w:sz w:val="12"/>
          <w:szCs w:val="12"/>
          <w:color w:val="auto"/>
        </w:rPr>
        <w:t xml:space="preserve"> General Instruction A.2. below):</w:t>
      </w:r>
    </w:p>
    <w:p>
      <w:pPr>
        <w:spacing w:after="0" w:line="150" w:lineRule="exact"/>
        <w:rPr>
          <w:sz w:val="24"/>
          <w:szCs w:val="24"/>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312"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5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140" w:type="dxa"/>
            <w:vAlign w:val="bottom"/>
            <w:gridSpan w:val="4"/>
          </w:tcPr>
          <w:p>
            <w:pPr>
              <w:ind w:left="10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r>
      <w:tr>
        <w:trPr>
          <w:trHeight w:val="234"/>
        </w:trPr>
        <w:tc>
          <w:tcPr>
            <w:tcW w:w="560" w:type="dxa"/>
            <w:vAlign w:val="bottom"/>
          </w:tcPr>
          <w:p>
            <w:pPr>
              <w:spacing w:after="0"/>
              <w:rPr>
                <w:sz w:val="20"/>
                <w:szCs w:val="20"/>
                <w:color w:val="auto"/>
              </w:rPr>
            </w:pPr>
          </w:p>
        </w:tc>
        <w:tc>
          <w:tcPr>
            <w:tcW w:w="36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21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44"/>
        </w:trPr>
        <w:tc>
          <w:tcPr>
            <w:tcW w:w="560" w:type="dxa"/>
            <w:vAlign w:val="bottom"/>
          </w:tcPr>
          <w:p>
            <w:pPr>
              <w:spacing w:after="0"/>
              <w:rPr>
                <w:sz w:val="12"/>
                <w:szCs w:val="12"/>
                <w:color w:val="auto"/>
              </w:rPr>
            </w:pPr>
          </w:p>
        </w:tc>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$0.001 par value</w:t>
            </w:r>
          </w:p>
        </w:tc>
        <w:tc>
          <w:tcPr>
            <w:tcW w:w="200" w:type="dxa"/>
            <w:vAlign w:val="bottom"/>
          </w:tcPr>
          <w:p>
            <w:pPr>
              <w:spacing w:after="0"/>
              <w:rPr>
                <w:sz w:val="12"/>
                <w:szCs w:val="12"/>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PRTH</w:t>
            </w:r>
          </w:p>
        </w:tc>
        <w:tc>
          <w:tcPr>
            <w:tcW w:w="180" w:type="dxa"/>
            <w:vAlign w:val="bottom"/>
          </w:tcPr>
          <w:p>
            <w:pPr>
              <w:spacing w:after="0"/>
              <w:rPr>
                <w:sz w:val="12"/>
                <w:szCs w:val="12"/>
                <w:color w:val="auto"/>
              </w:rPr>
            </w:pPr>
          </w:p>
        </w:tc>
        <w:tc>
          <w:tcPr>
            <w:tcW w:w="4420" w:type="dxa"/>
            <w:vAlign w:val="bottom"/>
            <w:tcBorders>
              <w:top w:val="single" w:sz="8" w:color="auto"/>
            </w:tcBorders>
          </w:tcPr>
          <w:p>
            <w:pPr>
              <w:ind w:left="1660"/>
              <w:spacing w:after="0"/>
              <w:rPr>
                <w:sz w:val="20"/>
                <w:szCs w:val="20"/>
                <w:color w:val="auto"/>
              </w:rPr>
            </w:pPr>
            <w:r>
              <w:rPr>
                <w:rFonts w:ascii="Times New Roman" w:cs="Times New Roman" w:eastAsia="Times New Roman" w:hAnsi="Times New Roman"/>
                <w:sz w:val="12"/>
                <w:szCs w:val="12"/>
                <w:color w:val="auto"/>
              </w:rPr>
              <w:t>Nasdaq Global Market</w:t>
            </w:r>
          </w:p>
        </w:tc>
        <w:tc>
          <w:tcPr>
            <w:tcW w:w="560" w:type="dxa"/>
            <w:vAlign w:val="bottom"/>
          </w:tcPr>
          <w:p>
            <w:pPr>
              <w:spacing w:after="0"/>
              <w:rPr>
                <w:sz w:val="12"/>
                <w:szCs w:val="12"/>
                <w:color w:val="auto"/>
              </w:rPr>
            </w:pPr>
          </w:p>
        </w:tc>
      </w:tr>
      <w:tr>
        <w:trPr>
          <w:trHeight w:val="808"/>
        </w:trPr>
        <w:tc>
          <w:tcPr>
            <w:tcW w:w="56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10" w:right="299" w:bottom="1440" w:gutter="0" w:footer="0" w:header="0"/>
        </w:sectPr>
      </w:pPr>
    </w:p>
    <w:bookmarkStart w:id="1" w:name="page2"/>
    <w:bookmarkEnd w:id="1"/>
    <w:p>
      <w:pPr>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9" w:lineRule="exact"/>
        <w:rPr>
          <w:sz w:val="20"/>
          <w:szCs w:val="20"/>
          <w:color w:val="auto"/>
        </w:rPr>
      </w:pPr>
    </w:p>
    <w:p>
      <w:pPr>
        <w:ind w:left="120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88" w:lineRule="exact"/>
        <w:rPr>
          <w:sz w:val="20"/>
          <w:szCs w:val="20"/>
          <w:color w:val="auto"/>
        </w:rPr>
      </w:pPr>
    </w:p>
    <w:p>
      <w:pPr>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351155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42" w:right="319" w:bottom="1440" w:gutter="0" w:footer="0" w:header="0"/>
        </w:sectPr>
      </w:pPr>
    </w:p>
    <w:bookmarkStart w:id="2" w:name="page3"/>
    <w:bookmarkEnd w:id="2"/>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2.02.</w:t>
        <w:tab/>
        <w:t>Results of Operations and Financial Condition.</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March 23, 2023, Priority Technology Holdings, Inc. ("Priority") issued a press release announcing its financial results for the quarter ended December 31, 2022. A copy of that press release is attached as Exhibit 99.1 to this Current Report on Form 8-K.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March 23, 2023, Priority will hold an earnings conference call and webcast at 11:00 a.m. (Eastern Time) to discuss the financial results for the quarter ended December 31, 2022. The press release referenced in Item 2.02 contains information about how to access the conference call and webcast. A copy of the slide presentation to be used during the earnings call and webcast is furnished as Exhibit 99.2 to this Current Report on Form 8-K. The slide presentation also will be available on our website, www.prth.com under the "Investor Relations" section.</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information in this Current Report on Form 8-K, including Exhibit 99.1, is being furnished and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spacing w:after="0" w:line="10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 – The following exhibit is furnished as part of this Current Report on Form 8-K.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100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40"/>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0000FF"/>
              </w:rPr>
              <w:t>99.1</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Press Release of Priority Technology Holdings, Inc. dated March 23, 2023</w:t>
            </w:r>
          </w:p>
        </w:tc>
      </w:tr>
      <w:tr>
        <w:trPr>
          <w:trHeight w:val="153"/>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0000FF"/>
              </w:rPr>
              <w:t>99.2</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Supplemental Slide Presentation</w:t>
            </w:r>
          </w:p>
        </w:tc>
      </w:tr>
      <w:tr>
        <w:trPr>
          <w:trHeight w:val="155"/>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The cover page from this Current Report on Form 8-K, formatted in Inline XBRL</w:t>
            </w: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March 23, 2023</w:t>
      </w: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PRIORITY TECHNOLOGY HOLDINGS, INC.</w:t>
      </w: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u w:val="single" w:color="auto"/>
          <w:color w:val="auto"/>
        </w:rPr>
        <w:t>By: /s/ Timothy O'Leary</w:t>
      </w:r>
    </w:p>
    <w:p>
      <w:pPr>
        <w:spacing w:after="0" w:line="1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Name: Timothy O'Leary</w:t>
      </w:r>
    </w:p>
    <w:p>
      <w:pPr>
        <w:spacing w:after="0" w:line="1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Title: Chief Financial Officer</w:t>
      </w:r>
    </w:p>
    <w:p>
      <w:pPr>
        <w:sectPr>
          <w:pgSz w:w="11900" w:h="16838" w:orient="portrait"/>
          <w:cols w:equalWidth="0" w:num="1">
            <w:col w:w="11300"/>
          </w:cols>
          <w:pgMar w:left="300" w:top="638" w:right="299" w:bottom="1440" w:gutter="0" w:footer="0" w:header="0"/>
        </w:sectPr>
      </w:pPr>
    </w:p>
    <w:bookmarkStart w:id="3" w:name="page4"/>
    <w:bookmarkEnd w:id="3"/>
    <w:p>
      <w:pPr>
        <w:ind w:left="9980"/>
        <w:spacing w:after="0"/>
        <w:rPr>
          <w:sz w:val="20"/>
          <w:szCs w:val="20"/>
          <w:color w:val="auto"/>
        </w:rPr>
      </w:pPr>
      <w:r>
        <w:rPr>
          <w:rFonts w:ascii="Times New Roman" w:cs="Times New Roman" w:eastAsia="Times New Roman" w:hAnsi="Times New Roman"/>
          <w:sz w:val="12"/>
          <w:szCs w:val="1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2995295</wp:posOffset>
            </wp:positionH>
            <wp:positionV relativeFrom="paragraph">
              <wp:posOffset>16510</wp:posOffset>
            </wp:positionV>
            <wp:extent cx="1177290" cy="417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77290" cy="41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Priority Investor Inquiries: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Chris Kettmann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ckettmann@lincolnchurchilladvisors.com</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(773) 497-7575</w:t>
      </w:r>
    </w:p>
    <w:p>
      <w:pPr>
        <w:spacing w:after="0" w:line="18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Priority Technology Holdings, Inc. Announces Fourth Quarter 2022 and Full Year Financial Results</w:t>
      </w:r>
    </w:p>
    <w:p>
      <w:pPr>
        <w:spacing w:after="0" w:line="15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Fourth Quarter Revenue and Adjusted Gross Profit (a Non-GAAP measure</w:t>
      </w: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 Growth Driven by Strong Performance Across all Business Segments</w:t>
      </w:r>
    </w:p>
    <w:p>
      <w:pPr>
        <w:spacing w:after="0" w:line="126" w:lineRule="exact"/>
        <w:rPr>
          <w:sz w:val="20"/>
          <w:szCs w:val="20"/>
          <w:color w:val="auto"/>
        </w:rPr>
      </w:pPr>
    </w:p>
    <w:p>
      <w:pPr>
        <w:spacing w:after="0" w:line="324" w:lineRule="auto"/>
        <w:rPr>
          <w:sz w:val="20"/>
          <w:szCs w:val="20"/>
          <w:color w:val="auto"/>
        </w:rPr>
      </w:pPr>
      <w:r>
        <w:rPr>
          <w:rFonts w:ascii="Times New Roman" w:cs="Times New Roman" w:eastAsia="Times New Roman" w:hAnsi="Times New Roman"/>
          <w:sz w:val="13"/>
          <w:szCs w:val="13"/>
          <w:color w:val="auto"/>
        </w:rPr>
        <w:t>ALPHARETTA, GA - March 23, 2023 -- Priority Technology Holdings, Inc. (NASDAQ: PRTH) ("Priority" or the "Company"), the platform for unified commerce that delivers integrated payments and banking services at scale, today announced its fourth quarter and full year 2022 financial results including strong quarter-over-quarter and year-over-year diversified revenue growth.</w:t>
      </w:r>
    </w:p>
    <w:p>
      <w:pPr>
        <w:spacing w:after="0" w:line="1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3"/>
          <w:szCs w:val="13"/>
          <w:b w:val="1"/>
          <w:bCs w:val="1"/>
          <w:u w:val="single" w:color="auto"/>
          <w:color w:val="auto"/>
        </w:rPr>
        <w:t>Highlights of Consolidated Results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Fourth Quarter 2022, Compared with Fourth Quarter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Financial highlights of the fourth quarter of 2022 compared with the fourth quarter of 2021, are as follows:</w:t>
      </w:r>
    </w:p>
    <w:p>
      <w:pPr>
        <w:spacing w:after="0" w:line="184"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of $177.6 million increased 23.3% from $144.0 million.</w:t>
      </w:r>
    </w:p>
    <w:p>
      <w:pPr>
        <w:spacing w:after="0" w:line="29"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(a non-GAAP measure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of $61.0 million increased 25.3% from $48.7 million.</w:t>
      </w:r>
    </w:p>
    <w:p>
      <w:pPr>
        <w:ind w:left="420" w:hanging="212"/>
        <w:spacing w:after="0" w:line="232" w:lineRule="auto"/>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margin (a non-GAAP measure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of 34.3% increased 50 basis points from 33.8%.</w:t>
      </w: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Operating income of $18.2 million increased 41.1% from $12.9 million.</w:t>
      </w:r>
    </w:p>
    <w:p>
      <w:pPr>
        <w:spacing w:after="0" w:line="16"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 non-GAAP measure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of $39.8 million increased 21.0% from $32.9 million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Full Year 2022, Compared with Full Year 2021</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Financial highlights of the full year 2022 compared with the full year 2021, are as follows:</w:t>
      </w:r>
    </w:p>
    <w:p>
      <w:pPr>
        <w:spacing w:after="0" w:line="175" w:lineRule="exact"/>
        <w:rPr>
          <w:sz w:val="20"/>
          <w:szCs w:val="20"/>
          <w:color w:val="auto"/>
        </w:rPr>
      </w:pPr>
    </w:p>
    <w:p>
      <w:pPr>
        <w:ind w:left="420" w:hanging="212"/>
        <w:spacing w:after="0"/>
        <w:tabs>
          <w:tab w:leader="none" w:pos="420"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of $663.6 million increased 28.9% from $514.9 million.</w:t>
      </w:r>
    </w:p>
    <w:p>
      <w:pPr>
        <w:spacing w:after="0" w:line="48"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1"/>
          <w:numId w:val="3"/>
        </w:numPr>
        <w:rPr>
          <w:rFonts w:ascii="Arial" w:cs="Arial" w:eastAsia="Arial" w:hAnsi="Arial"/>
          <w:sz w:val="14"/>
          <w:szCs w:val="14"/>
          <w:color w:val="auto"/>
        </w:rPr>
      </w:pPr>
      <w:r>
        <w:rPr>
          <w:rFonts w:ascii="Times New Roman" w:cs="Times New Roman" w:eastAsia="Times New Roman" w:hAnsi="Times New Roman"/>
          <w:sz w:val="13"/>
          <w:szCs w:val="13"/>
          <w:color w:val="auto"/>
        </w:rPr>
        <w:t>Adjusted gross profit (a non-GAAP measure</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3"/>
          <w:szCs w:val="13"/>
          <w:color w:val="auto"/>
        </w:rPr>
        <w:t>) of $226.9 million increased 46.4% from $155.0 million.</w:t>
      </w:r>
    </w:p>
    <w:p>
      <w:pPr>
        <w:spacing w:after="0" w:line="39" w:lineRule="exact"/>
        <w:rPr>
          <w:rFonts w:ascii="Arial" w:cs="Arial" w:eastAsia="Arial" w:hAnsi="Arial"/>
          <w:sz w:val="14"/>
          <w:szCs w:val="14"/>
          <w:color w:val="auto"/>
        </w:rPr>
      </w:pPr>
    </w:p>
    <w:p>
      <w:pPr>
        <w:ind w:left="420" w:hanging="212"/>
        <w:spacing w:after="0"/>
        <w:tabs>
          <w:tab w:leader="none" w:pos="420" w:val="left"/>
        </w:tabs>
        <w:numPr>
          <w:ilvl w:val="1"/>
          <w:numId w:val="3"/>
        </w:numPr>
        <w:rPr>
          <w:rFonts w:ascii="Arial" w:cs="Arial" w:eastAsia="Arial" w:hAnsi="Arial"/>
          <w:sz w:val="14"/>
          <w:szCs w:val="14"/>
          <w:color w:val="auto"/>
        </w:rPr>
      </w:pPr>
      <w:r>
        <w:rPr>
          <w:rFonts w:ascii="Times New Roman" w:cs="Times New Roman" w:eastAsia="Times New Roman" w:hAnsi="Times New Roman"/>
          <w:sz w:val="13"/>
          <w:szCs w:val="13"/>
          <w:color w:val="auto"/>
        </w:rPr>
        <w:t>Adjusted gross profit margin (a non-GAAP measure</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3"/>
          <w:szCs w:val="13"/>
          <w:color w:val="auto"/>
        </w:rPr>
        <w:t>) of 34.2% increased 410 basis points from 30.1%.</w:t>
      </w:r>
    </w:p>
    <w:p>
      <w:pPr>
        <w:spacing w:after="0" w:line="25" w:lineRule="exact"/>
        <w:rPr>
          <w:rFonts w:ascii="Arial" w:cs="Arial" w:eastAsia="Arial" w:hAnsi="Arial"/>
          <w:sz w:val="14"/>
          <w:szCs w:val="14"/>
          <w:color w:val="auto"/>
        </w:rPr>
      </w:pPr>
    </w:p>
    <w:p>
      <w:pPr>
        <w:ind w:left="420" w:hanging="212"/>
        <w:spacing w:after="0" w:line="234" w:lineRule="auto"/>
        <w:tabs>
          <w:tab w:leader="none" w:pos="420" w:val="left"/>
        </w:tabs>
        <w:numPr>
          <w:ilvl w:val="1"/>
          <w:numId w:val="3"/>
        </w:numPr>
        <w:rPr>
          <w:rFonts w:ascii="Arial" w:cs="Arial" w:eastAsia="Arial" w:hAnsi="Arial"/>
          <w:sz w:val="14"/>
          <w:szCs w:val="14"/>
          <w:color w:val="auto"/>
        </w:rPr>
      </w:pPr>
      <w:r>
        <w:rPr>
          <w:rFonts w:ascii="Times New Roman" w:cs="Times New Roman" w:eastAsia="Times New Roman" w:hAnsi="Times New Roman"/>
          <w:sz w:val="13"/>
          <w:szCs w:val="13"/>
          <w:color w:val="auto"/>
        </w:rPr>
        <w:t>Operating income of $56.2 million increased 69.8% from $33.1 million.</w:t>
      </w:r>
    </w:p>
    <w:p>
      <w:pPr>
        <w:spacing w:after="0" w:line="27" w:lineRule="exact"/>
        <w:rPr>
          <w:rFonts w:ascii="Arial" w:cs="Arial" w:eastAsia="Arial" w:hAnsi="Arial"/>
          <w:sz w:val="14"/>
          <w:szCs w:val="14"/>
          <w:color w:val="auto"/>
        </w:rPr>
      </w:pPr>
    </w:p>
    <w:p>
      <w:pPr>
        <w:ind w:left="420" w:hanging="212"/>
        <w:spacing w:after="0"/>
        <w:tabs>
          <w:tab w:leader="none" w:pos="420" w:val="left"/>
        </w:tabs>
        <w:numPr>
          <w:ilvl w:val="1"/>
          <w:numId w:val="3"/>
        </w:numPr>
        <w:rPr>
          <w:rFonts w:ascii="Arial" w:cs="Arial" w:eastAsia="Arial" w:hAnsi="Arial"/>
          <w:sz w:val="14"/>
          <w:szCs w:val="14"/>
          <w:color w:val="auto"/>
        </w:rPr>
      </w:pPr>
      <w:r>
        <w:rPr>
          <w:rFonts w:ascii="Times New Roman" w:cs="Times New Roman" w:eastAsia="Times New Roman" w:hAnsi="Times New Roman"/>
          <w:sz w:val="13"/>
          <w:szCs w:val="13"/>
          <w:color w:val="auto"/>
        </w:rPr>
        <w:t>Adjusted EBITDA (a non-GAAP measure</w:t>
      </w:r>
      <w:r>
        <w:rPr>
          <w:rFonts w:ascii="Times New Roman" w:cs="Times New Roman" w:eastAsia="Times New Roman" w:hAnsi="Times New Roman"/>
          <w:sz w:val="7"/>
          <w:szCs w:val="7"/>
          <w:color w:val="auto"/>
        </w:rPr>
        <w:t>1</w:t>
      </w:r>
      <w:r>
        <w:rPr>
          <w:rFonts w:ascii="Times New Roman" w:cs="Times New Roman" w:eastAsia="Times New Roman" w:hAnsi="Times New Roman"/>
          <w:sz w:val="13"/>
          <w:szCs w:val="13"/>
          <w:color w:val="auto"/>
        </w:rPr>
        <w:t>) of $140.3 million increased 45.7% from $96.3 million.</w:t>
      </w:r>
    </w:p>
    <w:p>
      <w:pPr>
        <w:spacing w:after="0" w:line="147" w:lineRule="exact"/>
        <w:rPr>
          <w:rFonts w:ascii="Arial" w:cs="Arial" w:eastAsia="Arial" w:hAnsi="Arial"/>
          <w:sz w:val="14"/>
          <w:szCs w:val="14"/>
          <w:color w:val="auto"/>
        </w:rPr>
      </w:pPr>
    </w:p>
    <w:p>
      <w:pPr>
        <w:ind w:left="260" w:right="240" w:hanging="108"/>
        <w:spacing w:after="0" w:line="229" w:lineRule="auto"/>
        <w:rPr>
          <w:rFonts w:ascii="Arial" w:cs="Arial" w:eastAsia="Arial" w:hAnsi="Arial"/>
          <w:sz w:val="14"/>
          <w:szCs w:val="14"/>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i w:val="1"/>
          <w:iCs w:val="1"/>
          <w:color w:val="auto"/>
        </w:rPr>
        <w:t xml:space="preserve"> See "Non-GAAP Financial Measures" and the reconciliations of Adjusted Gross Profit (non-GAAP),Adjusted Gross Profit Margin (non-GAAP), and Adjusted EBITDA, to their most comparable GAAP measures provided below for additional information.</w:t>
      </w:r>
    </w:p>
    <w:p>
      <w:pPr>
        <w:spacing w:after="0" w:line="34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080"/>
          </w:cols>
          <w:pgMar w:left="300" w:top="651" w:right="519" w:bottom="1440" w:gutter="0" w:footer="0" w:header="0"/>
        </w:sectPr>
      </w:pPr>
    </w:p>
    <w:bookmarkStart w:id="4" w:name="page5"/>
    <w:bookmarkEnd w:id="4"/>
    <w:p>
      <w:pPr>
        <w:spacing w:after="0" w:line="270" w:lineRule="auto"/>
        <w:rPr>
          <w:sz w:val="20"/>
          <w:szCs w:val="20"/>
          <w:color w:val="auto"/>
        </w:rPr>
      </w:pPr>
      <w:r>
        <w:rPr>
          <w:rFonts w:ascii="Times New Roman" w:cs="Times New Roman" w:eastAsia="Times New Roman" w:hAnsi="Times New Roman"/>
          <w:sz w:val="13"/>
          <w:szCs w:val="13"/>
          <w:color w:val="auto"/>
        </w:rPr>
        <w:t>"Our outstanding fourth quarter and full year results reflect the strength of our market-leading unified commerce platform. Our business has been purpose-built to perform despite challenging economic environments like we have today. The results demonstrate that we are executing," said Tom Priore, Chairman &amp; CEO of Priority. "Looking ahead, we will remain focused on our mission to deliver payments and banking as a service solutions for our SMB, B2B and Enterprise payments partners and driving long term value for our shareholders."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Full Year 2023 Financial Guidance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70707"/>
        </w:rPr>
        <w:t>Priority's outlook remains strong, which is reflected in our full year 2023 guidance:</w:t>
      </w:r>
    </w:p>
    <w:p>
      <w:pPr>
        <w:spacing w:after="0" w:line="175"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forecasted to range between $740 million to $755 million, a growth rate of 12% to 14%.</w:t>
      </w:r>
    </w:p>
    <w:p>
      <w:pPr>
        <w:spacing w:after="0" w:line="39"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 non-GAAP measure) is forecasted to range between $160 million to $165 million, a growth rate of 14% to 18%.</w:t>
      </w:r>
    </w:p>
    <w:p>
      <w:pPr>
        <w:spacing w:after="0" w:line="17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3"/>
          <w:szCs w:val="13"/>
          <w:b w:val="1"/>
          <w:bCs w:val="1"/>
          <w:u w:val="single" w:color="auto"/>
          <w:color w:val="auto"/>
        </w:rPr>
        <w:t>Conference Call</w:t>
      </w:r>
    </w:p>
    <w:p>
      <w:pPr>
        <w:spacing w:after="0" w:line="177" w:lineRule="exact"/>
        <w:rPr>
          <w:sz w:val="20"/>
          <w:szCs w:val="20"/>
          <w:color w:val="auto"/>
        </w:rPr>
      </w:pPr>
    </w:p>
    <w:p>
      <w:pPr>
        <w:ind w:right="80"/>
        <w:spacing w:after="0" w:line="338" w:lineRule="auto"/>
        <w:rPr>
          <w:sz w:val="20"/>
          <w:szCs w:val="20"/>
          <w:color w:val="auto"/>
        </w:rPr>
      </w:pPr>
      <w:r>
        <w:rPr>
          <w:rFonts w:ascii="Times New Roman" w:cs="Times New Roman" w:eastAsia="Times New Roman" w:hAnsi="Times New Roman"/>
          <w:sz w:val="13"/>
          <w:szCs w:val="13"/>
          <w:color w:val="070707"/>
        </w:rPr>
        <w:t>Priority Technology Holdings, Inc.'s leadership will host a conference call on Thursday, March 23, 2023 at 11:00 a.m. EDT to discuss its fourth quarter 2022 financial results. Participants can access the call by p</w:t>
      </w:r>
      <w:r>
        <w:rPr>
          <w:rFonts w:ascii="Times New Roman" w:cs="Times New Roman" w:eastAsia="Times New Roman" w:hAnsi="Times New Roman"/>
          <w:sz w:val="13"/>
          <w:szCs w:val="13"/>
          <w:color w:val="000000"/>
        </w:rPr>
        <w:t>hone in the U.S. or Canada at (833) 636-1319 or internationally at (412) 902-4286.</w:t>
      </w:r>
    </w:p>
    <w:p>
      <w:pPr>
        <w:spacing w:after="0" w:line="7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3"/>
          <w:szCs w:val="13"/>
          <w:color w:val="auto"/>
        </w:rPr>
        <w:t xml:space="preserve">The Internet webcast link and accompanying slide presentation can be accessed at </w:t>
      </w:r>
      <w:r>
        <w:rPr>
          <w:rFonts w:ascii="Times New Roman" w:cs="Times New Roman" w:eastAsia="Times New Roman" w:hAnsi="Times New Roman"/>
          <w:sz w:val="13"/>
          <w:szCs w:val="13"/>
          <w:b w:val="1"/>
          <w:bCs w:val="1"/>
          <w:color w:val="auto"/>
        </w:rPr>
        <w:t>https://edge.media-server.com/mmc/p/gw4f4523</w:t>
      </w:r>
      <w:r>
        <w:rPr>
          <w:rFonts w:ascii="Times New Roman" w:cs="Times New Roman" w:eastAsia="Times New Roman" w:hAnsi="Times New Roman"/>
          <w:sz w:val="13"/>
          <w:szCs w:val="13"/>
          <w:color w:val="auto"/>
        </w:rPr>
        <w:t xml:space="preserve"> and will also be posted in the "Investor Relations" section of the Company's website at www.prioritycommerce.com.</w:t>
      </w:r>
    </w:p>
    <w:p>
      <w:pPr>
        <w:spacing w:after="0" w:line="12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3"/>
          <w:szCs w:val="13"/>
          <w:color w:val="auto"/>
        </w:rPr>
        <w:t xml:space="preserve">An audio replay of the call will be available shortly after the conference call until March 30, 2023 at 2:00 p.m. EDT. To listen to the audio replay, dial (877) 344-7529 or (412) 317-0088 and enter conference ID number </w:t>
      </w:r>
      <w:r>
        <w:rPr>
          <w:rFonts w:ascii="Times New Roman" w:cs="Times New Roman" w:eastAsia="Times New Roman" w:hAnsi="Times New Roman"/>
          <w:sz w:val="13"/>
          <w:szCs w:val="13"/>
          <w:b w:val="1"/>
          <w:bCs w:val="1"/>
          <w:color w:val="auto"/>
        </w:rPr>
        <w:t>5272926</w:t>
      </w:r>
      <w:r>
        <w:rPr>
          <w:rFonts w:ascii="Times New Roman" w:cs="Times New Roman" w:eastAsia="Times New Roman" w:hAnsi="Times New Roman"/>
          <w:sz w:val="13"/>
          <w:szCs w:val="13"/>
          <w:color w:val="auto"/>
        </w:rPr>
        <w:t>. Alternatively, you may access the webcast replay in the "Investor Relations" section of the Company's website at www.prioritycommerce.com.</w:t>
      </w:r>
    </w:p>
    <w:p>
      <w:pPr>
        <w:spacing w:after="0" w:line="13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3"/>
          <w:szCs w:val="13"/>
          <w:b w:val="1"/>
          <w:bCs w:val="1"/>
          <w:u w:val="single" w:color="auto"/>
          <w:color w:val="0A0A0A"/>
        </w:rPr>
        <w:t>Non-GAAP Financial Measures</w:t>
      </w:r>
    </w:p>
    <w:p>
      <w:pPr>
        <w:spacing w:after="0" w:line="177" w:lineRule="exact"/>
        <w:rPr>
          <w:sz w:val="20"/>
          <w:szCs w:val="20"/>
          <w:color w:val="auto"/>
        </w:rPr>
      </w:pPr>
    </w:p>
    <w:p>
      <w:pPr>
        <w:ind w:right="40"/>
        <w:spacing w:after="0" w:line="305" w:lineRule="auto"/>
        <w:rPr>
          <w:sz w:val="20"/>
          <w:szCs w:val="20"/>
          <w:color w:val="auto"/>
        </w:rPr>
      </w:pPr>
      <w:r>
        <w:rPr>
          <w:rFonts w:ascii="Times New Roman" w:cs="Times New Roman" w:eastAsia="Times New Roman" w:hAnsi="Times New Roman"/>
          <w:sz w:val="13"/>
          <w:szCs w:val="13"/>
          <w:color w:val="auto"/>
        </w:rPr>
        <w:t>This communication includes certain non-GAAP financial measures that we regularly review to evaluate our business and trends, measure our performance, prepare financial projections, allocate resources, and make strategic decisions. We believe these non-GAAP measures help to illustrate the underlying financial and business trends relating to our results of operations and comparability between current and prior periods. We also use these non-GAAP measures to establish and monitor operational goals. However, these non-GAAP measures are not superior to or a substitute for prominent measurements calculated in accordance with GAAP. Rather, the non-GAAP measures are meant to be a complement to understanding measures prepared in accordance with GAAP.</w:t>
      </w:r>
    </w:p>
    <w:p>
      <w:pPr>
        <w:spacing w:after="0" w:line="200" w:lineRule="exact"/>
        <w:rPr>
          <w:sz w:val="20"/>
          <w:szCs w:val="20"/>
          <w:color w:val="auto"/>
        </w:rPr>
      </w:pPr>
    </w:p>
    <w:p>
      <w:pPr>
        <w:spacing w:after="0" w:line="25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080"/>
          </w:cols>
          <w:pgMar w:left="300" w:top="962"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b w:val="1"/>
          <w:bCs w:val="1"/>
          <w:i w:val="1"/>
          <w:iCs w:val="1"/>
          <w:color w:val="auto"/>
        </w:rPr>
        <w:t>Adjusted Gross Profit and Adjusted Gross Profit Margin</w:t>
      </w:r>
    </w:p>
    <w:p>
      <w:pPr>
        <w:spacing w:after="0" w:line="152" w:lineRule="exact"/>
        <w:rPr>
          <w:sz w:val="20"/>
          <w:szCs w:val="20"/>
          <w:color w:val="auto"/>
        </w:rPr>
      </w:pPr>
    </w:p>
    <w:p>
      <w:pPr>
        <w:jc w:val="both"/>
        <w:ind w:right="60"/>
        <w:spacing w:after="0" w:line="295" w:lineRule="auto"/>
        <w:rPr>
          <w:sz w:val="20"/>
          <w:szCs w:val="20"/>
          <w:color w:val="auto"/>
        </w:rPr>
      </w:pPr>
      <w:r>
        <w:rPr>
          <w:rFonts w:ascii="Times New Roman" w:cs="Times New Roman" w:eastAsia="Times New Roman" w:hAnsi="Times New Roman"/>
          <w:sz w:val="13"/>
          <w:szCs w:val="13"/>
          <w:color w:val="auto"/>
        </w:rPr>
        <w:t>The Company's adjusted gross profit metric represents revenues less cost of revenue (excluding depreciation and amortization). Adjusted gross profit margin is adjusted gross profit divided by revenues. We review these non-GAAP measures to evaluate our underlying profit trends. The reconciliation of adjusted gross profit to its most comparable GAAP measure is provided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60" w:type="dxa"/>
            <w:vAlign w:val="bottom"/>
            <w:gridSpan w:val="3"/>
          </w:tcPr>
          <w:p>
            <w:pPr>
              <w:jc w:val="right"/>
              <w:ind w:right="114"/>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780" w:type="dxa"/>
            <w:vAlign w:val="bottom"/>
            <w:gridSpan w:val="3"/>
            <w:vMerge w:val="restart"/>
          </w:tcPr>
          <w:p>
            <w:pPr>
              <w:ind w:left="840"/>
              <w:spacing w:after="0"/>
              <w:rPr>
                <w:sz w:val="20"/>
                <w:szCs w:val="20"/>
                <w:color w:val="auto"/>
              </w:rPr>
            </w:pPr>
            <w:r>
              <w:rPr>
                <w:rFonts w:ascii="Times New Roman" w:cs="Times New Roman" w:eastAsia="Times New Roman" w:hAnsi="Times New Roman"/>
                <w:sz w:val="13"/>
                <w:szCs w:val="13"/>
                <w:b w:val="1"/>
                <w:bCs w:val="1"/>
                <w:color w:val="auto"/>
              </w:rPr>
              <w:t>Years Ended</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4260" w:type="dxa"/>
            <w:vAlign w:val="bottom"/>
          </w:tcPr>
          <w:p>
            <w:pPr>
              <w:spacing w:after="0"/>
              <w:rPr>
                <w:sz w:val="11"/>
                <w:szCs w:val="11"/>
                <w:color w:val="auto"/>
              </w:rPr>
            </w:pPr>
          </w:p>
        </w:tc>
        <w:tc>
          <w:tcPr>
            <w:tcW w:w="2820" w:type="dxa"/>
            <w:vAlign w:val="bottom"/>
            <w:gridSpan w:val="4"/>
            <w:vMerge w:val="restart"/>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260" w:type="dxa"/>
            <w:vAlign w:val="bottom"/>
          </w:tcPr>
          <w:p>
            <w:pPr>
              <w:spacing w:after="0"/>
              <w:rPr>
                <w:sz w:val="14"/>
                <w:szCs w:val="14"/>
                <w:color w:val="auto"/>
              </w:rPr>
            </w:pPr>
          </w:p>
        </w:tc>
        <w:tc>
          <w:tcPr>
            <w:tcW w:w="2820" w:type="dxa"/>
            <w:vAlign w:val="bottom"/>
            <w:tcBorders>
              <w:bottom w:val="single" w:sz="8" w:color="auto"/>
            </w:tcBorders>
            <w:gridSpan w:val="4"/>
            <w:vMerge w:val="continue"/>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26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54"/>
        </w:trPr>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Revenues</w:t>
            </w:r>
          </w:p>
        </w:tc>
        <w:tc>
          <w:tcPr>
            <w:tcW w:w="1020" w:type="dxa"/>
            <w:vAlign w:val="bottom"/>
          </w:tcPr>
          <w:p>
            <w:pPr>
              <w:jc w:val="right"/>
              <w:ind w:right="87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177,555</w:t>
            </w:r>
          </w:p>
        </w:tc>
        <w:tc>
          <w:tcPr>
            <w:tcW w:w="80" w:type="dxa"/>
            <w:vAlign w:val="bottom"/>
          </w:tcPr>
          <w:p>
            <w:pPr>
              <w:spacing w:after="0"/>
              <w:rPr>
                <w:sz w:val="13"/>
                <w:szCs w:val="13"/>
                <w:color w:val="auto"/>
              </w:rPr>
            </w:pPr>
          </w:p>
        </w:tc>
        <w:tc>
          <w:tcPr>
            <w:tcW w:w="1040" w:type="dxa"/>
            <w:vAlign w:val="bottom"/>
          </w:tcPr>
          <w:p>
            <w:pPr>
              <w:jc w:val="right"/>
              <w:ind w:right="89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144,048</w:t>
            </w:r>
          </w:p>
        </w:tc>
        <w:tc>
          <w:tcPr>
            <w:tcW w:w="80" w:type="dxa"/>
            <w:vAlign w:val="bottom"/>
          </w:tcPr>
          <w:p>
            <w:pPr>
              <w:spacing w:after="0"/>
              <w:rPr>
                <w:sz w:val="13"/>
                <w:szCs w:val="13"/>
                <w:color w:val="auto"/>
              </w:rPr>
            </w:pPr>
          </w:p>
        </w:tc>
        <w:tc>
          <w:tcPr>
            <w:tcW w:w="520" w:type="dxa"/>
            <w:vAlign w:val="bottom"/>
          </w:tcPr>
          <w:p>
            <w:pPr>
              <w:jc w:val="right"/>
              <w:ind w:right="37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663,641</w:t>
            </w:r>
          </w:p>
        </w:tc>
        <w:tc>
          <w:tcPr>
            <w:tcW w:w="60" w:type="dxa"/>
            <w:vAlign w:val="bottom"/>
          </w:tcPr>
          <w:p>
            <w:pPr>
              <w:spacing w:after="0"/>
              <w:rPr>
                <w:sz w:val="13"/>
                <w:szCs w:val="13"/>
                <w:color w:val="auto"/>
              </w:rPr>
            </w:pPr>
          </w:p>
        </w:tc>
        <w:tc>
          <w:tcPr>
            <w:tcW w:w="540" w:type="dxa"/>
            <w:vAlign w:val="bottom"/>
          </w:tcPr>
          <w:p>
            <w:pPr>
              <w:jc w:val="right"/>
              <w:ind w:right="39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514,901</w:t>
            </w:r>
          </w:p>
        </w:tc>
        <w:tc>
          <w:tcPr>
            <w:tcW w:w="0" w:type="dxa"/>
            <w:vAlign w:val="bottom"/>
          </w:tcPr>
          <w:p>
            <w:pPr>
              <w:spacing w:after="0"/>
              <w:rPr>
                <w:sz w:val="1"/>
                <w:szCs w:val="1"/>
                <w:color w:val="auto"/>
              </w:rPr>
            </w:pPr>
          </w:p>
        </w:tc>
      </w:tr>
      <w:tr>
        <w:trPr>
          <w:trHeight w:val="174"/>
        </w:trPr>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 (excluding depreciation and amortization)</w:t>
            </w:r>
          </w:p>
        </w:tc>
        <w:tc>
          <w:tcPr>
            <w:tcW w:w="10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(116,566)</w:t>
            </w:r>
          </w:p>
        </w:tc>
        <w:tc>
          <w:tcPr>
            <w:tcW w:w="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(95,358)</w:t>
            </w:r>
          </w:p>
        </w:tc>
        <w:tc>
          <w:tcPr>
            <w:tcW w:w="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rPr>
              <w:t>(436,753)</w:t>
            </w:r>
          </w:p>
        </w:tc>
        <w:tc>
          <w:tcPr>
            <w:tcW w:w="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(359,885)</w:t>
            </w:r>
          </w:p>
        </w:tc>
        <w:tc>
          <w:tcPr>
            <w:tcW w:w="0" w:type="dxa"/>
            <w:vAlign w:val="bottom"/>
          </w:tcPr>
          <w:p>
            <w:pPr>
              <w:spacing w:after="0"/>
              <w:rPr>
                <w:sz w:val="1"/>
                <w:szCs w:val="1"/>
                <w:color w:val="auto"/>
              </w:rPr>
            </w:pPr>
          </w:p>
        </w:tc>
      </w:tr>
      <w:tr>
        <w:trPr>
          <w:trHeight w:val="163"/>
        </w:trPr>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Adjusted gross profit</w:t>
            </w:r>
          </w:p>
        </w:tc>
        <w:tc>
          <w:tcPr>
            <w:tcW w:w="10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60,989</w:t>
            </w:r>
          </w:p>
        </w:tc>
        <w:tc>
          <w:tcPr>
            <w:tcW w:w="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48,690</w:t>
            </w: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226,888</w:t>
            </w:r>
          </w:p>
        </w:tc>
        <w:tc>
          <w:tcPr>
            <w:tcW w:w="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155,016</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Adjusted gross profit margin</w:t>
            </w: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26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34.3 %</w:t>
            </w: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33.8 %</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34.2 %</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30.1 %</w:t>
            </w:r>
          </w:p>
        </w:tc>
        <w:tc>
          <w:tcPr>
            <w:tcW w:w="0" w:type="dxa"/>
            <w:vAlign w:val="bottom"/>
          </w:tcPr>
          <w:p>
            <w:pPr>
              <w:spacing w:after="0"/>
              <w:rPr>
                <w:sz w:val="1"/>
                <w:szCs w:val="1"/>
                <w:color w:val="auto"/>
              </w:rPr>
            </w:pPr>
          </w:p>
        </w:tc>
      </w:tr>
      <w:tr>
        <w:trPr>
          <w:trHeight w:val="174"/>
        </w:trPr>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 of revenue generating assets</w:t>
            </w:r>
          </w:p>
        </w:tc>
        <w:tc>
          <w:tcPr>
            <w:tcW w:w="10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(2,762)</w:t>
            </w:r>
          </w:p>
        </w:tc>
        <w:tc>
          <w:tcPr>
            <w:tcW w:w="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(2,401)</w:t>
            </w:r>
          </w:p>
        </w:tc>
        <w:tc>
          <w:tcPr>
            <w:tcW w:w="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rPr>
              <w:t>(10,355)</w:t>
            </w:r>
          </w:p>
        </w:tc>
        <w:tc>
          <w:tcPr>
            <w:tcW w:w="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(6,940)</w:t>
            </w:r>
          </w:p>
        </w:tc>
        <w:tc>
          <w:tcPr>
            <w:tcW w:w="0" w:type="dxa"/>
            <w:vAlign w:val="bottom"/>
          </w:tcPr>
          <w:p>
            <w:pPr>
              <w:spacing w:after="0"/>
              <w:rPr>
                <w:sz w:val="1"/>
                <w:szCs w:val="1"/>
                <w:color w:val="auto"/>
              </w:rPr>
            </w:pPr>
          </w:p>
        </w:tc>
      </w:tr>
      <w:tr>
        <w:trPr>
          <w:trHeight w:val="163"/>
        </w:trPr>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10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58,227</w:t>
            </w:r>
          </w:p>
        </w:tc>
        <w:tc>
          <w:tcPr>
            <w:tcW w:w="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46,289</w:t>
            </w: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216,533</w:t>
            </w:r>
          </w:p>
        </w:tc>
        <w:tc>
          <w:tcPr>
            <w:tcW w:w="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148,076</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Gross profit margin</w:t>
            </w: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26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32.8 %</w:t>
            </w: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32.1 %</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32.6 %</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28.8 %</w:t>
            </w:r>
          </w:p>
        </w:tc>
        <w:tc>
          <w:tcPr>
            <w:tcW w:w="0" w:type="dxa"/>
            <w:vAlign w:val="bottom"/>
          </w:tcPr>
          <w:p>
            <w:pPr>
              <w:spacing w:after="0"/>
              <w:rPr>
                <w:sz w:val="1"/>
                <w:szCs w:val="1"/>
                <w:color w:val="auto"/>
              </w:rPr>
            </w:pPr>
          </w:p>
        </w:tc>
      </w:tr>
    </w:tbl>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EBITDA and Adjusted EBITDA</w:t>
      </w:r>
    </w:p>
    <w:p>
      <w:pPr>
        <w:spacing w:after="0" w:line="197" w:lineRule="exact"/>
        <w:rPr>
          <w:sz w:val="20"/>
          <w:szCs w:val="20"/>
          <w:color w:val="auto"/>
        </w:rPr>
      </w:pPr>
    </w:p>
    <w:p>
      <w:pPr>
        <w:jc w:val="both"/>
        <w:ind w:right="40"/>
        <w:spacing w:after="0" w:line="310" w:lineRule="auto"/>
        <w:rPr>
          <w:sz w:val="20"/>
          <w:szCs w:val="20"/>
          <w:color w:val="auto"/>
        </w:rPr>
      </w:pPr>
      <w:r>
        <w:rPr>
          <w:rFonts w:ascii="Times New Roman" w:cs="Times New Roman" w:eastAsia="Times New Roman" w:hAnsi="Times New Roman"/>
          <w:sz w:val="13"/>
          <w:szCs w:val="13"/>
          <w:color w:val="auto"/>
        </w:rPr>
        <w:t>EBITDA and adjusted EBITDA are performance measures. EBITDA is earnings before interest, income tax, and depreciation and amortization expenses ("EBITDA"). Adjusted EBITDA begins with EBITDA but further excludes certain non-cash costs, such as stock-based compensation and the write-off of the carrying value of investments or other assets, as well as debt extinguishment and modification expenses and other expenses and income items considered non-recurring, such as acquisition integration expenses, certain professional fees, and litigation settlements. We review the non-GAAP adjusted EBITDA measure to evaluate our business and trends, measure our performance, prepare financial projections, allocate resources, and make strategic decisions.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reconciliation of adjusted EBITDA to its most comparable GAAP measure is provided below:</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280"/>
          </w:cols>
          <w:pgMar w:left="300" w:top="940"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4"/>
        </w:trPr>
        <w:tc>
          <w:tcPr>
            <w:tcW w:w="5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3"/>
          </w:tcPr>
          <w:p>
            <w:pPr>
              <w:jc w:val="right"/>
              <w:ind w:right="34"/>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0" w:type="dxa"/>
            <w:vAlign w:val="bottom"/>
            <w:gridSpan w:val="3"/>
            <w:vMerge w:val="restart"/>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Years Ended</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760" w:type="dxa"/>
            <w:vAlign w:val="bottom"/>
          </w:tcPr>
          <w:p>
            <w:pPr>
              <w:spacing w:after="0"/>
              <w:rPr>
                <w:sz w:val="11"/>
                <w:szCs w:val="11"/>
                <w:color w:val="auto"/>
              </w:rPr>
            </w:pPr>
          </w:p>
        </w:tc>
        <w:tc>
          <w:tcPr>
            <w:tcW w:w="2800" w:type="dxa"/>
            <w:vAlign w:val="bottom"/>
            <w:gridSpan w:val="6"/>
            <w:vMerge w:val="restart"/>
          </w:tcPr>
          <w:p>
            <w:pPr>
              <w:ind w:left="36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44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2800" w:type="dxa"/>
            <w:vAlign w:val="bottom"/>
            <w:gridSpan w:val="6"/>
            <w:vMerge w:val="continue"/>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gridSpan w:val="3"/>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76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4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54"/>
        </w:trPr>
        <w:tc>
          <w:tcPr>
            <w:tcW w:w="5760" w:type="dxa"/>
            <w:vAlign w:val="bottom"/>
          </w:tcPr>
          <w:p>
            <w:pPr>
              <w:spacing w:after="0"/>
              <w:rPr>
                <w:sz w:val="20"/>
                <w:szCs w:val="20"/>
                <w:color w:val="auto"/>
              </w:rPr>
            </w:pPr>
            <w:r>
              <w:rPr>
                <w:rFonts w:ascii="Times New Roman" w:cs="Times New Roman" w:eastAsia="Times New Roman" w:hAnsi="Times New Roman"/>
                <w:sz w:val="13"/>
                <w:szCs w:val="13"/>
                <w:color w:val="auto"/>
              </w:rPr>
              <w:t>Net (loss) income</w:t>
            </w:r>
          </w:p>
        </w:tc>
        <w:tc>
          <w:tcPr>
            <w:tcW w:w="860" w:type="dxa"/>
            <w:vAlign w:val="bottom"/>
          </w:tcPr>
          <w:p>
            <w:pPr>
              <w:jc w:val="right"/>
              <w:ind w:right="714"/>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(1,312)</w:t>
            </w:r>
          </w:p>
        </w:tc>
        <w:tc>
          <w:tcPr>
            <w:tcW w:w="60" w:type="dxa"/>
            <w:vAlign w:val="bottom"/>
          </w:tcPr>
          <w:p>
            <w:pPr>
              <w:spacing w:after="0"/>
              <w:rPr>
                <w:sz w:val="13"/>
                <w:szCs w:val="13"/>
                <w:color w:val="auto"/>
              </w:rPr>
            </w:pP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14,094</w:t>
            </w:r>
          </w:p>
        </w:tc>
        <w:tc>
          <w:tcPr>
            <w:tcW w:w="80" w:type="dxa"/>
            <w:vAlign w:val="bottom"/>
          </w:tcPr>
          <w:p>
            <w:pPr>
              <w:spacing w:after="0"/>
              <w:rPr>
                <w:sz w:val="13"/>
                <w:szCs w:val="13"/>
                <w:color w:val="auto"/>
              </w:rPr>
            </w:pPr>
          </w:p>
        </w:tc>
        <w:tc>
          <w:tcPr>
            <w:tcW w:w="44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(2,150)</w:t>
            </w:r>
          </w:p>
        </w:tc>
        <w:tc>
          <w:tcPr>
            <w:tcW w:w="80" w:type="dxa"/>
            <w:vAlign w:val="bottom"/>
          </w:tcPr>
          <w:p>
            <w:pPr>
              <w:spacing w:after="0"/>
              <w:rPr>
                <w:sz w:val="13"/>
                <w:szCs w:val="13"/>
                <w:color w:val="auto"/>
              </w:rPr>
            </w:pPr>
          </w:p>
        </w:tc>
        <w:tc>
          <w:tcPr>
            <w:tcW w:w="44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1,389</w:t>
            </w:r>
          </w:p>
        </w:tc>
        <w:tc>
          <w:tcPr>
            <w:tcW w:w="0" w:type="dxa"/>
            <w:vAlign w:val="bottom"/>
          </w:tcPr>
          <w:p>
            <w:pPr>
              <w:spacing w:after="0"/>
              <w:rPr>
                <w:sz w:val="1"/>
                <w:szCs w:val="1"/>
                <w:color w:val="auto"/>
              </w:rPr>
            </w:pPr>
          </w:p>
        </w:tc>
      </w:tr>
      <w:tr>
        <w:trPr>
          <w:trHeight w:val="171"/>
        </w:trPr>
        <w:tc>
          <w:tcPr>
            <w:tcW w:w="5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16,272</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11,877</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53,554</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36,485</w:t>
            </w:r>
          </w:p>
        </w:tc>
        <w:tc>
          <w:tcPr>
            <w:tcW w:w="0" w:type="dxa"/>
            <w:vAlign w:val="bottom"/>
          </w:tcPr>
          <w:p>
            <w:pPr>
              <w:spacing w:after="0"/>
              <w:rPr>
                <w:sz w:val="1"/>
                <w:szCs w:val="1"/>
                <w:color w:val="auto"/>
              </w:rPr>
            </w:pPr>
          </w:p>
        </w:tc>
      </w:tr>
      <w:tr>
        <w:trPr>
          <w:trHeight w:val="171"/>
        </w:trPr>
        <w:tc>
          <w:tcPr>
            <w:tcW w:w="5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3,517</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(5,307)</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(5,258)</w:t>
            </w:r>
          </w:p>
        </w:tc>
        <w:tc>
          <w:tcPr>
            <w:tcW w:w="0" w:type="dxa"/>
            <w:vAlign w:val="bottom"/>
          </w:tcPr>
          <w:p>
            <w:pPr>
              <w:spacing w:after="0"/>
              <w:rPr>
                <w:sz w:val="1"/>
                <w:szCs w:val="1"/>
                <w:color w:val="auto"/>
              </w:rPr>
            </w:pPr>
          </w:p>
        </w:tc>
      </w:tr>
      <w:tr>
        <w:trPr>
          <w:trHeight w:val="172"/>
        </w:trPr>
        <w:tc>
          <w:tcPr>
            <w:tcW w:w="5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18,006</w:t>
            </w:r>
          </w:p>
        </w:tc>
        <w:tc>
          <w:tcPr>
            <w:tcW w:w="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17,574</w:t>
            </w:r>
          </w:p>
        </w:tc>
        <w:tc>
          <w:tcPr>
            <w:tcW w:w="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70,681</w:t>
            </w:r>
          </w:p>
        </w:tc>
        <w:tc>
          <w:tcPr>
            <w:tcW w:w="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49,697</w:t>
            </w:r>
          </w:p>
        </w:tc>
        <w:tc>
          <w:tcPr>
            <w:tcW w:w="0" w:type="dxa"/>
            <w:vAlign w:val="bottom"/>
          </w:tcPr>
          <w:p>
            <w:pPr>
              <w:spacing w:after="0"/>
              <w:rPr>
                <w:sz w:val="1"/>
                <w:szCs w:val="1"/>
                <w:color w:val="auto"/>
              </w:rPr>
            </w:pPr>
          </w:p>
        </w:tc>
      </w:tr>
      <w:tr>
        <w:trPr>
          <w:trHeight w:val="159"/>
        </w:trPr>
        <w:tc>
          <w:tcPr>
            <w:tcW w:w="5760" w:type="dxa"/>
            <w:vAlign w:val="bottom"/>
          </w:tcPr>
          <w:p>
            <w:pPr>
              <w:spacing w:after="0"/>
              <w:rPr>
                <w:sz w:val="20"/>
                <w:szCs w:val="20"/>
                <w:color w:val="auto"/>
              </w:rPr>
            </w:pPr>
            <w:r>
              <w:rPr>
                <w:rFonts w:ascii="Times New Roman" w:cs="Times New Roman" w:eastAsia="Times New Roman" w:hAnsi="Times New Roman"/>
                <w:sz w:val="13"/>
                <w:szCs w:val="13"/>
                <w:color w:val="auto"/>
              </w:rPr>
              <w:t>EBITDA</w:t>
            </w:r>
          </w:p>
        </w:tc>
        <w:tc>
          <w:tcPr>
            <w:tcW w:w="8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36,483</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38,238</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127,435</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82,313</w:t>
            </w:r>
          </w:p>
        </w:tc>
        <w:tc>
          <w:tcPr>
            <w:tcW w:w="0" w:type="dxa"/>
            <w:vAlign w:val="bottom"/>
          </w:tcPr>
          <w:p>
            <w:pPr>
              <w:spacing w:after="0"/>
              <w:rPr>
                <w:sz w:val="1"/>
                <w:szCs w:val="1"/>
                <w:color w:val="auto"/>
              </w:rPr>
            </w:pPr>
          </w:p>
        </w:tc>
      </w:tr>
      <w:tr>
        <w:trPr>
          <w:trHeight w:val="171"/>
        </w:trPr>
        <w:tc>
          <w:tcPr>
            <w:tcW w:w="5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Debt extinguishment and modification</w:t>
            </w:r>
          </w:p>
        </w:tc>
        <w:tc>
          <w:tcPr>
            <w:tcW w:w="86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8,322</w:t>
            </w:r>
          </w:p>
        </w:tc>
        <w:tc>
          <w:tcPr>
            <w:tcW w:w="0" w:type="dxa"/>
            <w:vAlign w:val="bottom"/>
          </w:tcPr>
          <w:p>
            <w:pPr>
              <w:spacing w:after="0"/>
              <w:rPr>
                <w:sz w:val="1"/>
                <w:szCs w:val="1"/>
                <w:color w:val="auto"/>
              </w:rPr>
            </w:pPr>
          </w:p>
        </w:tc>
      </w:tr>
      <w:tr>
        <w:trPr>
          <w:trHeight w:val="171"/>
        </w:trPr>
        <w:tc>
          <w:tcPr>
            <w:tcW w:w="5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Gain on sale of business and investment</w:t>
            </w:r>
          </w:p>
        </w:tc>
        <w:tc>
          <w:tcPr>
            <w:tcW w:w="86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(7,643)</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(7,643)</w:t>
            </w:r>
          </w:p>
        </w:tc>
        <w:tc>
          <w:tcPr>
            <w:tcW w:w="0" w:type="dxa"/>
            <w:vAlign w:val="bottom"/>
          </w:tcPr>
          <w:p>
            <w:pPr>
              <w:spacing w:after="0"/>
              <w:rPr>
                <w:sz w:val="1"/>
                <w:szCs w:val="1"/>
                <w:color w:val="auto"/>
              </w:rPr>
            </w:pPr>
          </w:p>
        </w:tc>
      </w:tr>
      <w:tr>
        <w:trPr>
          <w:trHeight w:val="171"/>
        </w:trPr>
        <w:tc>
          <w:tcPr>
            <w:tcW w:w="5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Selling, general and administrative (non-recurring)</w:t>
            </w: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1,112</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1,403</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5,395</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10,089</w:t>
            </w:r>
          </w:p>
        </w:tc>
        <w:tc>
          <w:tcPr>
            <w:tcW w:w="0" w:type="dxa"/>
            <w:vAlign w:val="bottom"/>
          </w:tcPr>
          <w:p>
            <w:pPr>
              <w:spacing w:after="0"/>
              <w:rPr>
                <w:sz w:val="1"/>
                <w:szCs w:val="1"/>
                <w:color w:val="auto"/>
              </w:rPr>
            </w:pPr>
          </w:p>
        </w:tc>
      </w:tr>
      <w:tr>
        <w:trPr>
          <w:trHeight w:val="171"/>
        </w:trPr>
        <w:tc>
          <w:tcPr>
            <w:tcW w:w="5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Non-cash stock-based compensation</w:t>
            </w: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864</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6,228</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3,213</w:t>
            </w:r>
          </w:p>
        </w:tc>
        <w:tc>
          <w:tcPr>
            <w:tcW w:w="0" w:type="dxa"/>
            <w:vAlign w:val="bottom"/>
          </w:tcPr>
          <w:p>
            <w:pPr>
              <w:spacing w:after="0"/>
              <w:rPr>
                <w:sz w:val="1"/>
                <w:szCs w:val="1"/>
                <w:color w:val="auto"/>
              </w:rPr>
            </w:pPr>
          </w:p>
        </w:tc>
      </w:tr>
      <w:tr>
        <w:trPr>
          <w:trHeight w:val="174"/>
        </w:trPr>
        <w:tc>
          <w:tcPr>
            <w:tcW w:w="5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the fair value of contingent consideration</w:t>
            </w:r>
          </w:p>
        </w:tc>
        <w:tc>
          <w:tcPr>
            <w:tcW w:w="8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1,244</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5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860" w:type="dxa"/>
            <w:vAlign w:val="bottom"/>
            <w:tcBorders>
              <w:top w:val="single" w:sz="8" w:color="auto"/>
              <w:bottom w:val="single" w:sz="8" w:color="auto"/>
            </w:tcBorders>
          </w:tcPr>
          <w:p>
            <w:pPr>
              <w:jc w:val="right"/>
              <w:ind w:right="71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39,791</w:t>
            </w:r>
          </w:p>
        </w:tc>
        <w:tc>
          <w:tcPr>
            <w:tcW w:w="6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32,862</w:t>
            </w:r>
          </w:p>
        </w:tc>
        <w:tc>
          <w:tcPr>
            <w:tcW w:w="8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140,302</w:t>
            </w:r>
          </w:p>
        </w:tc>
        <w:tc>
          <w:tcPr>
            <w:tcW w:w="8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96,294</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Further detail of certain of these adjustments, and where these items are recorded in our consolidated statements of operations, is provided below:</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gridSpan w:val="3"/>
          </w:tcPr>
          <w:p>
            <w:pPr>
              <w:jc w:val="right"/>
              <w:ind w:right="14"/>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20" w:type="dxa"/>
            <w:vAlign w:val="bottom"/>
            <w:gridSpan w:val="3"/>
            <w:vMerge w:val="restart"/>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Years Ended</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740" w:type="dxa"/>
            <w:vAlign w:val="bottom"/>
          </w:tcPr>
          <w:p>
            <w:pPr>
              <w:spacing w:after="0"/>
              <w:rPr>
                <w:sz w:val="11"/>
                <w:szCs w:val="11"/>
                <w:color w:val="auto"/>
              </w:rPr>
            </w:pPr>
          </w:p>
        </w:tc>
        <w:tc>
          <w:tcPr>
            <w:tcW w:w="23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2380" w:type="dxa"/>
            <w:vAlign w:val="bottom"/>
            <w:tcBorders>
              <w:bottom w:val="single" w:sz="8" w:color="auto"/>
            </w:tcBorders>
            <w:gridSpan w:val="4"/>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7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Selling, general and administrative expenses (non-recurring):</w:t>
            </w: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2022</w:t>
            </w:r>
          </w:p>
        </w:tc>
        <w:tc>
          <w:tcPr>
            <w:tcW w:w="4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2021</w:t>
            </w:r>
          </w:p>
        </w:tc>
        <w:tc>
          <w:tcPr>
            <w:tcW w:w="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45"/>
        </w:trPr>
        <w:tc>
          <w:tcPr>
            <w:tcW w:w="574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Certain legal fees</w:t>
            </w:r>
          </w:p>
        </w:tc>
        <w:tc>
          <w:tcPr>
            <w:tcW w:w="900" w:type="dxa"/>
            <w:vAlign w:val="bottom"/>
          </w:tcPr>
          <w:p>
            <w:pPr>
              <w:jc w:val="right"/>
              <w:ind w:right="75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60" w:type="dxa"/>
            <w:vAlign w:val="bottom"/>
          </w:tcPr>
          <w:p>
            <w:pPr>
              <w:spacing w:after="0"/>
              <w:rPr>
                <w:sz w:val="14"/>
                <w:szCs w:val="14"/>
                <w:color w:val="auto"/>
              </w:rPr>
            </w:pPr>
          </w:p>
        </w:tc>
        <w:tc>
          <w:tcPr>
            <w:tcW w:w="980" w:type="dxa"/>
            <w:vAlign w:val="bottom"/>
          </w:tcPr>
          <w:p>
            <w:pPr>
              <w:jc w:val="right"/>
              <w:ind w:right="834"/>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80" w:type="dxa"/>
            <w:vAlign w:val="bottom"/>
          </w:tcPr>
          <w:p>
            <w:pPr>
              <w:spacing w:after="0"/>
              <w:rPr>
                <w:sz w:val="14"/>
                <w:szCs w:val="14"/>
                <w:color w:val="auto"/>
              </w:rPr>
            </w:pPr>
          </w:p>
        </w:tc>
        <w:tc>
          <w:tcPr>
            <w:tcW w:w="4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w:t>
            </w:r>
          </w:p>
        </w:tc>
        <w:tc>
          <w:tcPr>
            <w:tcW w:w="60" w:type="dxa"/>
            <w:vAlign w:val="bottom"/>
          </w:tcPr>
          <w:p>
            <w:pPr>
              <w:spacing w:after="0"/>
              <w:rPr>
                <w:sz w:val="14"/>
                <w:szCs w:val="14"/>
                <w:color w:val="auto"/>
              </w:rPr>
            </w:pPr>
          </w:p>
        </w:tc>
        <w:tc>
          <w:tcPr>
            <w:tcW w:w="460" w:type="dxa"/>
            <w:vAlign w:val="bottom"/>
          </w:tcPr>
          <w:p>
            <w:pPr>
              <w:jc w:val="right"/>
              <w:ind w:right="31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7,291</w:t>
            </w:r>
          </w:p>
        </w:tc>
        <w:tc>
          <w:tcPr>
            <w:tcW w:w="0" w:type="dxa"/>
            <w:vAlign w:val="bottom"/>
          </w:tcPr>
          <w:p>
            <w:pPr>
              <w:spacing w:after="0"/>
              <w:rPr>
                <w:sz w:val="1"/>
                <w:szCs w:val="1"/>
                <w:color w:val="auto"/>
              </w:rPr>
            </w:pPr>
          </w:p>
        </w:tc>
      </w:tr>
      <w:tr>
        <w:trPr>
          <w:trHeight w:val="171"/>
        </w:trPr>
        <w:tc>
          <w:tcPr>
            <w:tcW w:w="57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Professional, accounting and consulting fees</w:t>
            </w:r>
          </w:p>
        </w:tc>
        <w:tc>
          <w:tcPr>
            <w:tcW w:w="9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w:t>
            </w: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1,300</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4"/>
        </w:trPr>
        <w:tc>
          <w:tcPr>
            <w:tcW w:w="57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expenses</w:t>
            </w:r>
          </w:p>
        </w:tc>
        <w:tc>
          <w:tcPr>
            <w:tcW w:w="9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1,233</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3,179</w:t>
            </w:r>
          </w:p>
        </w:tc>
        <w:tc>
          <w:tcPr>
            <w:tcW w:w="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2,798</w:t>
            </w:r>
          </w:p>
        </w:tc>
        <w:tc>
          <w:tcPr>
            <w:tcW w:w="0" w:type="dxa"/>
            <w:vAlign w:val="bottom"/>
          </w:tcPr>
          <w:p>
            <w:pPr>
              <w:spacing w:after="0"/>
              <w:rPr>
                <w:sz w:val="1"/>
                <w:szCs w:val="1"/>
                <w:color w:val="auto"/>
              </w:rPr>
            </w:pPr>
          </w:p>
        </w:tc>
      </w:tr>
      <w:tr>
        <w:trPr>
          <w:trHeight w:val="163"/>
        </w:trPr>
        <w:tc>
          <w:tcPr>
            <w:tcW w:w="5740" w:type="dxa"/>
            <w:vAlign w:val="bottom"/>
          </w:tcPr>
          <w:p>
            <w:pPr>
              <w:spacing w:after="0"/>
              <w:rPr>
                <w:sz w:val="14"/>
                <w:szCs w:val="14"/>
                <w:color w:val="auto"/>
              </w:rPr>
            </w:pPr>
          </w:p>
        </w:tc>
        <w:tc>
          <w:tcPr>
            <w:tcW w:w="90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1,112</w:t>
            </w:r>
          </w:p>
        </w:tc>
        <w:tc>
          <w:tcPr>
            <w:tcW w:w="60" w:type="dxa"/>
            <w:vAlign w:val="bottom"/>
          </w:tcPr>
          <w:p>
            <w:pPr>
              <w:spacing w:after="0"/>
              <w:rPr>
                <w:sz w:val="14"/>
                <w:szCs w:val="14"/>
                <w:color w:val="auto"/>
              </w:rPr>
            </w:pPr>
          </w:p>
        </w:tc>
        <w:tc>
          <w:tcPr>
            <w:tcW w:w="98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1,403</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5,395</w:t>
            </w:r>
          </w:p>
        </w:tc>
        <w:tc>
          <w:tcPr>
            <w:tcW w:w="60" w:type="dxa"/>
            <w:vAlign w:val="bottom"/>
          </w:tcPr>
          <w:p>
            <w:pPr>
              <w:spacing w:after="0"/>
              <w:rPr>
                <w:sz w:val="14"/>
                <w:szCs w:val="14"/>
                <w:color w:val="auto"/>
              </w:rPr>
            </w:pPr>
          </w:p>
        </w:tc>
        <w:tc>
          <w:tcPr>
            <w:tcW w:w="4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10,089</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13"/>
          <w:szCs w:val="13"/>
          <w:color w:val="auto"/>
        </w:rPr>
        <w:t>Priority does not provide a reconciliation of forward-looking non-GAAP financial measures to their comparable GAAP financial measures because it could not do so without unreasonable effort due to the unavailability of the information needed to calculate reconciling items and due to the variability, complexity and limited visibility of the adjusting items that would be excluded from the non-GAAP financial measures in future periods. When planning, forecasting and analyzing future periods, the Company does so primarily on a non-GAAP basis without preparing a GAAP analysis as that would require estimates for various cash and non-cash reconciling items that would be difficult to predict with reasonable accuracy. For example, stock-based compensation expense would be difficult to estimate because it depends on the Company's future hiring and retention needs, as well as the future fair market value of the Company's common stock, all of which are difficult to predict and subject to constant change. As a result, the Company does not believe that a GAAP reconciliation would provide meaningful supplemental information about the Company's outlook.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280"/>
          </w:cols>
          <w:pgMar w:left="300" w:top="663"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About Priority Technology Holdings, Inc.</w:t>
      </w:r>
    </w:p>
    <w:p>
      <w:pPr>
        <w:spacing w:after="0" w:line="15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3"/>
          <w:szCs w:val="13"/>
          <w:color w:val="auto"/>
        </w:rPr>
        <w:t>Priority is a payments technology company that leverages a purpose-built platform to enable clients to collect, store and send money, operating at scale. Priority helps its customers take and make payments while managing business and consumer operating accounts to monetize payment networks. Priority's tailored, agile technology powers high-value payments products bolstered by industry-leading personalized support, and delivers value to its partners by leveraging its payments and embedded finance technology to deliver solutions that power modern commerce. The Company's approach is simple – Priority handles the complexities of payments and embedded finance to free its partners to focus on their core business objectives. Priority's solutions are offered via API or proprietary applications with nationwide money transmission licenses, providing end-to-end operational support including automated risk management and underwriting, full compliance and industry leading customer service. Additional information can be found at www.prioritycommerce.com.</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0A0A0A"/>
        </w:rPr>
        <w:t>Forward-Looking Statements</w:t>
      </w:r>
    </w:p>
    <w:p>
      <w:pPr>
        <w:spacing w:after="0" w:line="168"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3"/>
          <w:szCs w:val="13"/>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"outlook" or words of similar meaning. These forward-looking statements include, but are not limited to, our 2023 outlook and statements regarding our market and growth opportunities.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Our actual results could differ materially, and potentially adversely, from those discussed or implied herein.</w:t>
      </w:r>
    </w:p>
    <w:p>
      <w:pPr>
        <w:spacing w:after="0" w:line="126" w:lineRule="exact"/>
        <w:rPr>
          <w:sz w:val="20"/>
          <w:szCs w:val="20"/>
          <w:color w:val="auto"/>
        </w:rPr>
      </w:pPr>
    </w:p>
    <w:p>
      <w:pPr>
        <w:jc w:val="both"/>
        <w:ind w:right="60"/>
        <w:spacing w:after="0" w:line="306" w:lineRule="auto"/>
        <w:rPr>
          <w:sz w:val="20"/>
          <w:szCs w:val="20"/>
          <w:color w:val="auto"/>
        </w:rPr>
      </w:pPr>
      <w:r>
        <w:rPr>
          <w:rFonts w:ascii="Times New Roman" w:cs="Times New Roman" w:eastAsia="Times New Roman" w:hAnsi="Times New Roman"/>
          <w:sz w:val="13"/>
          <w:szCs w:val="13"/>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23, 2023. These filings are available online at www.sec.gov or www.prioritycommerce.com.</w:t>
      </w:r>
    </w:p>
    <w:p>
      <w:pPr>
        <w:spacing w:after="0" w:line="121"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3"/>
          <w:szCs w:val="13"/>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0"/>
          </w:cols>
          <w:pgMar w:left="300" w:top="636" w:right="2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40" w:type="dxa"/>
            <w:vAlign w:val="bottom"/>
            <w:gridSpan w:val="5"/>
            <w:vMerge w:val="restart"/>
          </w:tcPr>
          <w:p>
            <w:pPr>
              <w:ind w:left="240"/>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c>
          <w:tcPr>
            <w:tcW w:w="340" w:type="dxa"/>
            <w:vAlign w:val="bottom"/>
          </w:tcPr>
          <w:p>
            <w:pPr>
              <w:spacing w:after="0"/>
              <w:rPr>
                <w:sz w:val="12"/>
                <w:szCs w:val="12"/>
                <w:color w:val="auto"/>
              </w:rPr>
            </w:pPr>
          </w:p>
        </w:tc>
        <w:tc>
          <w:tcPr>
            <w:tcW w:w="16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Years Ended</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 except per share amounts)</w:t>
            </w:r>
          </w:p>
        </w:tc>
        <w:tc>
          <w:tcPr>
            <w:tcW w:w="340" w:type="dxa"/>
            <w:vAlign w:val="bottom"/>
          </w:tcPr>
          <w:p>
            <w:pPr>
              <w:spacing w:after="0"/>
              <w:rPr>
                <w:sz w:val="14"/>
                <w:szCs w:val="14"/>
                <w:color w:val="auto"/>
              </w:rPr>
            </w:pPr>
          </w:p>
        </w:tc>
        <w:tc>
          <w:tcPr>
            <w:tcW w:w="2740" w:type="dxa"/>
            <w:vAlign w:val="bottom"/>
            <w:gridSpan w:val="5"/>
            <w:vMerge w:val="continue"/>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242424"/>
              </w:rPr>
              <w:t>2022</w:t>
            </w: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2021</w:t>
            </w:r>
          </w:p>
        </w:tc>
        <w:tc>
          <w:tcPr>
            <w:tcW w:w="10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242424"/>
              </w:rPr>
              <w:t>2022</w:t>
            </w: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142"/>
        </w:trPr>
        <w:tc>
          <w:tcPr>
            <w:tcW w:w="5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177,555</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144,048</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663,641</w:t>
            </w:r>
          </w:p>
        </w:tc>
        <w:tc>
          <w:tcPr>
            <w:tcW w:w="100" w:type="dxa"/>
            <w:vAlign w:val="bottom"/>
          </w:tcPr>
          <w:p>
            <w:pPr>
              <w:spacing w:after="0"/>
              <w:rPr>
                <w:sz w:val="12"/>
                <w:szCs w:val="12"/>
                <w:color w:val="auto"/>
              </w:rPr>
            </w:pPr>
          </w:p>
        </w:tc>
        <w:tc>
          <w:tcPr>
            <w:tcW w:w="4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514,901</w:t>
            </w:r>
          </w:p>
        </w:tc>
        <w:tc>
          <w:tcPr>
            <w:tcW w:w="0" w:type="dxa"/>
            <w:vAlign w:val="bottom"/>
          </w:tcPr>
          <w:p>
            <w:pPr>
              <w:spacing w:after="0"/>
              <w:rPr>
                <w:sz w:val="1"/>
                <w:szCs w:val="1"/>
                <w:color w:val="auto"/>
              </w:rPr>
            </w:pPr>
          </w:p>
        </w:tc>
      </w:tr>
      <w:tr>
        <w:trPr>
          <w:trHeight w:val="131"/>
        </w:trPr>
        <w:tc>
          <w:tcPr>
            <w:tcW w:w="522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Cost of revenue (excludes depreciation and amortization)</w:t>
            </w:r>
          </w:p>
        </w:tc>
        <w:tc>
          <w:tcPr>
            <w:tcW w:w="340" w:type="dxa"/>
            <w:vAlign w:val="bottom"/>
          </w:tcPr>
          <w:p>
            <w:pPr>
              <w:spacing w:after="0"/>
              <w:rPr>
                <w:sz w:val="13"/>
                <w:szCs w:val="13"/>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116,566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95,358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436,753</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359,885</w:t>
            </w:r>
          </w:p>
        </w:tc>
        <w:tc>
          <w:tcPr>
            <w:tcW w:w="0" w:type="dxa"/>
            <w:vAlign w:val="bottom"/>
          </w:tcPr>
          <w:p>
            <w:pPr>
              <w:spacing w:after="0"/>
              <w:rPr>
                <w:sz w:val="1"/>
                <w:szCs w:val="1"/>
                <w:color w:val="auto"/>
              </w:rPr>
            </w:pPr>
          </w:p>
        </w:tc>
      </w:tr>
      <w:tr>
        <w:trPr>
          <w:trHeight w:val="153"/>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Salary and employee benefits</w:t>
            </w:r>
          </w:p>
        </w:tc>
        <w:tc>
          <w:tcPr>
            <w:tcW w:w="340" w:type="dxa"/>
            <w:vAlign w:val="bottom"/>
          </w:tcPr>
          <w:p>
            <w:pPr>
              <w:spacing w:after="0"/>
              <w:rPr>
                <w:sz w:val="13"/>
                <w:szCs w:val="13"/>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16,846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12,010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65,077</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43,818</w:t>
            </w:r>
          </w:p>
        </w:tc>
        <w:tc>
          <w:tcPr>
            <w:tcW w:w="0" w:type="dxa"/>
            <w:vAlign w:val="bottom"/>
          </w:tcPr>
          <w:p>
            <w:pPr>
              <w:spacing w:after="0"/>
              <w:rPr>
                <w:sz w:val="1"/>
                <w:szCs w:val="1"/>
                <w:color w:val="auto"/>
              </w:rPr>
            </w:pPr>
          </w:p>
        </w:tc>
      </w:tr>
      <w:tr>
        <w:trPr>
          <w:trHeight w:val="153"/>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40" w:type="dxa"/>
            <w:vAlign w:val="bottom"/>
          </w:tcPr>
          <w:p>
            <w:pPr>
              <w:spacing w:after="0"/>
              <w:rPr>
                <w:sz w:val="13"/>
                <w:szCs w:val="13"/>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18,006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17,574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70,681</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49,697</w:t>
            </w:r>
          </w:p>
        </w:tc>
        <w:tc>
          <w:tcPr>
            <w:tcW w:w="0" w:type="dxa"/>
            <w:vAlign w:val="bottom"/>
          </w:tcPr>
          <w:p>
            <w:pPr>
              <w:spacing w:after="0"/>
              <w:rPr>
                <w:sz w:val="1"/>
                <w:szCs w:val="1"/>
                <w:color w:val="auto"/>
              </w:rPr>
            </w:pPr>
          </w:p>
        </w:tc>
      </w:tr>
      <w:tr>
        <w:trPr>
          <w:trHeight w:val="155"/>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7,938</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6,195</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34,965</w:t>
            </w: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28,408</w:t>
            </w:r>
          </w:p>
        </w:tc>
        <w:tc>
          <w:tcPr>
            <w:tcW w:w="0" w:type="dxa"/>
            <w:vAlign w:val="bottom"/>
          </w:tcPr>
          <w:p>
            <w:pPr>
              <w:spacing w:after="0"/>
              <w:rPr>
                <w:sz w:val="1"/>
                <w:szCs w:val="1"/>
                <w:color w:val="auto"/>
              </w:rPr>
            </w:pPr>
          </w:p>
        </w:tc>
      </w:tr>
      <w:tr>
        <w:trPr>
          <w:trHeight w:val="142"/>
        </w:trPr>
        <w:tc>
          <w:tcPr>
            <w:tcW w:w="5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Total operating expenses</w:t>
            </w: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159,356</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131,137</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607,476</w:t>
            </w:r>
          </w:p>
        </w:tc>
        <w:tc>
          <w:tcPr>
            <w:tcW w:w="1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481,808</w:t>
            </w:r>
          </w:p>
        </w:tc>
        <w:tc>
          <w:tcPr>
            <w:tcW w:w="0" w:type="dxa"/>
            <w:vAlign w:val="bottom"/>
          </w:tcPr>
          <w:p>
            <w:pPr>
              <w:spacing w:after="0"/>
              <w:rPr>
                <w:sz w:val="1"/>
                <w:szCs w:val="1"/>
                <w:color w:val="auto"/>
              </w:rPr>
            </w:pPr>
          </w:p>
        </w:tc>
      </w:tr>
      <w:tr>
        <w:trPr>
          <w:trHeight w:val="142"/>
        </w:trPr>
        <w:tc>
          <w:tcPr>
            <w:tcW w:w="5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18,199</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12,911</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56,165</w:t>
            </w:r>
          </w:p>
        </w:tc>
        <w:tc>
          <w:tcPr>
            <w:tcW w:w="1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33,093</w:t>
            </w:r>
          </w:p>
        </w:tc>
        <w:tc>
          <w:tcPr>
            <w:tcW w:w="0" w:type="dxa"/>
            <w:vAlign w:val="bottom"/>
          </w:tcPr>
          <w:p>
            <w:pPr>
              <w:spacing w:after="0"/>
              <w:rPr>
                <w:sz w:val="1"/>
                <w:szCs w:val="1"/>
                <w:color w:val="auto"/>
              </w:rPr>
            </w:pPr>
          </w:p>
        </w:tc>
      </w:tr>
      <w:tr>
        <w:trPr>
          <w:trHeight w:val="131"/>
        </w:trPr>
        <w:tc>
          <w:tcPr>
            <w:tcW w:w="522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Other (expense) income</w:t>
            </w: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340" w:type="dxa"/>
            <w:vAlign w:val="bottom"/>
          </w:tcPr>
          <w:p>
            <w:pPr>
              <w:spacing w:after="0"/>
              <w:rPr>
                <w:sz w:val="13"/>
                <w:szCs w:val="13"/>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(16,272)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(11,877)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(53,554)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(36,485)</w:t>
            </w:r>
          </w:p>
        </w:tc>
        <w:tc>
          <w:tcPr>
            <w:tcW w:w="0" w:type="dxa"/>
            <w:vAlign w:val="bottom"/>
          </w:tcPr>
          <w:p>
            <w:pPr>
              <w:spacing w:after="0"/>
              <w:rPr>
                <w:sz w:val="1"/>
                <w:szCs w:val="1"/>
                <w:color w:val="auto"/>
              </w:rPr>
            </w:pPr>
          </w:p>
        </w:tc>
      </w:tr>
      <w:tr>
        <w:trPr>
          <w:trHeight w:val="153"/>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Debt extinguishment and modification costs</w:t>
            </w:r>
          </w:p>
        </w:tc>
        <w:tc>
          <w:tcPr>
            <w:tcW w:w="340" w:type="dxa"/>
            <w:vAlign w:val="bottom"/>
          </w:tcPr>
          <w:p>
            <w:pPr>
              <w:spacing w:after="0"/>
              <w:rPr>
                <w:sz w:val="13"/>
                <w:szCs w:val="13"/>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(8,322)</w:t>
            </w:r>
          </w:p>
        </w:tc>
        <w:tc>
          <w:tcPr>
            <w:tcW w:w="0" w:type="dxa"/>
            <w:vAlign w:val="bottom"/>
          </w:tcPr>
          <w:p>
            <w:pPr>
              <w:spacing w:after="0"/>
              <w:rPr>
                <w:sz w:val="1"/>
                <w:szCs w:val="1"/>
                <w:color w:val="auto"/>
              </w:rPr>
            </w:pPr>
          </w:p>
        </w:tc>
      </w:tr>
      <w:tr>
        <w:trPr>
          <w:trHeight w:val="153"/>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Gain on sale of business and investment</w:t>
            </w:r>
          </w:p>
        </w:tc>
        <w:tc>
          <w:tcPr>
            <w:tcW w:w="340" w:type="dxa"/>
            <w:vAlign w:val="bottom"/>
          </w:tcPr>
          <w:p>
            <w:pPr>
              <w:spacing w:after="0"/>
              <w:rPr>
                <w:sz w:val="13"/>
                <w:szCs w:val="13"/>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7,643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7,643</w:t>
            </w:r>
          </w:p>
        </w:tc>
        <w:tc>
          <w:tcPr>
            <w:tcW w:w="0" w:type="dxa"/>
            <w:vAlign w:val="bottom"/>
          </w:tcPr>
          <w:p>
            <w:pPr>
              <w:spacing w:after="0"/>
              <w:rPr>
                <w:sz w:val="1"/>
                <w:szCs w:val="1"/>
                <w:color w:val="auto"/>
              </w:rPr>
            </w:pPr>
          </w:p>
        </w:tc>
      </w:tr>
      <w:tr>
        <w:trPr>
          <w:trHeight w:val="155"/>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income, net</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278</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110</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589</w:t>
            </w: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202</w:t>
            </w:r>
          </w:p>
        </w:tc>
        <w:tc>
          <w:tcPr>
            <w:tcW w:w="0" w:type="dxa"/>
            <w:vAlign w:val="bottom"/>
          </w:tcPr>
          <w:p>
            <w:pPr>
              <w:spacing w:after="0"/>
              <w:rPr>
                <w:sz w:val="1"/>
                <w:szCs w:val="1"/>
                <w:color w:val="auto"/>
              </w:rPr>
            </w:pPr>
          </w:p>
        </w:tc>
      </w:tr>
      <w:tr>
        <w:trPr>
          <w:trHeight w:val="142"/>
        </w:trPr>
        <w:tc>
          <w:tcPr>
            <w:tcW w:w="5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Total other expense, net</w:t>
            </w: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(15,994)</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(4,124)</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(52,965)</w:t>
            </w:r>
          </w:p>
        </w:tc>
        <w:tc>
          <w:tcPr>
            <w:tcW w:w="1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(36,962)</w:t>
            </w:r>
          </w:p>
        </w:tc>
        <w:tc>
          <w:tcPr>
            <w:tcW w:w="0" w:type="dxa"/>
            <w:vAlign w:val="bottom"/>
          </w:tcPr>
          <w:p>
            <w:pPr>
              <w:spacing w:after="0"/>
              <w:rPr>
                <w:sz w:val="1"/>
                <w:szCs w:val="1"/>
                <w:color w:val="auto"/>
              </w:rPr>
            </w:pPr>
          </w:p>
        </w:tc>
      </w:tr>
      <w:tr>
        <w:trPr>
          <w:trHeight w:val="140"/>
        </w:trPr>
        <w:tc>
          <w:tcPr>
            <w:tcW w:w="5220" w:type="dxa"/>
            <w:vAlign w:val="bottom"/>
          </w:tcPr>
          <w:p>
            <w:pPr>
              <w:spacing w:after="0"/>
              <w:rPr>
                <w:sz w:val="20"/>
                <w:szCs w:val="20"/>
                <w:color w:val="auto"/>
              </w:rPr>
            </w:pPr>
            <w:r>
              <w:rPr>
                <w:rFonts w:ascii="Times New Roman" w:cs="Times New Roman" w:eastAsia="Times New Roman" w:hAnsi="Times New Roman"/>
                <w:sz w:val="12"/>
                <w:szCs w:val="12"/>
                <w:color w:val="auto"/>
              </w:rPr>
              <w:t>Income (loss) before income taxes</w:t>
            </w:r>
          </w:p>
        </w:tc>
        <w:tc>
          <w:tcPr>
            <w:tcW w:w="340" w:type="dxa"/>
            <w:vAlign w:val="bottom"/>
          </w:tcPr>
          <w:p>
            <w:pPr>
              <w:spacing w:after="0"/>
              <w:rPr>
                <w:sz w:val="12"/>
                <w:szCs w:val="12"/>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2,205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8,787</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3,200</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(3,869)</w:t>
            </w:r>
          </w:p>
        </w:tc>
        <w:tc>
          <w:tcPr>
            <w:tcW w:w="0" w:type="dxa"/>
            <w:vAlign w:val="bottom"/>
          </w:tcPr>
          <w:p>
            <w:pPr>
              <w:spacing w:after="0"/>
              <w:rPr>
                <w:sz w:val="1"/>
                <w:szCs w:val="1"/>
                <w:color w:val="auto"/>
              </w:rPr>
            </w:pPr>
          </w:p>
        </w:tc>
      </w:tr>
      <w:tr>
        <w:trPr>
          <w:trHeight w:val="155"/>
        </w:trPr>
        <w:tc>
          <w:tcPr>
            <w:tcW w:w="522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 (benefit)</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3,517</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(5,307)</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5,350</w:t>
            </w: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(5,258)</w:t>
            </w:r>
          </w:p>
        </w:tc>
        <w:tc>
          <w:tcPr>
            <w:tcW w:w="0" w:type="dxa"/>
            <w:vAlign w:val="bottom"/>
          </w:tcPr>
          <w:p>
            <w:pPr>
              <w:spacing w:after="0"/>
              <w:rPr>
                <w:sz w:val="1"/>
                <w:szCs w:val="1"/>
                <w:color w:val="auto"/>
              </w:rPr>
            </w:pPr>
          </w:p>
        </w:tc>
      </w:tr>
      <w:tr>
        <w:trPr>
          <w:trHeight w:val="140"/>
        </w:trPr>
        <w:tc>
          <w:tcPr>
            <w:tcW w:w="5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(loss) income</w:t>
            </w:r>
          </w:p>
        </w:tc>
        <w:tc>
          <w:tcPr>
            <w:tcW w:w="340" w:type="dxa"/>
            <w:vAlign w:val="bottom"/>
          </w:tcPr>
          <w:p>
            <w:pPr>
              <w:spacing w:after="0"/>
              <w:rPr>
                <w:sz w:val="12"/>
                <w:szCs w:val="12"/>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(1,312)</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14,094</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(2,150)</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1,389</w:t>
            </w:r>
          </w:p>
        </w:tc>
        <w:tc>
          <w:tcPr>
            <w:tcW w:w="0" w:type="dxa"/>
            <w:vAlign w:val="bottom"/>
          </w:tcPr>
          <w:p>
            <w:pPr>
              <w:spacing w:after="0"/>
              <w:rPr>
                <w:sz w:val="1"/>
                <w:szCs w:val="1"/>
                <w:color w:val="auto"/>
              </w:rPr>
            </w:pPr>
          </w:p>
        </w:tc>
      </w:tr>
      <w:tr>
        <w:trPr>
          <w:trHeight w:val="153"/>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Dividends and accretion attributable to redeemable senior preferred stockholders</w:t>
            </w:r>
          </w:p>
        </w:tc>
        <w:tc>
          <w:tcPr>
            <w:tcW w:w="340" w:type="dxa"/>
            <w:vAlign w:val="bottom"/>
          </w:tcPr>
          <w:p>
            <w:pPr>
              <w:spacing w:after="0"/>
              <w:rPr>
                <w:sz w:val="13"/>
                <w:szCs w:val="13"/>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(10,465)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(8,285)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(36,880)</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(18,009)</w:t>
            </w:r>
          </w:p>
        </w:tc>
        <w:tc>
          <w:tcPr>
            <w:tcW w:w="0" w:type="dxa"/>
            <w:vAlign w:val="bottom"/>
          </w:tcPr>
          <w:p>
            <w:pPr>
              <w:spacing w:after="0"/>
              <w:rPr>
                <w:sz w:val="1"/>
                <w:szCs w:val="1"/>
                <w:color w:val="auto"/>
              </w:rPr>
            </w:pPr>
          </w:p>
        </w:tc>
      </w:tr>
      <w:tr>
        <w:trPr>
          <w:trHeight w:val="155"/>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Non-controlling interest preferred unit redemptions</w:t>
            </w:r>
          </w:p>
        </w:tc>
        <w:tc>
          <w:tcPr>
            <w:tcW w:w="340" w:type="dxa"/>
            <w:vAlign w:val="bottom"/>
          </w:tcPr>
          <w:p>
            <w:pPr>
              <w:spacing w:after="0"/>
              <w:rPr>
                <w:sz w:val="13"/>
                <w:szCs w:val="13"/>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2,756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(8,021)</w:t>
            </w:r>
          </w:p>
        </w:tc>
        <w:tc>
          <w:tcPr>
            <w:tcW w:w="0" w:type="dxa"/>
            <w:vAlign w:val="bottom"/>
          </w:tcPr>
          <w:p>
            <w:pPr>
              <w:spacing w:after="0"/>
              <w:rPr>
                <w:sz w:val="1"/>
                <w:szCs w:val="1"/>
                <w:color w:val="auto"/>
              </w:rPr>
            </w:pPr>
          </w:p>
        </w:tc>
      </w:tr>
      <w:tr>
        <w:trPr>
          <w:trHeight w:val="142"/>
        </w:trPr>
        <w:tc>
          <w:tcPr>
            <w:tcW w:w="5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(loss) income attributable to common stockholders</w:t>
            </w: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(11,777)</w:t>
            </w:r>
          </w:p>
        </w:tc>
        <w:tc>
          <w:tcPr>
            <w:tcW w:w="8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8,565</w:t>
            </w:r>
          </w:p>
        </w:tc>
        <w:tc>
          <w:tcPr>
            <w:tcW w:w="10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(39,030)</w:t>
            </w:r>
          </w:p>
        </w:tc>
        <w:tc>
          <w:tcPr>
            <w:tcW w:w="10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(24,641)</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(Loss) earnings per common share:</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(0.15)</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0.11</w:t>
            </w:r>
          </w:p>
        </w:tc>
        <w:tc>
          <w:tcPr>
            <w:tcW w:w="10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100" w:type="dxa"/>
            <w:vAlign w:val="bottom"/>
          </w:tcPr>
          <w:p>
            <w:pPr>
              <w:spacing w:after="0"/>
              <w:rPr>
                <w:sz w:val="13"/>
                <w:szCs w:val="13"/>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(0.34)</w:t>
            </w:r>
          </w:p>
        </w:tc>
        <w:tc>
          <w:tcPr>
            <w:tcW w:w="0" w:type="dxa"/>
            <w:vAlign w:val="bottom"/>
          </w:tcPr>
          <w:p>
            <w:pPr>
              <w:spacing w:after="0"/>
              <w:rPr>
                <w:sz w:val="1"/>
                <w:szCs w:val="1"/>
                <w:color w:val="auto"/>
              </w:rPr>
            </w:pPr>
          </w:p>
        </w:tc>
      </w:tr>
      <w:tr>
        <w:trPr>
          <w:trHeight w:val="155"/>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Diluted</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(0.15)</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0.11</w:t>
            </w:r>
          </w:p>
        </w:tc>
        <w:tc>
          <w:tcPr>
            <w:tcW w:w="10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100" w:type="dxa"/>
            <w:vAlign w:val="bottom"/>
          </w:tcPr>
          <w:p>
            <w:pPr>
              <w:spacing w:after="0"/>
              <w:rPr>
                <w:sz w:val="13"/>
                <w:szCs w:val="13"/>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(0.34)</w:t>
            </w:r>
          </w:p>
        </w:tc>
        <w:tc>
          <w:tcPr>
            <w:tcW w:w="0" w:type="dxa"/>
            <w:vAlign w:val="bottom"/>
          </w:tcPr>
          <w:p>
            <w:pPr>
              <w:spacing w:after="0"/>
              <w:rPr>
                <w:sz w:val="1"/>
                <w:szCs w:val="1"/>
                <w:color w:val="auto"/>
              </w:rPr>
            </w:pPr>
          </w:p>
        </w:tc>
      </w:tr>
      <w:tr>
        <w:trPr>
          <w:trHeight w:val="331"/>
        </w:trPr>
        <w:tc>
          <w:tcPr>
            <w:tcW w:w="5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Weighted-average common shares outstanding:</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 and diluted</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77,984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78,467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78,233</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71,902</w:t>
            </w:r>
          </w:p>
        </w:tc>
        <w:tc>
          <w:tcPr>
            <w:tcW w:w="0" w:type="dxa"/>
            <w:vAlign w:val="bottom"/>
          </w:tcPr>
          <w:p>
            <w:pPr>
              <w:spacing w:after="0"/>
              <w:rPr>
                <w:sz w:val="1"/>
                <w:szCs w:val="1"/>
                <w:color w:val="auto"/>
              </w:rPr>
            </w:pPr>
          </w:p>
        </w:tc>
      </w:tr>
      <w:tr>
        <w:trPr>
          <w:trHeight w:val="155"/>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Diluted</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77,984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79,013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78,233</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71,902</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280"/>
          </w:cols>
          <w:pgMar w:left="300" w:top="285"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 Consolidated Balance Sheets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7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44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vMerge w:val="restart"/>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0" w:type="dxa"/>
            <w:vAlign w:val="bottom"/>
          </w:tcPr>
          <w:p>
            <w:pPr>
              <w:spacing w:after="0"/>
              <w:rPr>
                <w:sz w:val="1"/>
                <w:szCs w:val="1"/>
                <w:color w:val="auto"/>
              </w:rPr>
            </w:pPr>
          </w:p>
        </w:tc>
      </w:tr>
      <w:tr>
        <w:trPr>
          <w:trHeight w:val="153"/>
        </w:trPr>
        <w:tc>
          <w:tcPr>
            <w:tcW w:w="47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440" w:type="dxa"/>
            <w:vAlign w:val="bottom"/>
          </w:tcPr>
          <w:p>
            <w:pPr>
              <w:spacing w:after="0"/>
              <w:rPr>
                <w:sz w:val="13"/>
                <w:szCs w:val="13"/>
                <w:color w:val="auto"/>
              </w:rPr>
            </w:pPr>
          </w:p>
        </w:tc>
        <w:tc>
          <w:tcPr>
            <w:tcW w:w="150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740" w:type="dxa"/>
            <w:vAlign w:val="bottom"/>
            <w:vMerge w:val="continue"/>
          </w:tcPr>
          <w:p>
            <w:pPr>
              <w:spacing w:after="0"/>
              <w:rPr>
                <w:sz w:val="11"/>
                <w:szCs w:val="11"/>
                <w:color w:val="auto"/>
              </w:rPr>
            </w:pPr>
          </w:p>
        </w:tc>
        <w:tc>
          <w:tcPr>
            <w:tcW w:w="24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3940" w:type="dxa"/>
            <w:vAlign w:val="bottom"/>
            <w:gridSpan w:val="2"/>
          </w:tcPr>
          <w:p>
            <w:pPr>
              <w:jc w:val="right"/>
              <w:ind w:right="136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18,454</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20,300</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Restricted cash</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10,582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28,859</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receivable, net of allowances</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78,113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58,423</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11,832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15,807</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Current portion of notes receivable</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w:t>
            </w:r>
          </w:p>
        </w:tc>
        <w:tc>
          <w:tcPr>
            <w:tcW w:w="0" w:type="dxa"/>
            <w:vAlign w:val="bottom"/>
          </w:tcPr>
          <w:p>
            <w:pPr>
              <w:spacing w:after="0"/>
              <w:rPr>
                <w:sz w:val="1"/>
                <w:szCs w:val="1"/>
                <w:color w:val="auto"/>
              </w:rPr>
            </w:pPr>
          </w:p>
        </w:tc>
      </w:tr>
      <w:tr>
        <w:trPr>
          <w:trHeight w:val="155"/>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assets and customer/subscriber account balances</w:t>
            </w:r>
          </w:p>
        </w:tc>
        <w:tc>
          <w:tcPr>
            <w:tcW w:w="2440" w:type="dxa"/>
            <w:vAlign w:val="bottom"/>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532,018</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479,471</w:t>
            </w:r>
          </w:p>
        </w:tc>
        <w:tc>
          <w:tcPr>
            <w:tcW w:w="0" w:type="dxa"/>
            <w:vAlign w:val="bottom"/>
          </w:tcPr>
          <w:p>
            <w:pPr>
              <w:spacing w:after="0"/>
              <w:rPr>
                <w:sz w:val="1"/>
                <w:szCs w:val="1"/>
                <w:color w:val="auto"/>
              </w:rPr>
            </w:pPr>
          </w:p>
        </w:tc>
      </w:tr>
      <w:tr>
        <w:trPr>
          <w:trHeight w:val="140"/>
        </w:trPr>
        <w:tc>
          <w:tcPr>
            <w:tcW w:w="47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current assets</w:t>
            </w:r>
          </w:p>
        </w:tc>
        <w:tc>
          <w:tcPr>
            <w:tcW w:w="2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652,470</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603,132</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Notes receivable, less current portion</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3,191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Property, equipment and software, net</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34,687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25,233</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369,337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365,740</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288,794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340,211</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 taxes, net</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16,447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8,265</w:t>
            </w:r>
          </w:p>
        </w:tc>
        <w:tc>
          <w:tcPr>
            <w:tcW w:w="0" w:type="dxa"/>
            <w:vAlign w:val="bottom"/>
          </w:tcPr>
          <w:p>
            <w:pPr>
              <w:spacing w:after="0"/>
              <w:rPr>
                <w:sz w:val="1"/>
                <w:szCs w:val="1"/>
                <w:color w:val="auto"/>
              </w:rPr>
            </w:pPr>
          </w:p>
        </w:tc>
      </w:tr>
      <w:tr>
        <w:trPr>
          <w:trHeight w:val="155"/>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2440" w:type="dxa"/>
            <w:vAlign w:val="bottom"/>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8,437</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9,256</w:t>
            </w:r>
          </w:p>
        </w:tc>
        <w:tc>
          <w:tcPr>
            <w:tcW w:w="0" w:type="dxa"/>
            <w:vAlign w:val="bottom"/>
          </w:tcPr>
          <w:p>
            <w:pPr>
              <w:spacing w:after="0"/>
              <w:rPr>
                <w:sz w:val="1"/>
                <w:szCs w:val="1"/>
                <w:color w:val="auto"/>
              </w:rPr>
            </w:pPr>
          </w:p>
        </w:tc>
      </w:tr>
      <w:tr>
        <w:trPr>
          <w:trHeight w:val="142"/>
        </w:trPr>
        <w:tc>
          <w:tcPr>
            <w:tcW w:w="474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2440" w:type="dxa"/>
            <w:vAlign w:val="bottom"/>
          </w:tcPr>
          <w:p>
            <w:pPr>
              <w:spacing w:after="0"/>
              <w:rPr>
                <w:sz w:val="12"/>
                <w:szCs w:val="12"/>
                <w:color w:val="auto"/>
              </w:rPr>
            </w:pPr>
          </w:p>
        </w:tc>
        <w:tc>
          <w:tcPr>
            <w:tcW w:w="1500" w:type="dxa"/>
            <w:vAlign w:val="bottom"/>
            <w:tcBorders>
              <w:bottom w:val="single" w:sz="8" w:color="auto"/>
            </w:tcBorders>
          </w:tcPr>
          <w:p>
            <w:pPr>
              <w:jc w:val="right"/>
              <w:ind w:right="13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1,373,363</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1,351,942</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Liabilities, Redeemable Senior Preferred Stock and Stockholders' Deficit</w:t>
            </w:r>
          </w:p>
        </w:tc>
        <w:tc>
          <w:tcPr>
            <w:tcW w:w="24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740" w:type="dxa"/>
            <w:vAlign w:val="bottom"/>
            <w:vMerge w:val="continue"/>
          </w:tcPr>
          <w:p>
            <w:pPr>
              <w:spacing w:after="0"/>
              <w:rPr>
                <w:sz w:val="9"/>
                <w:szCs w:val="9"/>
                <w:color w:val="auto"/>
              </w:rPr>
            </w:pPr>
          </w:p>
        </w:tc>
        <w:tc>
          <w:tcPr>
            <w:tcW w:w="2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3940" w:type="dxa"/>
            <w:vAlign w:val="bottom"/>
            <w:gridSpan w:val="2"/>
          </w:tcPr>
          <w:p>
            <w:pPr>
              <w:jc w:val="right"/>
              <w:ind w:right="136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51,864</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42,523</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Accrued residual commissions</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35,979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29,532</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Customer deposits and advance payments</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5,021</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Current portion of long-term debt</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6,200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6,200</w:t>
            </w:r>
          </w:p>
        </w:tc>
        <w:tc>
          <w:tcPr>
            <w:tcW w:w="0" w:type="dxa"/>
            <w:vAlign w:val="bottom"/>
          </w:tcPr>
          <w:p>
            <w:pPr>
              <w:spacing w:after="0"/>
              <w:rPr>
                <w:sz w:val="1"/>
                <w:szCs w:val="1"/>
                <w:color w:val="auto"/>
              </w:rPr>
            </w:pPr>
          </w:p>
        </w:tc>
      </w:tr>
      <w:tr>
        <w:trPr>
          <w:trHeight w:val="155"/>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and customer/subscriber account obligations</w:t>
            </w:r>
          </w:p>
        </w:tc>
        <w:tc>
          <w:tcPr>
            <w:tcW w:w="2440" w:type="dxa"/>
            <w:vAlign w:val="bottom"/>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533,340</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500,291</w:t>
            </w:r>
          </w:p>
        </w:tc>
        <w:tc>
          <w:tcPr>
            <w:tcW w:w="0" w:type="dxa"/>
            <w:vAlign w:val="bottom"/>
          </w:tcPr>
          <w:p>
            <w:pPr>
              <w:spacing w:after="0"/>
              <w:rPr>
                <w:sz w:val="1"/>
                <w:szCs w:val="1"/>
                <w:color w:val="auto"/>
              </w:rPr>
            </w:pPr>
          </w:p>
        </w:tc>
      </w:tr>
      <w:tr>
        <w:trPr>
          <w:trHeight w:val="140"/>
        </w:trPr>
        <w:tc>
          <w:tcPr>
            <w:tcW w:w="47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630,001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583,567</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 net of current portion, discounts and debt issuance costs</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598,926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604,105</w:t>
            </w:r>
          </w:p>
        </w:tc>
        <w:tc>
          <w:tcPr>
            <w:tcW w:w="0" w:type="dxa"/>
            <w:vAlign w:val="bottom"/>
          </w:tcPr>
          <w:p>
            <w:pPr>
              <w:spacing w:after="0"/>
              <w:rPr>
                <w:sz w:val="1"/>
                <w:szCs w:val="1"/>
                <w:color w:val="auto"/>
              </w:rPr>
            </w:pPr>
          </w:p>
        </w:tc>
      </w:tr>
      <w:tr>
        <w:trPr>
          <w:trHeight w:val="155"/>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2440" w:type="dxa"/>
            <w:vAlign w:val="bottom"/>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11,643</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18,349</w:t>
            </w:r>
          </w:p>
        </w:tc>
        <w:tc>
          <w:tcPr>
            <w:tcW w:w="0" w:type="dxa"/>
            <w:vAlign w:val="bottom"/>
          </w:tcPr>
          <w:p>
            <w:pPr>
              <w:spacing w:after="0"/>
              <w:rPr>
                <w:sz w:val="1"/>
                <w:szCs w:val="1"/>
                <w:color w:val="auto"/>
              </w:rPr>
            </w:pPr>
          </w:p>
        </w:tc>
      </w:tr>
      <w:tr>
        <w:trPr>
          <w:trHeight w:val="142"/>
        </w:trPr>
        <w:tc>
          <w:tcPr>
            <w:tcW w:w="47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noncurrent liabilities</w:t>
            </w:r>
          </w:p>
        </w:tc>
        <w:tc>
          <w:tcPr>
            <w:tcW w:w="2440" w:type="dxa"/>
            <w:vAlign w:val="bottom"/>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610,569</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622,454</w:t>
            </w:r>
          </w:p>
        </w:tc>
        <w:tc>
          <w:tcPr>
            <w:tcW w:w="0" w:type="dxa"/>
            <w:vAlign w:val="bottom"/>
          </w:tcPr>
          <w:p>
            <w:pPr>
              <w:spacing w:after="0"/>
              <w:rPr>
                <w:sz w:val="1"/>
                <w:szCs w:val="1"/>
                <w:color w:val="auto"/>
              </w:rPr>
            </w:pPr>
          </w:p>
        </w:tc>
      </w:tr>
      <w:tr>
        <w:trPr>
          <w:trHeight w:val="142"/>
        </w:trPr>
        <w:tc>
          <w:tcPr>
            <w:tcW w:w="474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2440" w:type="dxa"/>
            <w:vAlign w:val="bottom"/>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5"/>
              </w:rPr>
              <w:t>1,240,570</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1,206,021</w:t>
            </w:r>
          </w:p>
        </w:tc>
        <w:tc>
          <w:tcPr>
            <w:tcW w:w="0" w:type="dxa"/>
            <w:vAlign w:val="bottom"/>
          </w:tcPr>
          <w:p>
            <w:pPr>
              <w:spacing w:after="0"/>
              <w:rPr>
                <w:sz w:val="1"/>
                <w:szCs w:val="1"/>
                <w:color w:val="auto"/>
              </w:rPr>
            </w:pPr>
          </w:p>
        </w:tc>
      </w:tr>
      <w:tr>
        <w:trPr>
          <w:trHeight w:val="140"/>
        </w:trPr>
        <w:tc>
          <w:tcPr>
            <w:tcW w:w="47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Redeemable senior preferred stock</w:t>
            </w:r>
          </w:p>
        </w:tc>
        <w:tc>
          <w:tcPr>
            <w:tcW w:w="2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235,579</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210,158</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Stockholders' deficit:</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Preferred stock</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Common stock</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9,650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39,835</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Treasury stock, at cost</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(11,559)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(4,091)</w:t>
            </w:r>
          </w:p>
        </w:tc>
        <w:tc>
          <w:tcPr>
            <w:tcW w:w="0" w:type="dxa"/>
            <w:vAlign w:val="bottom"/>
          </w:tcPr>
          <w:p>
            <w:pPr>
              <w:spacing w:after="0"/>
              <w:rPr>
                <w:sz w:val="1"/>
                <w:szCs w:val="1"/>
                <w:color w:val="auto"/>
              </w:rPr>
            </w:pPr>
          </w:p>
        </w:tc>
      </w:tr>
      <w:tr>
        <w:trPr>
          <w:trHeight w:val="155"/>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Accumulated deficit</w:t>
            </w:r>
          </w:p>
        </w:tc>
        <w:tc>
          <w:tcPr>
            <w:tcW w:w="2440" w:type="dxa"/>
            <w:vAlign w:val="bottom"/>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(102,208)</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(100,058)</w:t>
            </w:r>
          </w:p>
        </w:tc>
        <w:tc>
          <w:tcPr>
            <w:tcW w:w="0" w:type="dxa"/>
            <w:vAlign w:val="bottom"/>
          </w:tcPr>
          <w:p>
            <w:pPr>
              <w:spacing w:after="0"/>
              <w:rPr>
                <w:sz w:val="1"/>
                <w:szCs w:val="1"/>
                <w:color w:val="auto"/>
              </w:rPr>
            </w:pPr>
          </w:p>
        </w:tc>
      </w:tr>
      <w:tr>
        <w:trPr>
          <w:trHeight w:val="140"/>
        </w:trPr>
        <w:tc>
          <w:tcPr>
            <w:tcW w:w="474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Total stockholders' deficit attributable to stockholders of PRTH</w:t>
            </w:r>
          </w:p>
        </w:tc>
        <w:tc>
          <w:tcPr>
            <w:tcW w:w="2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(104,041)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(64,237)</w:t>
            </w:r>
          </w:p>
        </w:tc>
        <w:tc>
          <w:tcPr>
            <w:tcW w:w="0" w:type="dxa"/>
            <w:vAlign w:val="bottom"/>
          </w:tcPr>
          <w:p>
            <w:pPr>
              <w:spacing w:after="0"/>
              <w:rPr>
                <w:sz w:val="1"/>
                <w:szCs w:val="1"/>
                <w:color w:val="auto"/>
              </w:rPr>
            </w:pPr>
          </w:p>
        </w:tc>
      </w:tr>
      <w:tr>
        <w:trPr>
          <w:trHeight w:val="155"/>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Non-controlling interest</w:t>
            </w:r>
          </w:p>
        </w:tc>
        <w:tc>
          <w:tcPr>
            <w:tcW w:w="2440" w:type="dxa"/>
            <w:vAlign w:val="bottom"/>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1,255</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47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2440" w:type="dxa"/>
            <w:vAlign w:val="bottom"/>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(102,786)</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(64,237)</w:t>
            </w:r>
          </w:p>
        </w:tc>
        <w:tc>
          <w:tcPr>
            <w:tcW w:w="0" w:type="dxa"/>
            <w:vAlign w:val="bottom"/>
          </w:tcPr>
          <w:p>
            <w:pPr>
              <w:spacing w:after="0"/>
              <w:rPr>
                <w:sz w:val="1"/>
                <w:szCs w:val="1"/>
                <w:color w:val="auto"/>
              </w:rPr>
            </w:pPr>
          </w:p>
        </w:tc>
      </w:tr>
      <w:tr>
        <w:trPr>
          <w:trHeight w:val="142"/>
        </w:trPr>
        <w:tc>
          <w:tcPr>
            <w:tcW w:w="47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liabilities, redeemable senior preferred stock and stockholders' deficit</w:t>
            </w:r>
          </w:p>
        </w:tc>
        <w:tc>
          <w:tcPr>
            <w:tcW w:w="2440" w:type="dxa"/>
            <w:vAlign w:val="bottom"/>
          </w:tcPr>
          <w:p>
            <w:pPr>
              <w:spacing w:after="0"/>
              <w:rPr>
                <w:sz w:val="12"/>
                <w:szCs w:val="12"/>
                <w:color w:val="auto"/>
              </w:rPr>
            </w:pPr>
          </w:p>
        </w:tc>
        <w:tc>
          <w:tcPr>
            <w:tcW w:w="1500" w:type="dxa"/>
            <w:vAlign w:val="bottom"/>
            <w:tcBorders>
              <w:bottom w:val="single" w:sz="8" w:color="auto"/>
            </w:tcBorders>
          </w:tcPr>
          <w:p>
            <w:pPr>
              <w:jc w:val="right"/>
              <w:ind w:right="13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1,373,363</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1,351,942</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440" w:type="dxa"/>
            <w:vAlign w:val="bottom"/>
            <w:vMerge w:val="restart"/>
          </w:tcPr>
          <w:p>
            <w:pPr>
              <w:jc w:val="right"/>
              <w:ind w:right="1440"/>
              <w:spacing w:after="0"/>
              <w:rPr>
                <w:sz w:val="20"/>
                <w:szCs w:val="20"/>
                <w:color w:val="auto"/>
              </w:rPr>
            </w:pPr>
            <w:r>
              <w:rPr>
                <w:rFonts w:ascii="Times New Roman" w:cs="Times New Roman" w:eastAsia="Times New Roman" w:hAnsi="Times New Roman"/>
                <w:sz w:val="12"/>
                <w:szCs w:val="12"/>
                <w:color w:val="auto"/>
              </w:rPr>
              <w:t>7</w:t>
            </w: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74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85"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r>
        <w:rPr>
          <w:rFonts w:ascii="Times New Roman" w:cs="Times New Roman" w:eastAsia="Times New Roman" w:hAnsi="Times New Roman"/>
          <w:sz w:val="13"/>
          <w:szCs w:val="13"/>
          <w:color w:val="auto"/>
        </w:rPr>
        <w:t>.</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 Consolidated Statements of Cash Flows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3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Years Ended December 31,</w:t>
            </w: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7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3300" w:type="dxa"/>
            <w:vAlign w:val="bottom"/>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w w:val="99"/>
              </w:rPr>
              <w:t>2021</w:t>
            </w:r>
          </w:p>
        </w:tc>
        <w:tc>
          <w:tcPr>
            <w:tcW w:w="0" w:type="dxa"/>
            <w:vAlign w:val="bottom"/>
          </w:tcPr>
          <w:p>
            <w:pPr>
              <w:spacing w:after="0"/>
              <w:rPr>
                <w:sz w:val="1"/>
                <w:szCs w:val="1"/>
                <w:color w:val="auto"/>
              </w:rPr>
            </w:pPr>
          </w:p>
        </w:tc>
      </w:tr>
      <w:tr>
        <w:trPr>
          <w:trHeight w:val="131"/>
        </w:trPr>
        <w:tc>
          <w:tcPr>
            <w:tcW w:w="4780" w:type="dxa"/>
            <w:vAlign w:val="bottom"/>
            <w:vMerge w:val="continue"/>
          </w:tcPr>
          <w:p>
            <w:pPr>
              <w:spacing w:after="0"/>
              <w:rPr>
                <w:sz w:val="11"/>
                <w:szCs w:val="11"/>
                <w:color w:val="auto"/>
              </w:rPr>
            </w:pPr>
          </w:p>
        </w:tc>
        <w:tc>
          <w:tcPr>
            <w:tcW w:w="3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(loss) income</w:t>
            </w:r>
          </w:p>
        </w:tc>
        <w:tc>
          <w:tcPr>
            <w:tcW w:w="4200" w:type="dxa"/>
            <w:vAlign w:val="bottom"/>
            <w:gridSpan w:val="2"/>
          </w:tcPr>
          <w:p>
            <w:pPr>
              <w:jc w:val="right"/>
              <w:ind w:right="7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(2,150)</w:t>
            </w:r>
          </w:p>
        </w:tc>
        <w:tc>
          <w:tcPr>
            <w:tcW w:w="120" w:type="dxa"/>
            <w:vAlign w:val="bottom"/>
          </w:tcPr>
          <w:p>
            <w:pPr>
              <w:spacing w:after="0"/>
              <w:rPr>
                <w:sz w:val="13"/>
                <w:szCs w:val="13"/>
                <w:color w:val="auto"/>
              </w:rPr>
            </w:pPr>
          </w:p>
        </w:tc>
        <w:tc>
          <w:tcPr>
            <w:tcW w:w="64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1,389</w:t>
            </w:r>
          </w:p>
        </w:tc>
        <w:tc>
          <w:tcPr>
            <w:tcW w:w="0" w:type="dxa"/>
            <w:vAlign w:val="bottom"/>
          </w:tcPr>
          <w:p>
            <w:pPr>
              <w:spacing w:after="0"/>
              <w:rPr>
                <w:sz w:val="1"/>
                <w:szCs w:val="1"/>
                <w:color w:val="auto"/>
              </w:rPr>
            </w:pPr>
          </w:p>
        </w:tc>
      </w:tr>
      <w:tr>
        <w:trPr>
          <w:trHeight w:val="153"/>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Adjustments to reconcile net loss to net cash provided by operating activities:</w:t>
            </w:r>
          </w:p>
        </w:tc>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Gain and transaction costs recognized on sale of business and investment</w:t>
            </w:r>
          </w:p>
        </w:tc>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(7,643)</w:t>
            </w:r>
          </w:p>
        </w:tc>
        <w:tc>
          <w:tcPr>
            <w:tcW w:w="0" w:type="dxa"/>
            <w:vAlign w:val="bottom"/>
          </w:tcPr>
          <w:p>
            <w:pPr>
              <w:spacing w:after="0"/>
              <w:rPr>
                <w:sz w:val="1"/>
                <w:szCs w:val="1"/>
                <w:color w:val="auto"/>
              </w:rPr>
            </w:pPr>
          </w:p>
        </w:tc>
      </w:tr>
      <w:tr>
        <w:trPr>
          <w:trHeight w:val="153"/>
        </w:trPr>
        <w:tc>
          <w:tcPr>
            <w:tcW w:w="47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 of assets</w:t>
            </w:r>
          </w:p>
        </w:tc>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70,681</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49,697</w:t>
            </w:r>
          </w:p>
        </w:tc>
        <w:tc>
          <w:tcPr>
            <w:tcW w:w="0" w:type="dxa"/>
            <w:vAlign w:val="bottom"/>
          </w:tcPr>
          <w:p>
            <w:pPr>
              <w:spacing w:after="0"/>
              <w:rPr>
                <w:sz w:val="1"/>
                <w:szCs w:val="1"/>
                <w:color w:val="auto"/>
              </w:rPr>
            </w:pPr>
          </w:p>
        </w:tc>
      </w:tr>
      <w:tr>
        <w:trPr>
          <w:trHeight w:val="153"/>
        </w:trPr>
        <w:tc>
          <w:tcPr>
            <w:tcW w:w="47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Stock-based compensation</w:t>
            </w:r>
          </w:p>
        </w:tc>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6,228</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3,213</w:t>
            </w:r>
          </w:p>
        </w:tc>
        <w:tc>
          <w:tcPr>
            <w:tcW w:w="0" w:type="dxa"/>
            <w:vAlign w:val="bottom"/>
          </w:tcPr>
          <w:p>
            <w:pPr>
              <w:spacing w:after="0"/>
              <w:rPr>
                <w:sz w:val="1"/>
                <w:szCs w:val="1"/>
                <w:color w:val="auto"/>
              </w:rPr>
            </w:pPr>
          </w:p>
        </w:tc>
      </w:tr>
      <w:tr>
        <w:trPr>
          <w:trHeight w:val="153"/>
        </w:trPr>
        <w:tc>
          <w:tcPr>
            <w:tcW w:w="47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Amortization of debt issuance costs and discounts</w:t>
            </w:r>
          </w:p>
        </w:tc>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3,521</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2,305</w:t>
            </w:r>
          </w:p>
        </w:tc>
        <w:tc>
          <w:tcPr>
            <w:tcW w:w="0" w:type="dxa"/>
            <w:vAlign w:val="bottom"/>
          </w:tcPr>
          <w:p>
            <w:pPr>
              <w:spacing w:after="0"/>
              <w:rPr>
                <w:sz w:val="1"/>
                <w:szCs w:val="1"/>
                <w:color w:val="auto"/>
              </w:rPr>
            </w:pPr>
          </w:p>
        </w:tc>
      </w:tr>
      <w:tr>
        <w:trPr>
          <w:trHeight w:val="153"/>
        </w:trPr>
        <w:tc>
          <w:tcPr>
            <w:tcW w:w="47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Write-off of deferred loan costs and discount</w:t>
            </w:r>
          </w:p>
        </w:tc>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2,580</w:t>
            </w:r>
          </w:p>
        </w:tc>
        <w:tc>
          <w:tcPr>
            <w:tcW w:w="0" w:type="dxa"/>
            <w:vAlign w:val="bottom"/>
          </w:tcPr>
          <w:p>
            <w:pPr>
              <w:spacing w:after="0"/>
              <w:rPr>
                <w:sz w:val="1"/>
                <w:szCs w:val="1"/>
                <w:color w:val="auto"/>
              </w:rPr>
            </w:pPr>
          </w:p>
        </w:tc>
      </w:tr>
      <w:tr>
        <w:trPr>
          <w:trHeight w:val="153"/>
        </w:trPr>
        <w:tc>
          <w:tcPr>
            <w:tcW w:w="47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Deferred income tax</w:t>
            </w:r>
          </w:p>
        </w:tc>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(8,183)</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(2,559)</w:t>
            </w:r>
          </w:p>
        </w:tc>
        <w:tc>
          <w:tcPr>
            <w:tcW w:w="0" w:type="dxa"/>
            <w:vAlign w:val="bottom"/>
          </w:tcPr>
          <w:p>
            <w:pPr>
              <w:spacing w:after="0"/>
              <w:rPr>
                <w:sz w:val="1"/>
                <w:szCs w:val="1"/>
                <w:color w:val="auto"/>
              </w:rPr>
            </w:pPr>
          </w:p>
        </w:tc>
      </w:tr>
      <w:tr>
        <w:trPr>
          <w:trHeight w:val="153"/>
        </w:trPr>
        <w:tc>
          <w:tcPr>
            <w:tcW w:w="47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Change in contingent consideration</w:t>
            </w:r>
          </w:p>
        </w:tc>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2,059</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7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PIK interest (paid)</w:t>
            </w:r>
          </w:p>
        </w:tc>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(23,715)</w:t>
            </w:r>
          </w:p>
        </w:tc>
        <w:tc>
          <w:tcPr>
            <w:tcW w:w="0" w:type="dxa"/>
            <w:vAlign w:val="bottom"/>
          </w:tcPr>
          <w:p>
            <w:pPr>
              <w:spacing w:after="0"/>
              <w:rPr>
                <w:sz w:val="1"/>
                <w:szCs w:val="1"/>
                <w:color w:val="auto"/>
              </w:rPr>
            </w:pPr>
          </w:p>
        </w:tc>
      </w:tr>
      <w:tr>
        <w:trPr>
          <w:trHeight w:val="153"/>
        </w:trPr>
        <w:tc>
          <w:tcPr>
            <w:tcW w:w="4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Other non-cash items, net</w:t>
            </w:r>
          </w:p>
        </w:tc>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w:t>
            </w:r>
          </w:p>
        </w:tc>
        <w:tc>
          <w:tcPr>
            <w:tcW w:w="0" w:type="dxa"/>
            <w:vAlign w:val="bottom"/>
          </w:tcPr>
          <w:p>
            <w:pPr>
              <w:spacing w:after="0"/>
              <w:rPr>
                <w:sz w:val="1"/>
                <w:szCs w:val="1"/>
                <w:color w:val="auto"/>
              </w:rPr>
            </w:pPr>
          </w:p>
        </w:tc>
      </w:tr>
      <w:tr>
        <w:trPr>
          <w:trHeight w:val="153"/>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Change in operating assets and liabilities:</w:t>
            </w:r>
          </w:p>
        </w:tc>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receivable</w:t>
            </w:r>
          </w:p>
        </w:tc>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(19,580)</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(16,694)</w:t>
            </w:r>
          </w:p>
        </w:tc>
        <w:tc>
          <w:tcPr>
            <w:tcW w:w="0" w:type="dxa"/>
            <w:vAlign w:val="bottom"/>
          </w:tcPr>
          <w:p>
            <w:pPr>
              <w:spacing w:after="0"/>
              <w:rPr>
                <w:sz w:val="1"/>
                <w:szCs w:val="1"/>
                <w:color w:val="auto"/>
              </w:rPr>
            </w:pPr>
          </w:p>
        </w:tc>
      </w:tr>
      <w:tr>
        <w:trPr>
          <w:trHeight w:val="153"/>
        </w:trPr>
        <w:tc>
          <w:tcPr>
            <w:tcW w:w="47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(1,597)</w:t>
            </w:r>
          </w:p>
        </w:tc>
        <w:tc>
          <w:tcPr>
            <w:tcW w:w="0" w:type="dxa"/>
            <w:vAlign w:val="bottom"/>
          </w:tcPr>
          <w:p>
            <w:pPr>
              <w:spacing w:after="0"/>
              <w:rPr>
                <w:sz w:val="1"/>
                <w:szCs w:val="1"/>
                <w:color w:val="auto"/>
              </w:rPr>
            </w:pPr>
          </w:p>
        </w:tc>
      </w:tr>
      <w:tr>
        <w:trPr>
          <w:trHeight w:val="153"/>
        </w:trPr>
        <w:tc>
          <w:tcPr>
            <w:tcW w:w="47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Income taxes (receivable) payable</w:t>
            </w:r>
          </w:p>
        </w:tc>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6,260</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(5,107)</w:t>
            </w:r>
          </w:p>
        </w:tc>
        <w:tc>
          <w:tcPr>
            <w:tcW w:w="0" w:type="dxa"/>
            <w:vAlign w:val="bottom"/>
          </w:tcPr>
          <w:p>
            <w:pPr>
              <w:spacing w:after="0"/>
              <w:rPr>
                <w:sz w:val="1"/>
                <w:szCs w:val="1"/>
                <w:color w:val="auto"/>
              </w:rPr>
            </w:pPr>
          </w:p>
        </w:tc>
      </w:tr>
      <w:tr>
        <w:trPr>
          <w:trHeight w:val="153"/>
        </w:trPr>
        <w:tc>
          <w:tcPr>
            <w:tcW w:w="47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Notes receivable</w:t>
            </w:r>
          </w:p>
        </w:tc>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377</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w:t>
            </w:r>
          </w:p>
        </w:tc>
        <w:tc>
          <w:tcPr>
            <w:tcW w:w="0" w:type="dxa"/>
            <w:vAlign w:val="bottom"/>
          </w:tcPr>
          <w:p>
            <w:pPr>
              <w:spacing w:after="0"/>
              <w:rPr>
                <w:sz w:val="1"/>
                <w:szCs w:val="1"/>
                <w:color w:val="auto"/>
              </w:rPr>
            </w:pPr>
          </w:p>
        </w:tc>
      </w:tr>
      <w:tr>
        <w:trPr>
          <w:trHeight w:val="153"/>
        </w:trPr>
        <w:tc>
          <w:tcPr>
            <w:tcW w:w="47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payable and other accrued liabilities</w:t>
            </w:r>
          </w:p>
        </w:tc>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19,794</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7,018</w:t>
            </w:r>
          </w:p>
        </w:tc>
        <w:tc>
          <w:tcPr>
            <w:tcW w:w="0" w:type="dxa"/>
            <w:vAlign w:val="bottom"/>
          </w:tcPr>
          <w:p>
            <w:pPr>
              <w:spacing w:after="0"/>
              <w:rPr>
                <w:sz w:val="1"/>
                <w:szCs w:val="1"/>
                <w:color w:val="auto"/>
              </w:rPr>
            </w:pPr>
          </w:p>
        </w:tc>
      </w:tr>
      <w:tr>
        <w:trPr>
          <w:trHeight w:val="153"/>
        </w:trPr>
        <w:tc>
          <w:tcPr>
            <w:tcW w:w="47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Customer deposits and advance payments</w:t>
            </w:r>
          </w:p>
        </w:tc>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(2,403)</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2,138</w:t>
            </w:r>
          </w:p>
        </w:tc>
        <w:tc>
          <w:tcPr>
            <w:tcW w:w="0" w:type="dxa"/>
            <w:vAlign w:val="bottom"/>
          </w:tcPr>
          <w:p>
            <w:pPr>
              <w:spacing w:after="0"/>
              <w:rPr>
                <w:sz w:val="1"/>
                <w:szCs w:val="1"/>
                <w:color w:val="auto"/>
              </w:rPr>
            </w:pPr>
          </w:p>
        </w:tc>
      </w:tr>
      <w:tr>
        <w:trPr>
          <w:trHeight w:val="155"/>
        </w:trPr>
        <w:tc>
          <w:tcPr>
            <w:tcW w:w="47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 assets and liabilities, net</w:t>
            </w:r>
          </w:p>
        </w:tc>
        <w:tc>
          <w:tcPr>
            <w:tcW w:w="33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(6,000)</w:t>
            </w:r>
          </w:p>
        </w:tc>
        <w:tc>
          <w:tcPr>
            <w:tcW w:w="1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(2,443)</w:t>
            </w:r>
          </w:p>
        </w:tc>
        <w:tc>
          <w:tcPr>
            <w:tcW w:w="0" w:type="dxa"/>
            <w:vAlign w:val="bottom"/>
          </w:tcPr>
          <w:p>
            <w:pPr>
              <w:spacing w:after="0"/>
              <w:rPr>
                <w:sz w:val="1"/>
                <w:szCs w:val="1"/>
                <w:color w:val="auto"/>
              </w:rPr>
            </w:pPr>
          </w:p>
        </w:tc>
      </w:tr>
      <w:tr>
        <w:trPr>
          <w:trHeight w:val="142"/>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Net cash provided by operating activities</w:t>
            </w:r>
          </w:p>
        </w:tc>
        <w:tc>
          <w:tcPr>
            <w:tcW w:w="330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70,518</w:t>
            </w:r>
          </w:p>
        </w:tc>
        <w:tc>
          <w:tcPr>
            <w:tcW w:w="1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9,377</w:t>
            </w:r>
          </w:p>
        </w:tc>
        <w:tc>
          <w:tcPr>
            <w:tcW w:w="0" w:type="dxa"/>
            <w:vAlign w:val="bottom"/>
          </w:tcPr>
          <w:p>
            <w:pPr>
              <w:spacing w:after="0"/>
              <w:rPr>
                <w:sz w:val="1"/>
                <w:szCs w:val="1"/>
                <w:color w:val="auto"/>
              </w:rPr>
            </w:pPr>
          </w:p>
        </w:tc>
      </w:tr>
      <w:tr>
        <w:trPr>
          <w:trHeight w:val="131"/>
        </w:trPr>
        <w:tc>
          <w:tcPr>
            <w:tcW w:w="478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3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Acquisitions of businesses, net of cash acquired</w:t>
            </w:r>
          </w:p>
        </w:tc>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(4,976)</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(407,129)</w:t>
            </w:r>
          </w:p>
        </w:tc>
        <w:tc>
          <w:tcPr>
            <w:tcW w:w="0" w:type="dxa"/>
            <w:vAlign w:val="bottom"/>
          </w:tcPr>
          <w:p>
            <w:pPr>
              <w:spacing w:after="0"/>
              <w:rPr>
                <w:sz w:val="1"/>
                <w:szCs w:val="1"/>
                <w:color w:val="auto"/>
              </w:rPr>
            </w:pPr>
          </w:p>
        </w:tc>
      </w:tr>
      <w:tr>
        <w:trPr>
          <w:trHeight w:val="153"/>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Proceeds from sale of business and investment</w:t>
            </w:r>
          </w:p>
        </w:tc>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15,278</w:t>
            </w:r>
          </w:p>
        </w:tc>
        <w:tc>
          <w:tcPr>
            <w:tcW w:w="0" w:type="dxa"/>
            <w:vAlign w:val="bottom"/>
          </w:tcPr>
          <w:p>
            <w:pPr>
              <w:spacing w:after="0"/>
              <w:rPr>
                <w:sz w:val="1"/>
                <w:szCs w:val="1"/>
                <w:color w:val="auto"/>
              </w:rPr>
            </w:pPr>
          </w:p>
        </w:tc>
      </w:tr>
      <w:tr>
        <w:trPr>
          <w:trHeight w:val="153"/>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Additions to property, equipment and software</w:t>
            </w:r>
          </w:p>
        </w:tc>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(18,882)</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(9,719)</w:t>
            </w:r>
          </w:p>
        </w:tc>
        <w:tc>
          <w:tcPr>
            <w:tcW w:w="0" w:type="dxa"/>
            <w:vAlign w:val="bottom"/>
          </w:tcPr>
          <w:p>
            <w:pPr>
              <w:spacing w:after="0"/>
              <w:rPr>
                <w:sz w:val="1"/>
                <w:szCs w:val="1"/>
                <w:color w:val="auto"/>
              </w:rPr>
            </w:pPr>
          </w:p>
        </w:tc>
      </w:tr>
      <w:tr>
        <w:trPr>
          <w:trHeight w:val="153"/>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Notes receivable loan funding</w:t>
            </w:r>
          </w:p>
        </w:tc>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(4,662)</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Acquisitions of assets and other investing activities</w:t>
            </w:r>
          </w:p>
        </w:tc>
        <w:tc>
          <w:tcPr>
            <w:tcW w:w="33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(7,983)</w:t>
            </w:r>
          </w:p>
        </w:tc>
        <w:tc>
          <w:tcPr>
            <w:tcW w:w="1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(49,463)</w:t>
            </w:r>
          </w:p>
        </w:tc>
        <w:tc>
          <w:tcPr>
            <w:tcW w:w="0" w:type="dxa"/>
            <w:vAlign w:val="bottom"/>
          </w:tcPr>
          <w:p>
            <w:pPr>
              <w:spacing w:after="0"/>
              <w:rPr>
                <w:sz w:val="1"/>
                <w:szCs w:val="1"/>
                <w:color w:val="auto"/>
              </w:rPr>
            </w:pPr>
          </w:p>
        </w:tc>
      </w:tr>
      <w:tr>
        <w:trPr>
          <w:trHeight w:val="142"/>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Net cash (used in) provided by investing activities</w:t>
            </w:r>
          </w:p>
        </w:tc>
        <w:tc>
          <w:tcPr>
            <w:tcW w:w="330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(36,503)</w:t>
            </w:r>
          </w:p>
        </w:tc>
        <w:tc>
          <w:tcPr>
            <w:tcW w:w="1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(451,033)</w:t>
            </w:r>
          </w:p>
        </w:tc>
        <w:tc>
          <w:tcPr>
            <w:tcW w:w="0" w:type="dxa"/>
            <w:vAlign w:val="bottom"/>
          </w:tcPr>
          <w:p>
            <w:pPr>
              <w:spacing w:after="0"/>
              <w:rPr>
                <w:sz w:val="1"/>
                <w:szCs w:val="1"/>
                <w:color w:val="auto"/>
              </w:rPr>
            </w:pPr>
          </w:p>
        </w:tc>
      </w:tr>
      <w:tr>
        <w:trPr>
          <w:trHeight w:val="131"/>
        </w:trPr>
        <w:tc>
          <w:tcPr>
            <w:tcW w:w="4780" w:type="dxa"/>
            <w:vAlign w:val="bottom"/>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3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Proceeds from issuance of long-term debt, net of issue discount</w:t>
            </w:r>
          </w:p>
        </w:tc>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607,318</w:t>
            </w:r>
          </w:p>
        </w:tc>
        <w:tc>
          <w:tcPr>
            <w:tcW w:w="0" w:type="dxa"/>
            <w:vAlign w:val="bottom"/>
          </w:tcPr>
          <w:p>
            <w:pPr>
              <w:spacing w:after="0"/>
              <w:rPr>
                <w:sz w:val="1"/>
                <w:szCs w:val="1"/>
                <w:color w:val="auto"/>
              </w:rPr>
            </w:pPr>
          </w:p>
        </w:tc>
      </w:tr>
      <w:tr>
        <w:trPr>
          <w:trHeight w:val="153"/>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Debt issuance and modification costs paid</w:t>
            </w:r>
          </w:p>
        </w:tc>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(9,073)</w:t>
            </w:r>
          </w:p>
        </w:tc>
        <w:tc>
          <w:tcPr>
            <w:tcW w:w="0" w:type="dxa"/>
            <w:vAlign w:val="bottom"/>
          </w:tcPr>
          <w:p>
            <w:pPr>
              <w:spacing w:after="0"/>
              <w:rPr>
                <w:sz w:val="1"/>
                <w:szCs w:val="1"/>
                <w:color w:val="auto"/>
              </w:rPr>
            </w:pPr>
          </w:p>
        </w:tc>
      </w:tr>
      <w:tr>
        <w:trPr>
          <w:trHeight w:val="153"/>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Repayments of long-term debt</w:t>
            </w:r>
          </w:p>
        </w:tc>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(6,200)</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(361,425)</w:t>
            </w:r>
          </w:p>
        </w:tc>
        <w:tc>
          <w:tcPr>
            <w:tcW w:w="0" w:type="dxa"/>
            <w:vAlign w:val="bottom"/>
          </w:tcPr>
          <w:p>
            <w:pPr>
              <w:spacing w:after="0"/>
              <w:rPr>
                <w:sz w:val="1"/>
                <w:szCs w:val="1"/>
                <w:color w:val="auto"/>
              </w:rPr>
            </w:pPr>
          </w:p>
        </w:tc>
      </w:tr>
      <w:tr>
        <w:trPr>
          <w:trHeight w:val="153"/>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Borrowings under revolving credit facility</w:t>
            </w:r>
          </w:p>
        </w:tc>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29,500</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30,000</w:t>
            </w:r>
          </w:p>
        </w:tc>
        <w:tc>
          <w:tcPr>
            <w:tcW w:w="0" w:type="dxa"/>
            <w:vAlign w:val="bottom"/>
          </w:tcPr>
          <w:p>
            <w:pPr>
              <w:spacing w:after="0"/>
              <w:rPr>
                <w:sz w:val="1"/>
                <w:szCs w:val="1"/>
                <w:color w:val="auto"/>
              </w:rPr>
            </w:pPr>
          </w:p>
        </w:tc>
      </w:tr>
      <w:tr>
        <w:trPr>
          <w:trHeight w:val="153"/>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Repayments of borrowings under revolving credit facility</w:t>
            </w:r>
          </w:p>
        </w:tc>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(32,000)</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(15,000)</w:t>
            </w:r>
          </w:p>
        </w:tc>
        <w:tc>
          <w:tcPr>
            <w:tcW w:w="0" w:type="dxa"/>
            <w:vAlign w:val="bottom"/>
          </w:tcPr>
          <w:p>
            <w:pPr>
              <w:spacing w:after="0"/>
              <w:rPr>
                <w:sz w:val="1"/>
                <w:szCs w:val="1"/>
                <w:color w:val="auto"/>
              </w:rPr>
            </w:pPr>
          </w:p>
        </w:tc>
      </w:tr>
      <w:tr>
        <w:trPr>
          <w:trHeight w:val="153"/>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Proceeds from the issuance of redeemable senior preferred stock, net of discount</w:t>
            </w:r>
          </w:p>
        </w:tc>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219,062</w:t>
            </w:r>
          </w:p>
        </w:tc>
        <w:tc>
          <w:tcPr>
            <w:tcW w:w="0" w:type="dxa"/>
            <w:vAlign w:val="bottom"/>
          </w:tcPr>
          <w:p>
            <w:pPr>
              <w:spacing w:after="0"/>
              <w:rPr>
                <w:sz w:val="1"/>
                <w:szCs w:val="1"/>
                <w:color w:val="auto"/>
              </w:rPr>
            </w:pPr>
          </w:p>
        </w:tc>
      </w:tr>
      <w:tr>
        <w:trPr>
          <w:trHeight w:val="153"/>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Redeemable senior preferred stock issuance fees and costs</w:t>
            </w:r>
          </w:p>
        </w:tc>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(8,098)</w:t>
            </w:r>
          </w:p>
        </w:tc>
        <w:tc>
          <w:tcPr>
            <w:tcW w:w="0" w:type="dxa"/>
            <w:vAlign w:val="bottom"/>
          </w:tcPr>
          <w:p>
            <w:pPr>
              <w:spacing w:after="0"/>
              <w:rPr>
                <w:sz w:val="1"/>
                <w:szCs w:val="1"/>
                <w:color w:val="auto"/>
              </w:rPr>
            </w:pPr>
          </w:p>
        </w:tc>
      </w:tr>
      <w:tr>
        <w:trPr>
          <w:trHeight w:val="153"/>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Repurchases of Common Stock and shares withheld for taxes</w:t>
            </w:r>
          </w:p>
        </w:tc>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(7,468)</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(1,703)</w:t>
            </w:r>
          </w:p>
        </w:tc>
        <w:tc>
          <w:tcPr>
            <w:tcW w:w="0" w:type="dxa"/>
            <w:vAlign w:val="bottom"/>
          </w:tcPr>
          <w:p>
            <w:pPr>
              <w:spacing w:after="0"/>
              <w:rPr>
                <w:sz w:val="1"/>
                <w:szCs w:val="1"/>
                <w:color w:val="auto"/>
              </w:rPr>
            </w:pPr>
          </w:p>
        </w:tc>
      </w:tr>
      <w:tr>
        <w:trPr>
          <w:trHeight w:val="153"/>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Dividends paid to redeemable senior preferred stockholders</w:t>
            </w:r>
          </w:p>
        </w:tc>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(11,459)</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(7,460)</w:t>
            </w:r>
          </w:p>
        </w:tc>
        <w:tc>
          <w:tcPr>
            <w:tcW w:w="0" w:type="dxa"/>
            <w:vAlign w:val="bottom"/>
          </w:tcPr>
          <w:p>
            <w:pPr>
              <w:spacing w:after="0"/>
              <w:rPr>
                <w:sz w:val="1"/>
                <w:szCs w:val="1"/>
                <w:color w:val="auto"/>
              </w:rPr>
            </w:pPr>
          </w:p>
        </w:tc>
      </w:tr>
      <w:tr>
        <w:trPr>
          <w:trHeight w:val="153"/>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Profit distributions to redeemable NCIs of subsidiaries</w:t>
            </w:r>
          </w:p>
        </w:tc>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(815)</w:t>
            </w:r>
          </w:p>
        </w:tc>
        <w:tc>
          <w:tcPr>
            <w:tcW w:w="0" w:type="dxa"/>
            <w:vAlign w:val="bottom"/>
          </w:tcPr>
          <w:p>
            <w:pPr>
              <w:spacing w:after="0"/>
              <w:rPr>
                <w:sz w:val="1"/>
                <w:szCs w:val="1"/>
                <w:color w:val="auto"/>
              </w:rPr>
            </w:pPr>
          </w:p>
        </w:tc>
      </w:tr>
      <w:tr>
        <w:trPr>
          <w:trHeight w:val="153"/>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Proceeds from exercise of stock options</w:t>
            </w:r>
          </w:p>
        </w:tc>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1,196</w:t>
            </w:r>
          </w:p>
        </w:tc>
        <w:tc>
          <w:tcPr>
            <w:tcW w:w="0" w:type="dxa"/>
            <w:vAlign w:val="bottom"/>
          </w:tcPr>
          <w:p>
            <w:pPr>
              <w:spacing w:after="0"/>
              <w:rPr>
                <w:sz w:val="1"/>
                <w:szCs w:val="1"/>
                <w:color w:val="auto"/>
              </w:rPr>
            </w:pPr>
          </w:p>
        </w:tc>
      </w:tr>
      <w:tr>
        <w:trPr>
          <w:trHeight w:val="153"/>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and customer/subscriber accounts obligations, net</w:t>
            </w:r>
          </w:p>
        </w:tc>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43,143</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417,627</w:t>
            </w:r>
          </w:p>
        </w:tc>
        <w:tc>
          <w:tcPr>
            <w:tcW w:w="0" w:type="dxa"/>
            <w:vAlign w:val="bottom"/>
          </w:tcPr>
          <w:p>
            <w:pPr>
              <w:spacing w:after="0"/>
              <w:rPr>
                <w:sz w:val="1"/>
                <w:szCs w:val="1"/>
                <w:color w:val="auto"/>
              </w:rPr>
            </w:pPr>
          </w:p>
        </w:tc>
      </w:tr>
      <w:tr>
        <w:trPr>
          <w:trHeight w:val="155"/>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Payment of contingent consideration</w:t>
            </w:r>
          </w:p>
        </w:tc>
        <w:tc>
          <w:tcPr>
            <w:tcW w:w="33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(7,014)</w:t>
            </w:r>
          </w:p>
        </w:tc>
        <w:tc>
          <w:tcPr>
            <w:tcW w:w="1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6"/>
        </w:trPr>
        <w:tc>
          <w:tcPr>
            <w:tcW w:w="4780" w:type="dxa"/>
            <w:vAlign w:val="bottom"/>
          </w:tcPr>
          <w:p>
            <w:pPr>
              <w:ind w:left="80"/>
              <w:spacing w:after="0" w:line="136" w:lineRule="exact"/>
              <w:rPr>
                <w:sz w:val="20"/>
                <w:szCs w:val="20"/>
                <w:color w:val="auto"/>
              </w:rPr>
            </w:pPr>
            <w:r>
              <w:rPr>
                <w:rFonts w:ascii="Times New Roman" w:cs="Times New Roman" w:eastAsia="Times New Roman" w:hAnsi="Times New Roman"/>
                <w:sz w:val="12"/>
                <w:szCs w:val="12"/>
                <w:b w:val="1"/>
                <w:bCs w:val="1"/>
                <w:color w:val="auto"/>
              </w:rPr>
              <w:t>Net cash (used in) provided by financing activities</w:t>
            </w:r>
          </w:p>
        </w:tc>
        <w:tc>
          <w:tcPr>
            <w:tcW w:w="3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8,502</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871,629</w:t>
            </w:r>
          </w:p>
        </w:tc>
        <w:tc>
          <w:tcPr>
            <w:tcW w:w="0" w:type="dxa"/>
            <w:vAlign w:val="bottom"/>
          </w:tcPr>
          <w:p>
            <w:pPr>
              <w:spacing w:after="0"/>
              <w:rPr>
                <w:sz w:val="1"/>
                <w:szCs w:val="1"/>
                <w:color w:val="auto"/>
              </w:rPr>
            </w:pPr>
          </w:p>
        </w:tc>
      </w:tr>
      <w:tr>
        <w:trPr>
          <w:trHeight w:val="157"/>
        </w:trPr>
        <w:tc>
          <w:tcPr>
            <w:tcW w:w="47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Net change in cash and cash equivalents, and restricted cash:</w:t>
            </w:r>
          </w:p>
        </w:tc>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increase in cash and cash equivalents, and restricted cash</w:t>
            </w:r>
          </w:p>
        </w:tc>
        <w:tc>
          <w:tcPr>
            <w:tcW w:w="3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42,517</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429,973</w:t>
            </w:r>
          </w:p>
        </w:tc>
        <w:tc>
          <w:tcPr>
            <w:tcW w:w="0" w:type="dxa"/>
            <w:vAlign w:val="bottom"/>
          </w:tcPr>
          <w:p>
            <w:pPr>
              <w:spacing w:after="0"/>
              <w:rPr>
                <w:sz w:val="1"/>
                <w:szCs w:val="1"/>
                <w:color w:val="auto"/>
              </w:rPr>
            </w:pPr>
          </w:p>
        </w:tc>
      </w:tr>
      <w:tr>
        <w:trPr>
          <w:trHeight w:val="549"/>
        </w:trPr>
        <w:tc>
          <w:tcPr>
            <w:tcW w:w="4780" w:type="dxa"/>
            <w:vAlign w:val="bottom"/>
          </w:tcPr>
          <w:p>
            <w:pPr>
              <w:spacing w:after="0"/>
              <w:rPr>
                <w:sz w:val="24"/>
                <w:szCs w:val="24"/>
                <w:color w:val="auto"/>
              </w:rPr>
            </w:pPr>
          </w:p>
        </w:tc>
        <w:tc>
          <w:tcPr>
            <w:tcW w:w="3300" w:type="dxa"/>
            <w:vAlign w:val="bottom"/>
          </w:tcPr>
          <w:p>
            <w:pPr>
              <w:jc w:val="right"/>
              <w:ind w:right="2340"/>
              <w:spacing w:after="0"/>
              <w:rPr>
                <w:sz w:val="20"/>
                <w:szCs w:val="20"/>
                <w:color w:val="auto"/>
              </w:rPr>
            </w:pPr>
            <w:r>
              <w:rPr>
                <w:rFonts w:ascii="Times New Roman" w:cs="Times New Roman" w:eastAsia="Times New Roman" w:hAnsi="Times New Roman"/>
                <w:sz w:val="12"/>
                <w:szCs w:val="12"/>
                <w:color w:val="auto"/>
              </w:rPr>
              <w:t>8</w:t>
            </w: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85"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r>
        <w:rPr>
          <w:rFonts w:ascii="Times New Roman" w:cs="Times New Roman" w:eastAsia="Times New Roman" w:hAnsi="Times New Roman"/>
          <w:sz w:val="13"/>
          <w:szCs w:val="13"/>
          <w:color w:val="auto"/>
        </w:rPr>
        <w:t>.</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 Consolidated Statements of Cash Flows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2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8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Years Ended December 31,</w:t>
            </w: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w w:val="99"/>
              </w:rPr>
              <w:t>2021</w:t>
            </w:r>
          </w:p>
        </w:tc>
        <w:tc>
          <w:tcPr>
            <w:tcW w:w="0" w:type="dxa"/>
            <w:vAlign w:val="bottom"/>
          </w:tcPr>
          <w:p>
            <w:pPr>
              <w:spacing w:after="0"/>
              <w:rPr>
                <w:sz w:val="1"/>
                <w:szCs w:val="1"/>
                <w:color w:val="auto"/>
              </w:rPr>
            </w:pPr>
          </w:p>
        </w:tc>
      </w:tr>
      <w:tr>
        <w:trPr>
          <w:trHeight w:val="142"/>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 and restricted cash at beginning of period</w:t>
            </w:r>
          </w:p>
        </w:tc>
        <w:tc>
          <w:tcPr>
            <w:tcW w:w="28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518,093</w:t>
            </w:r>
          </w:p>
        </w:tc>
        <w:tc>
          <w:tcPr>
            <w:tcW w:w="1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88,120</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and restricted cash equivalents at end of period</w:t>
            </w:r>
          </w:p>
        </w:tc>
        <w:tc>
          <w:tcPr>
            <w:tcW w:w="2880" w:type="dxa"/>
            <w:vAlign w:val="bottom"/>
          </w:tcPr>
          <w:p>
            <w:pPr>
              <w:spacing w:after="0"/>
              <w:rPr>
                <w:sz w:val="12"/>
                <w:szCs w:val="12"/>
                <w:color w:val="auto"/>
              </w:rPr>
            </w:pPr>
          </w:p>
        </w:tc>
        <w:tc>
          <w:tcPr>
            <w:tcW w:w="90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560,610</w:t>
            </w:r>
          </w:p>
        </w:tc>
        <w:tc>
          <w:tcPr>
            <w:tcW w:w="120" w:type="dxa"/>
            <w:vAlign w:val="bottom"/>
          </w:tcPr>
          <w:p>
            <w:pPr>
              <w:spacing w:after="0"/>
              <w:rPr>
                <w:sz w:val="12"/>
                <w:szCs w:val="12"/>
                <w:color w:val="auto"/>
              </w:rPr>
            </w:pPr>
          </w:p>
        </w:tc>
        <w:tc>
          <w:tcPr>
            <w:tcW w:w="6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518,093</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Reconciliation of cash and cash equivalents, and restricted cash:</w:t>
            </w:r>
          </w:p>
        </w:tc>
        <w:tc>
          <w:tcPr>
            <w:tcW w:w="2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200" w:type="dxa"/>
            <w:vAlign w:val="bottom"/>
            <w:vMerge w:val="continue"/>
          </w:tcPr>
          <w:p>
            <w:pPr>
              <w:spacing w:after="0"/>
              <w:rPr>
                <w:sz w:val="24"/>
                <w:szCs w:val="24"/>
                <w:color w:val="auto"/>
              </w:rPr>
            </w:pPr>
          </w:p>
        </w:tc>
        <w:tc>
          <w:tcPr>
            <w:tcW w:w="2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3780" w:type="dxa"/>
            <w:vAlign w:val="bottom"/>
            <w:gridSpan w:val="2"/>
          </w:tcPr>
          <w:p>
            <w:pPr>
              <w:jc w:val="right"/>
              <w:ind w:right="7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18,454</w:t>
            </w:r>
          </w:p>
        </w:tc>
        <w:tc>
          <w:tcPr>
            <w:tcW w:w="120" w:type="dxa"/>
            <w:vAlign w:val="bottom"/>
          </w:tcPr>
          <w:p>
            <w:pPr>
              <w:spacing w:after="0"/>
              <w:rPr>
                <w:sz w:val="13"/>
                <w:szCs w:val="13"/>
                <w:color w:val="auto"/>
              </w:rPr>
            </w:pPr>
          </w:p>
        </w:tc>
        <w:tc>
          <w:tcPr>
            <w:tcW w:w="64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20,300</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Restricted cash</w:t>
            </w:r>
          </w:p>
        </w:tc>
        <w:tc>
          <w:tcPr>
            <w:tcW w:w="2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10,582</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28,859</w:t>
            </w:r>
          </w:p>
        </w:tc>
        <w:tc>
          <w:tcPr>
            <w:tcW w:w="0" w:type="dxa"/>
            <w:vAlign w:val="bottom"/>
          </w:tcPr>
          <w:p>
            <w:pPr>
              <w:spacing w:after="0"/>
              <w:rPr>
                <w:sz w:val="1"/>
                <w:szCs w:val="1"/>
                <w:color w:val="auto"/>
              </w:rPr>
            </w:pPr>
          </w:p>
        </w:tc>
      </w:tr>
      <w:tr>
        <w:trPr>
          <w:trHeight w:val="155"/>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 included in settlement assets and customer/subscriber account balances</w:t>
            </w:r>
          </w:p>
        </w:tc>
        <w:tc>
          <w:tcPr>
            <w:tcW w:w="28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531,574</w:t>
            </w:r>
          </w:p>
        </w:tc>
        <w:tc>
          <w:tcPr>
            <w:tcW w:w="1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468,934</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cash and cash equivalents, and restricted cash</w:t>
            </w:r>
          </w:p>
        </w:tc>
        <w:tc>
          <w:tcPr>
            <w:tcW w:w="2880" w:type="dxa"/>
            <w:vAlign w:val="bottom"/>
          </w:tcPr>
          <w:p>
            <w:pPr>
              <w:spacing w:after="0"/>
              <w:rPr>
                <w:sz w:val="12"/>
                <w:szCs w:val="12"/>
                <w:color w:val="auto"/>
              </w:rPr>
            </w:pPr>
          </w:p>
        </w:tc>
        <w:tc>
          <w:tcPr>
            <w:tcW w:w="90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560,610</w:t>
            </w:r>
          </w:p>
        </w:tc>
        <w:tc>
          <w:tcPr>
            <w:tcW w:w="120" w:type="dxa"/>
            <w:vAlign w:val="bottom"/>
          </w:tcPr>
          <w:p>
            <w:pPr>
              <w:spacing w:after="0"/>
              <w:rPr>
                <w:sz w:val="12"/>
                <w:szCs w:val="12"/>
                <w:color w:val="auto"/>
              </w:rPr>
            </w:pPr>
          </w:p>
        </w:tc>
        <w:tc>
          <w:tcPr>
            <w:tcW w:w="6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518,093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880" w:type="dxa"/>
            <w:vAlign w:val="bottom"/>
            <w:vMerge w:val="restart"/>
          </w:tcPr>
          <w:p>
            <w:pPr>
              <w:jc w:val="right"/>
              <w:ind w:right="2340"/>
              <w:spacing w:after="0"/>
              <w:rPr>
                <w:sz w:val="20"/>
                <w:szCs w:val="20"/>
                <w:color w:val="auto"/>
              </w:rPr>
            </w:pPr>
            <w:r>
              <w:rPr>
                <w:rFonts w:ascii="Times New Roman" w:cs="Times New Roman" w:eastAsia="Times New Roman" w:hAnsi="Times New Roman"/>
                <w:sz w:val="12"/>
                <w:szCs w:val="12"/>
                <w:color w:val="auto"/>
              </w:rPr>
              <w:t>9</w:t>
            </w: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9"/>
        </w:trPr>
        <w:tc>
          <w:tcPr>
            <w:tcW w:w="520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85"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Reportable Segments' Results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60" w:type="dxa"/>
            <w:vAlign w:val="bottom"/>
            <w:gridSpan w:val="5"/>
            <w:vMerge w:val="restart"/>
          </w:tcPr>
          <w:p>
            <w:pPr>
              <w:ind w:left="420"/>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c>
          <w:tcPr>
            <w:tcW w:w="340" w:type="dxa"/>
            <w:vAlign w:val="bottom"/>
          </w:tcPr>
          <w:p>
            <w:pPr>
              <w:spacing w:after="0"/>
              <w:rPr>
                <w:sz w:val="12"/>
                <w:szCs w:val="12"/>
                <w:color w:val="auto"/>
              </w:rPr>
            </w:pPr>
          </w:p>
        </w:tc>
        <w:tc>
          <w:tcPr>
            <w:tcW w:w="1580" w:type="dxa"/>
            <w:vAlign w:val="bottom"/>
            <w:gridSpan w:val="3"/>
          </w:tcPr>
          <w:p>
            <w:pPr>
              <w:jc w:val="right"/>
              <w:ind w:right="106"/>
              <w:spacing w:after="0"/>
              <w:rPr>
                <w:sz w:val="20"/>
                <w:szCs w:val="20"/>
                <w:color w:val="auto"/>
              </w:rPr>
            </w:pPr>
            <w:r>
              <w:rPr>
                <w:rFonts w:ascii="Times New Roman" w:cs="Times New Roman" w:eastAsia="Times New Roman" w:hAnsi="Times New Roman"/>
                <w:sz w:val="12"/>
                <w:szCs w:val="12"/>
                <w:b w:val="1"/>
                <w:bCs w:val="1"/>
                <w:color w:val="auto"/>
              </w:rPr>
              <w:t>Years Ended</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4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00" w:type="dxa"/>
            <w:vAlign w:val="bottom"/>
          </w:tcPr>
          <w:p>
            <w:pPr>
              <w:spacing w:after="0"/>
              <w:rPr>
                <w:sz w:val="14"/>
                <w:szCs w:val="14"/>
                <w:color w:val="auto"/>
              </w:rPr>
            </w:pPr>
          </w:p>
        </w:tc>
        <w:tc>
          <w:tcPr>
            <w:tcW w:w="2860" w:type="dxa"/>
            <w:vAlign w:val="bottom"/>
            <w:gridSpan w:val="5"/>
            <w:vMerge w:val="continue"/>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3"/>
          </w:tcPr>
          <w:p>
            <w:pPr>
              <w:jc w:val="right"/>
              <w:ind w:right="66"/>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2021</w:t>
            </w:r>
          </w:p>
        </w:tc>
        <w:tc>
          <w:tcPr>
            <w:tcW w:w="8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140"/>
        </w:trPr>
        <w:tc>
          <w:tcPr>
            <w:tcW w:w="5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149,880</w:t>
            </w:r>
          </w:p>
        </w:tc>
        <w:tc>
          <w:tcPr>
            <w:tcW w:w="80" w:type="dxa"/>
            <w:vAlign w:val="bottom"/>
          </w:tcPr>
          <w:p>
            <w:pPr>
              <w:spacing w:after="0"/>
              <w:rPr>
                <w:sz w:val="13"/>
                <w:szCs w:val="13"/>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121,482</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562,237</w:t>
            </w:r>
          </w:p>
        </w:tc>
        <w:tc>
          <w:tcPr>
            <w:tcW w:w="80" w:type="dxa"/>
            <w:vAlign w:val="bottom"/>
          </w:tcPr>
          <w:p>
            <w:pPr>
              <w:spacing w:after="0"/>
              <w:rPr>
                <w:sz w:val="13"/>
                <w:szCs w:val="13"/>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475,630</w:t>
            </w:r>
          </w:p>
        </w:tc>
        <w:tc>
          <w:tcPr>
            <w:tcW w:w="0" w:type="dxa"/>
            <w:vAlign w:val="bottom"/>
          </w:tcPr>
          <w:p>
            <w:pPr>
              <w:spacing w:after="0"/>
              <w:rPr>
                <w:sz w:val="1"/>
                <w:szCs w:val="1"/>
                <w:color w:val="auto"/>
              </w:rPr>
            </w:pPr>
          </w:p>
        </w:tc>
      </w:tr>
      <w:tr>
        <w:trPr>
          <w:trHeight w:val="155"/>
        </w:trPr>
        <w:tc>
          <w:tcPr>
            <w:tcW w:w="5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Operating expenses</w:t>
            </w: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134,942</w:t>
            </w: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110,978</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507,371</w:t>
            </w: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422,746</w:t>
            </w:r>
          </w:p>
        </w:tc>
        <w:tc>
          <w:tcPr>
            <w:tcW w:w="0" w:type="dxa"/>
            <w:vAlign w:val="bottom"/>
          </w:tcPr>
          <w:p>
            <w:pPr>
              <w:spacing w:after="0"/>
              <w:rPr>
                <w:sz w:val="1"/>
                <w:szCs w:val="1"/>
                <w:color w:val="auto"/>
              </w:rPr>
            </w:pPr>
          </w:p>
        </w:tc>
      </w:tr>
      <w:tr>
        <w:trPr>
          <w:trHeight w:val="142"/>
        </w:trPr>
        <w:tc>
          <w:tcPr>
            <w:tcW w:w="544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14,938</w:t>
            </w:r>
          </w:p>
        </w:tc>
        <w:tc>
          <w:tcPr>
            <w:tcW w:w="80" w:type="dxa"/>
            <w:vAlign w:val="bottom"/>
          </w:tcPr>
          <w:p>
            <w:pPr>
              <w:spacing w:after="0"/>
              <w:rPr>
                <w:sz w:val="12"/>
                <w:szCs w:val="12"/>
                <w:color w:val="auto"/>
              </w:rPr>
            </w:pPr>
          </w:p>
        </w:tc>
        <w:tc>
          <w:tcPr>
            <w:tcW w:w="3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10,504</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54,866</w:t>
            </w:r>
          </w:p>
        </w:tc>
        <w:tc>
          <w:tcPr>
            <w:tcW w:w="80" w:type="dxa"/>
            <w:vAlign w:val="bottom"/>
          </w:tcPr>
          <w:p>
            <w:pPr>
              <w:spacing w:after="0"/>
              <w:rPr>
                <w:sz w:val="12"/>
                <w:szCs w:val="12"/>
                <w:color w:val="auto"/>
              </w:rPr>
            </w:pPr>
          </w:p>
        </w:tc>
        <w:tc>
          <w:tcPr>
            <w:tcW w:w="44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52,884</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Operating margin</w:t>
            </w: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5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10.0 %</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8.6 %</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9.8 %</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11.1 %</w:t>
            </w:r>
          </w:p>
        </w:tc>
        <w:tc>
          <w:tcPr>
            <w:tcW w:w="0" w:type="dxa"/>
            <w:vAlign w:val="bottom"/>
          </w:tcPr>
          <w:p>
            <w:pPr>
              <w:spacing w:after="0"/>
              <w:rPr>
                <w:sz w:val="1"/>
                <w:szCs w:val="1"/>
                <w:color w:val="auto"/>
              </w:rPr>
            </w:pPr>
          </w:p>
        </w:tc>
      </w:tr>
      <w:tr>
        <w:trPr>
          <w:trHeight w:val="153"/>
        </w:trPr>
        <w:tc>
          <w:tcPr>
            <w:tcW w:w="5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11,081</w:t>
            </w:r>
          </w:p>
        </w:tc>
        <w:tc>
          <w:tcPr>
            <w:tcW w:w="80" w:type="dxa"/>
            <w:vAlign w:val="bottom"/>
          </w:tcPr>
          <w:p>
            <w:pPr>
              <w:spacing w:after="0"/>
              <w:rPr>
                <w:sz w:val="13"/>
                <w:szCs w:val="13"/>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11,014</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43,925</w:t>
            </w:r>
          </w:p>
        </w:tc>
        <w:tc>
          <w:tcPr>
            <w:tcW w:w="80" w:type="dxa"/>
            <w:vAlign w:val="bottom"/>
          </w:tcPr>
          <w:p>
            <w:pPr>
              <w:spacing w:after="0"/>
              <w:rPr>
                <w:sz w:val="13"/>
                <w:szCs w:val="13"/>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41,144</w:t>
            </w:r>
          </w:p>
        </w:tc>
        <w:tc>
          <w:tcPr>
            <w:tcW w:w="0" w:type="dxa"/>
            <w:vAlign w:val="bottom"/>
          </w:tcPr>
          <w:p>
            <w:pPr>
              <w:spacing w:after="0"/>
              <w:rPr>
                <w:sz w:val="1"/>
                <w:szCs w:val="1"/>
                <w:color w:val="auto"/>
              </w:rPr>
            </w:pPr>
          </w:p>
        </w:tc>
      </w:tr>
      <w:tr>
        <w:trPr>
          <w:trHeight w:val="153"/>
        </w:trPr>
        <w:tc>
          <w:tcPr>
            <w:tcW w:w="5440" w:type="dxa"/>
            <w:vAlign w:val="bottom"/>
          </w:tcPr>
          <w:p>
            <w:pPr>
              <w:spacing w:after="0"/>
              <w:rPr>
                <w:sz w:val="20"/>
                <w:szCs w:val="20"/>
                <w:color w:val="auto"/>
              </w:rPr>
            </w:pPr>
            <w:r>
              <w:rPr>
                <w:rFonts w:ascii="Times New Roman" w:cs="Times New Roman" w:eastAsia="Times New Roman" w:hAnsi="Times New Roman"/>
                <w:sz w:val="12"/>
                <w:szCs w:val="12"/>
                <w:color w:val="auto"/>
              </w:rPr>
              <w:t>Key indicators:</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Merchant bankcard processing dollar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14,862,635</w:t>
            </w:r>
          </w:p>
        </w:tc>
        <w:tc>
          <w:tcPr>
            <w:tcW w:w="80" w:type="dxa"/>
            <w:vAlign w:val="bottom"/>
          </w:tcPr>
          <w:p>
            <w:pPr>
              <w:spacing w:after="0"/>
              <w:rPr>
                <w:sz w:val="13"/>
                <w:szCs w:val="13"/>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13,847,825</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59,440,491</w:t>
            </w:r>
          </w:p>
        </w:tc>
        <w:tc>
          <w:tcPr>
            <w:tcW w:w="80" w:type="dxa"/>
            <w:vAlign w:val="bottom"/>
          </w:tcPr>
          <w:p>
            <w:pPr>
              <w:spacing w:after="0"/>
              <w:rPr>
                <w:sz w:val="13"/>
                <w:szCs w:val="13"/>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53,411,622</w:t>
            </w:r>
          </w:p>
        </w:tc>
        <w:tc>
          <w:tcPr>
            <w:tcW w:w="0" w:type="dxa"/>
            <w:vAlign w:val="bottom"/>
          </w:tcPr>
          <w:p>
            <w:pPr>
              <w:spacing w:after="0"/>
              <w:rPr>
                <w:sz w:val="1"/>
                <w:szCs w:val="1"/>
                <w:color w:val="auto"/>
              </w:rPr>
            </w:pPr>
          </w:p>
        </w:tc>
      </w:tr>
      <w:tr>
        <w:trPr>
          <w:trHeight w:val="149"/>
        </w:trPr>
        <w:tc>
          <w:tcPr>
            <w:tcW w:w="5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Merchant bankcard transaction volume</w:t>
            </w:r>
          </w:p>
        </w:tc>
        <w:tc>
          <w:tcPr>
            <w:tcW w:w="100" w:type="dxa"/>
            <w:vAlign w:val="bottom"/>
          </w:tcPr>
          <w:p>
            <w:pPr>
              <w:spacing w:after="0"/>
              <w:rPr>
                <w:sz w:val="12"/>
                <w:szCs w:val="12"/>
                <w:color w:val="auto"/>
              </w:rPr>
            </w:pP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160,492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147,138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636,576</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578,102</w:t>
            </w:r>
          </w:p>
        </w:tc>
        <w:tc>
          <w:tcPr>
            <w:tcW w:w="0" w:type="dxa"/>
            <w:vAlign w:val="bottom"/>
          </w:tcPr>
          <w:p>
            <w:pPr>
              <w:spacing w:after="0"/>
              <w:rPr>
                <w:sz w:val="1"/>
                <w:szCs w:val="1"/>
                <w:color w:val="auto"/>
              </w:rPr>
            </w:pPr>
          </w:p>
        </w:tc>
      </w:tr>
      <w:tr>
        <w:trPr>
          <w:trHeight w:val="157"/>
        </w:trPr>
        <w:tc>
          <w:tcPr>
            <w:tcW w:w="5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2,802</w:t>
            </w:r>
          </w:p>
        </w:tc>
        <w:tc>
          <w:tcPr>
            <w:tcW w:w="80" w:type="dxa"/>
            <w:vAlign w:val="bottom"/>
          </w:tcPr>
          <w:p>
            <w:pPr>
              <w:spacing w:after="0"/>
              <w:rPr>
                <w:sz w:val="13"/>
                <w:szCs w:val="13"/>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5,416</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18,890</w:t>
            </w:r>
          </w:p>
        </w:tc>
        <w:tc>
          <w:tcPr>
            <w:tcW w:w="80" w:type="dxa"/>
            <w:vAlign w:val="bottom"/>
          </w:tcPr>
          <w:p>
            <w:pPr>
              <w:spacing w:after="0"/>
              <w:rPr>
                <w:sz w:val="13"/>
                <w:szCs w:val="13"/>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17,138</w:t>
            </w:r>
          </w:p>
        </w:tc>
        <w:tc>
          <w:tcPr>
            <w:tcW w:w="0" w:type="dxa"/>
            <w:vAlign w:val="bottom"/>
          </w:tcPr>
          <w:p>
            <w:pPr>
              <w:spacing w:after="0"/>
              <w:rPr>
                <w:sz w:val="1"/>
                <w:szCs w:val="1"/>
                <w:color w:val="auto"/>
              </w:rPr>
            </w:pPr>
          </w:p>
        </w:tc>
      </w:tr>
      <w:tr>
        <w:trPr>
          <w:trHeight w:val="155"/>
        </w:trPr>
        <w:tc>
          <w:tcPr>
            <w:tcW w:w="5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Operating expenses</w:t>
            </w: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3,883</w:t>
            </w: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4,865</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18,682</w:t>
            </w: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17,003</w:t>
            </w:r>
          </w:p>
        </w:tc>
        <w:tc>
          <w:tcPr>
            <w:tcW w:w="0" w:type="dxa"/>
            <w:vAlign w:val="bottom"/>
          </w:tcPr>
          <w:p>
            <w:pPr>
              <w:spacing w:after="0"/>
              <w:rPr>
                <w:sz w:val="1"/>
                <w:szCs w:val="1"/>
                <w:color w:val="auto"/>
              </w:rPr>
            </w:pPr>
          </w:p>
        </w:tc>
      </w:tr>
      <w:tr>
        <w:trPr>
          <w:trHeight w:val="142"/>
        </w:trPr>
        <w:tc>
          <w:tcPr>
            <w:tcW w:w="544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Operating income (loss)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(1,081)</w:t>
            </w:r>
          </w:p>
        </w:tc>
        <w:tc>
          <w:tcPr>
            <w:tcW w:w="80" w:type="dxa"/>
            <w:vAlign w:val="bottom"/>
          </w:tcPr>
          <w:p>
            <w:pPr>
              <w:spacing w:after="0"/>
              <w:rPr>
                <w:sz w:val="12"/>
                <w:szCs w:val="12"/>
                <w:color w:val="auto"/>
              </w:rPr>
            </w:pPr>
          </w:p>
        </w:tc>
        <w:tc>
          <w:tcPr>
            <w:tcW w:w="3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551</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208</w:t>
            </w:r>
          </w:p>
        </w:tc>
        <w:tc>
          <w:tcPr>
            <w:tcW w:w="80" w:type="dxa"/>
            <w:vAlign w:val="bottom"/>
          </w:tcPr>
          <w:p>
            <w:pPr>
              <w:spacing w:after="0"/>
              <w:rPr>
                <w:sz w:val="12"/>
                <w:szCs w:val="12"/>
                <w:color w:val="auto"/>
              </w:rPr>
            </w:pPr>
          </w:p>
        </w:tc>
        <w:tc>
          <w:tcPr>
            <w:tcW w:w="44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135</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Operating margin</w:t>
            </w: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5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(38.6)%</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10.2 %</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1.1 %</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0.8 %</w:t>
            </w:r>
          </w:p>
        </w:tc>
        <w:tc>
          <w:tcPr>
            <w:tcW w:w="0" w:type="dxa"/>
            <w:vAlign w:val="bottom"/>
          </w:tcPr>
          <w:p>
            <w:pPr>
              <w:spacing w:after="0"/>
              <w:rPr>
                <w:sz w:val="1"/>
                <w:szCs w:val="1"/>
                <w:color w:val="auto"/>
              </w:rPr>
            </w:pPr>
          </w:p>
        </w:tc>
      </w:tr>
      <w:tr>
        <w:trPr>
          <w:trHeight w:val="153"/>
        </w:trPr>
        <w:tc>
          <w:tcPr>
            <w:tcW w:w="5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303</w:t>
            </w:r>
          </w:p>
        </w:tc>
        <w:tc>
          <w:tcPr>
            <w:tcW w:w="80" w:type="dxa"/>
            <w:vAlign w:val="bottom"/>
          </w:tcPr>
          <w:p>
            <w:pPr>
              <w:spacing w:after="0"/>
              <w:rPr>
                <w:sz w:val="13"/>
                <w:szCs w:val="13"/>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74</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744</w:t>
            </w:r>
          </w:p>
        </w:tc>
        <w:tc>
          <w:tcPr>
            <w:tcW w:w="80" w:type="dxa"/>
            <w:vAlign w:val="bottom"/>
          </w:tcPr>
          <w:p>
            <w:pPr>
              <w:spacing w:after="0"/>
              <w:rPr>
                <w:sz w:val="13"/>
                <w:szCs w:val="13"/>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294</w:t>
            </w:r>
          </w:p>
        </w:tc>
        <w:tc>
          <w:tcPr>
            <w:tcW w:w="0" w:type="dxa"/>
            <w:vAlign w:val="bottom"/>
          </w:tcPr>
          <w:p>
            <w:pPr>
              <w:spacing w:after="0"/>
              <w:rPr>
                <w:sz w:val="1"/>
                <w:szCs w:val="1"/>
                <w:color w:val="auto"/>
              </w:rPr>
            </w:pPr>
          </w:p>
        </w:tc>
      </w:tr>
      <w:tr>
        <w:trPr>
          <w:trHeight w:val="153"/>
        </w:trPr>
        <w:tc>
          <w:tcPr>
            <w:tcW w:w="5440" w:type="dxa"/>
            <w:vAlign w:val="bottom"/>
          </w:tcPr>
          <w:p>
            <w:pPr>
              <w:spacing w:after="0"/>
              <w:rPr>
                <w:sz w:val="20"/>
                <w:szCs w:val="20"/>
                <w:color w:val="auto"/>
              </w:rPr>
            </w:pPr>
            <w:r>
              <w:rPr>
                <w:rFonts w:ascii="Times New Roman" w:cs="Times New Roman" w:eastAsia="Times New Roman" w:hAnsi="Times New Roman"/>
                <w:sz w:val="12"/>
                <w:szCs w:val="12"/>
                <w:color w:val="auto"/>
              </w:rPr>
              <w:t>Key indicators:</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Merchant bankcard processing dollar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146,595</w:t>
            </w:r>
          </w:p>
        </w:tc>
        <w:tc>
          <w:tcPr>
            <w:tcW w:w="80" w:type="dxa"/>
            <w:vAlign w:val="bottom"/>
          </w:tcPr>
          <w:p>
            <w:pPr>
              <w:spacing w:after="0"/>
              <w:rPr>
                <w:sz w:val="13"/>
                <w:szCs w:val="13"/>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97,447</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526,812</w:t>
            </w:r>
          </w:p>
        </w:tc>
        <w:tc>
          <w:tcPr>
            <w:tcW w:w="80" w:type="dxa"/>
            <w:vAlign w:val="bottom"/>
          </w:tcPr>
          <w:p>
            <w:pPr>
              <w:spacing w:after="0"/>
              <w:rPr>
                <w:sz w:val="13"/>
                <w:szCs w:val="13"/>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323,502</w:t>
            </w:r>
          </w:p>
        </w:tc>
        <w:tc>
          <w:tcPr>
            <w:tcW w:w="0" w:type="dxa"/>
            <w:vAlign w:val="bottom"/>
          </w:tcPr>
          <w:p>
            <w:pPr>
              <w:spacing w:after="0"/>
              <w:rPr>
                <w:sz w:val="1"/>
                <w:szCs w:val="1"/>
                <w:color w:val="auto"/>
              </w:rPr>
            </w:pPr>
          </w:p>
        </w:tc>
      </w:tr>
      <w:tr>
        <w:trPr>
          <w:trHeight w:val="149"/>
        </w:trPr>
        <w:tc>
          <w:tcPr>
            <w:tcW w:w="5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Merchant bankcard transaction volume</w:t>
            </w:r>
          </w:p>
        </w:tc>
        <w:tc>
          <w:tcPr>
            <w:tcW w:w="100" w:type="dxa"/>
            <w:vAlign w:val="bottom"/>
          </w:tcPr>
          <w:p>
            <w:pPr>
              <w:spacing w:after="0"/>
              <w:rPr>
                <w:sz w:val="12"/>
                <w:szCs w:val="12"/>
                <w:color w:val="auto"/>
              </w:rPr>
            </w:pP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65</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77</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304</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220</w:t>
            </w:r>
          </w:p>
        </w:tc>
        <w:tc>
          <w:tcPr>
            <w:tcW w:w="0" w:type="dxa"/>
            <w:vAlign w:val="bottom"/>
          </w:tcPr>
          <w:p>
            <w:pPr>
              <w:spacing w:after="0"/>
              <w:rPr>
                <w:sz w:val="1"/>
                <w:szCs w:val="1"/>
                <w:color w:val="auto"/>
              </w:rPr>
            </w:pPr>
          </w:p>
        </w:tc>
      </w:tr>
      <w:tr>
        <w:trPr>
          <w:trHeight w:val="157"/>
        </w:trPr>
        <w:tc>
          <w:tcPr>
            <w:tcW w:w="5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24,873</w:t>
            </w:r>
          </w:p>
        </w:tc>
        <w:tc>
          <w:tcPr>
            <w:tcW w:w="80" w:type="dxa"/>
            <w:vAlign w:val="bottom"/>
          </w:tcPr>
          <w:p>
            <w:pPr>
              <w:spacing w:after="0"/>
              <w:rPr>
                <w:sz w:val="13"/>
                <w:szCs w:val="13"/>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17,150</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82,514</w:t>
            </w:r>
          </w:p>
        </w:tc>
        <w:tc>
          <w:tcPr>
            <w:tcW w:w="80" w:type="dxa"/>
            <w:vAlign w:val="bottom"/>
          </w:tcPr>
          <w:p>
            <w:pPr>
              <w:spacing w:after="0"/>
              <w:rPr>
                <w:sz w:val="13"/>
                <w:szCs w:val="13"/>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22,133</w:t>
            </w:r>
          </w:p>
        </w:tc>
        <w:tc>
          <w:tcPr>
            <w:tcW w:w="0" w:type="dxa"/>
            <w:vAlign w:val="bottom"/>
          </w:tcPr>
          <w:p>
            <w:pPr>
              <w:spacing w:after="0"/>
              <w:rPr>
                <w:sz w:val="1"/>
                <w:szCs w:val="1"/>
                <w:color w:val="auto"/>
              </w:rPr>
            </w:pPr>
          </w:p>
        </w:tc>
      </w:tr>
      <w:tr>
        <w:trPr>
          <w:trHeight w:val="155"/>
        </w:trPr>
        <w:tc>
          <w:tcPr>
            <w:tcW w:w="5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Operating expenses</w:t>
            </w: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13,440</w:t>
            </w: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11,952</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51,577</w:t>
            </w: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15,370</w:t>
            </w:r>
          </w:p>
        </w:tc>
        <w:tc>
          <w:tcPr>
            <w:tcW w:w="0" w:type="dxa"/>
            <w:vAlign w:val="bottom"/>
          </w:tcPr>
          <w:p>
            <w:pPr>
              <w:spacing w:after="0"/>
              <w:rPr>
                <w:sz w:val="1"/>
                <w:szCs w:val="1"/>
                <w:color w:val="auto"/>
              </w:rPr>
            </w:pPr>
          </w:p>
        </w:tc>
      </w:tr>
      <w:tr>
        <w:trPr>
          <w:trHeight w:val="142"/>
        </w:trPr>
        <w:tc>
          <w:tcPr>
            <w:tcW w:w="544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11,433</w:t>
            </w:r>
          </w:p>
        </w:tc>
        <w:tc>
          <w:tcPr>
            <w:tcW w:w="80" w:type="dxa"/>
            <w:vAlign w:val="bottom"/>
          </w:tcPr>
          <w:p>
            <w:pPr>
              <w:spacing w:after="0"/>
              <w:rPr>
                <w:sz w:val="12"/>
                <w:szCs w:val="12"/>
                <w:color w:val="auto"/>
              </w:rPr>
            </w:pPr>
          </w:p>
        </w:tc>
        <w:tc>
          <w:tcPr>
            <w:tcW w:w="3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5,198</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30,937</w:t>
            </w:r>
          </w:p>
        </w:tc>
        <w:tc>
          <w:tcPr>
            <w:tcW w:w="80" w:type="dxa"/>
            <w:vAlign w:val="bottom"/>
          </w:tcPr>
          <w:p>
            <w:pPr>
              <w:spacing w:after="0"/>
              <w:rPr>
                <w:sz w:val="12"/>
                <w:szCs w:val="12"/>
                <w:color w:val="auto"/>
              </w:rPr>
            </w:pPr>
          </w:p>
        </w:tc>
        <w:tc>
          <w:tcPr>
            <w:tcW w:w="44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6,763</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Operating margin</w:t>
            </w: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5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46.0 %</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30.3 %</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37.5 %</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30.6 %</w:t>
            </w:r>
          </w:p>
        </w:tc>
        <w:tc>
          <w:tcPr>
            <w:tcW w:w="0" w:type="dxa"/>
            <w:vAlign w:val="bottom"/>
          </w:tcPr>
          <w:p>
            <w:pPr>
              <w:spacing w:after="0"/>
              <w:rPr>
                <w:sz w:val="1"/>
                <w:szCs w:val="1"/>
                <w:color w:val="auto"/>
              </w:rPr>
            </w:pPr>
          </w:p>
        </w:tc>
      </w:tr>
      <w:tr>
        <w:trPr>
          <w:trHeight w:val="153"/>
        </w:trPr>
        <w:tc>
          <w:tcPr>
            <w:tcW w:w="5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6,293</w:t>
            </w:r>
          </w:p>
        </w:tc>
        <w:tc>
          <w:tcPr>
            <w:tcW w:w="80" w:type="dxa"/>
            <w:vAlign w:val="bottom"/>
          </w:tcPr>
          <w:p>
            <w:pPr>
              <w:spacing w:after="0"/>
              <w:rPr>
                <w:sz w:val="13"/>
                <w:szCs w:val="13"/>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6,219</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24,892</w:t>
            </w:r>
          </w:p>
        </w:tc>
        <w:tc>
          <w:tcPr>
            <w:tcW w:w="80" w:type="dxa"/>
            <w:vAlign w:val="bottom"/>
          </w:tcPr>
          <w:p>
            <w:pPr>
              <w:spacing w:after="0"/>
              <w:rPr>
                <w:sz w:val="13"/>
                <w:szCs w:val="13"/>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7,158</w:t>
            </w:r>
          </w:p>
        </w:tc>
        <w:tc>
          <w:tcPr>
            <w:tcW w:w="0" w:type="dxa"/>
            <w:vAlign w:val="bottom"/>
          </w:tcPr>
          <w:p>
            <w:pPr>
              <w:spacing w:after="0"/>
              <w:rPr>
                <w:sz w:val="1"/>
                <w:szCs w:val="1"/>
                <w:color w:val="auto"/>
              </w:rPr>
            </w:pPr>
          </w:p>
        </w:tc>
      </w:tr>
      <w:tr>
        <w:trPr>
          <w:trHeight w:val="153"/>
        </w:trPr>
        <w:tc>
          <w:tcPr>
            <w:tcW w:w="5440" w:type="dxa"/>
            <w:vAlign w:val="bottom"/>
          </w:tcPr>
          <w:p>
            <w:pPr>
              <w:spacing w:after="0"/>
              <w:rPr>
                <w:sz w:val="20"/>
                <w:szCs w:val="20"/>
                <w:color w:val="auto"/>
              </w:rPr>
            </w:pPr>
            <w:r>
              <w:rPr>
                <w:rFonts w:ascii="Times New Roman" w:cs="Times New Roman" w:eastAsia="Times New Roman" w:hAnsi="Times New Roman"/>
                <w:sz w:val="12"/>
                <w:szCs w:val="12"/>
                <w:color w:val="auto"/>
              </w:rPr>
              <w:t>Key indicators:</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Merchant bankcard processing dollar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571,485</w:t>
            </w:r>
          </w:p>
        </w:tc>
        <w:tc>
          <w:tcPr>
            <w:tcW w:w="80" w:type="dxa"/>
            <w:vAlign w:val="bottom"/>
          </w:tcPr>
          <w:p>
            <w:pPr>
              <w:spacing w:after="0"/>
              <w:rPr>
                <w:sz w:val="13"/>
                <w:szCs w:val="13"/>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13,573</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1,760,518</w:t>
            </w:r>
          </w:p>
        </w:tc>
        <w:tc>
          <w:tcPr>
            <w:tcW w:w="80" w:type="dxa"/>
            <w:vAlign w:val="bottom"/>
          </w:tcPr>
          <w:p>
            <w:pPr>
              <w:spacing w:after="0"/>
              <w:rPr>
                <w:sz w:val="13"/>
                <w:szCs w:val="13"/>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52,376</w:t>
            </w:r>
          </w:p>
        </w:tc>
        <w:tc>
          <w:tcPr>
            <w:tcW w:w="0" w:type="dxa"/>
            <w:vAlign w:val="bottom"/>
          </w:tcPr>
          <w:p>
            <w:pPr>
              <w:spacing w:after="0"/>
              <w:rPr>
                <w:sz w:val="1"/>
                <w:szCs w:val="1"/>
                <w:color w:val="auto"/>
              </w:rPr>
            </w:pPr>
          </w:p>
        </w:tc>
      </w:tr>
      <w:tr>
        <w:trPr>
          <w:trHeight w:val="153"/>
        </w:trPr>
        <w:tc>
          <w:tcPr>
            <w:tcW w:w="5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Merchant bankcard transaction volume</w:t>
            </w:r>
          </w:p>
        </w:tc>
        <w:tc>
          <w:tcPr>
            <w:tcW w:w="100" w:type="dxa"/>
            <w:vAlign w:val="bottom"/>
          </w:tcPr>
          <w:p>
            <w:pPr>
              <w:spacing w:after="0"/>
              <w:rPr>
                <w:sz w:val="13"/>
                <w:szCs w:val="13"/>
                <w:color w:val="auto"/>
              </w:rPr>
            </w:pP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756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144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2,779</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549</w:t>
            </w:r>
          </w:p>
        </w:tc>
        <w:tc>
          <w:tcPr>
            <w:tcW w:w="0" w:type="dxa"/>
            <w:vAlign w:val="bottom"/>
          </w:tcPr>
          <w:p>
            <w:pPr>
              <w:spacing w:after="0"/>
              <w:rPr>
                <w:sz w:val="1"/>
                <w:szCs w:val="1"/>
                <w:color w:val="auto"/>
              </w:rPr>
            </w:pPr>
          </w:p>
        </w:tc>
      </w:tr>
      <w:tr>
        <w:trPr>
          <w:trHeight w:val="155"/>
        </w:trPr>
        <w:tc>
          <w:tcPr>
            <w:tcW w:w="54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Average billed clients</w:t>
            </w:r>
          </w:p>
        </w:tc>
        <w:tc>
          <w:tcPr>
            <w:tcW w:w="100" w:type="dxa"/>
            <w:vAlign w:val="bottom"/>
          </w:tcPr>
          <w:p>
            <w:pPr>
              <w:spacing w:after="0"/>
              <w:rPr>
                <w:sz w:val="13"/>
                <w:szCs w:val="13"/>
                <w:color w:val="auto"/>
              </w:rPr>
            </w:pP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424,601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341,339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380,233</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345,828</w:t>
            </w:r>
          </w:p>
        </w:tc>
        <w:tc>
          <w:tcPr>
            <w:tcW w:w="0" w:type="dxa"/>
            <w:vAlign w:val="bottom"/>
          </w:tcPr>
          <w:p>
            <w:pPr>
              <w:spacing w:after="0"/>
              <w:rPr>
                <w:sz w:val="1"/>
                <w:szCs w:val="1"/>
                <w:color w:val="auto"/>
              </w:rPr>
            </w:pPr>
          </w:p>
        </w:tc>
      </w:tr>
      <w:tr>
        <w:trPr>
          <w:trHeight w:val="322"/>
        </w:trPr>
        <w:tc>
          <w:tcPr>
            <w:tcW w:w="5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income of reportable segments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25,290</w:t>
            </w:r>
          </w:p>
        </w:tc>
        <w:tc>
          <w:tcPr>
            <w:tcW w:w="80" w:type="dxa"/>
            <w:vAlign w:val="bottom"/>
          </w:tcPr>
          <w:p>
            <w:pPr>
              <w:spacing w:after="0"/>
              <w:rPr>
                <w:sz w:val="24"/>
                <w:szCs w:val="24"/>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16,253</w:t>
            </w:r>
          </w:p>
        </w:tc>
        <w:tc>
          <w:tcPr>
            <w:tcW w:w="80" w:type="dxa"/>
            <w:vAlign w:val="bottom"/>
          </w:tcPr>
          <w:p>
            <w:pPr>
              <w:spacing w:after="0"/>
              <w:rPr>
                <w:sz w:val="24"/>
                <w:szCs w:val="24"/>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86,011</w:t>
            </w:r>
          </w:p>
        </w:tc>
        <w:tc>
          <w:tcPr>
            <w:tcW w:w="80" w:type="dxa"/>
            <w:vAlign w:val="bottom"/>
          </w:tcPr>
          <w:p>
            <w:pPr>
              <w:spacing w:after="0"/>
              <w:rPr>
                <w:sz w:val="24"/>
                <w:szCs w:val="24"/>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59,782</w:t>
            </w:r>
          </w:p>
        </w:tc>
        <w:tc>
          <w:tcPr>
            <w:tcW w:w="0" w:type="dxa"/>
            <w:vAlign w:val="bottom"/>
          </w:tcPr>
          <w:p>
            <w:pPr>
              <w:spacing w:after="0"/>
              <w:rPr>
                <w:sz w:val="1"/>
                <w:szCs w:val="1"/>
                <w:color w:val="auto"/>
              </w:rPr>
            </w:pPr>
          </w:p>
        </w:tc>
      </w:tr>
      <w:tr>
        <w:trPr>
          <w:trHeight w:val="155"/>
        </w:trPr>
        <w:tc>
          <w:tcPr>
            <w:tcW w:w="5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Corporate expense</w:t>
            </w: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(7,091)</w:t>
            </w: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(3,342)</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(29,846)</w:t>
            </w: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(26,689)</w:t>
            </w:r>
          </w:p>
        </w:tc>
        <w:tc>
          <w:tcPr>
            <w:tcW w:w="0" w:type="dxa"/>
            <w:vAlign w:val="bottom"/>
          </w:tcPr>
          <w:p>
            <w:pPr>
              <w:spacing w:after="0"/>
              <w:rPr>
                <w:sz w:val="1"/>
                <w:szCs w:val="1"/>
                <w:color w:val="auto"/>
              </w:rPr>
            </w:pPr>
          </w:p>
        </w:tc>
      </w:tr>
      <w:tr>
        <w:trPr>
          <w:trHeight w:val="142"/>
        </w:trPr>
        <w:tc>
          <w:tcPr>
            <w:tcW w:w="5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Consolidated operating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18,199</w:t>
            </w:r>
          </w:p>
        </w:tc>
        <w:tc>
          <w:tcPr>
            <w:tcW w:w="80" w:type="dxa"/>
            <w:vAlign w:val="bottom"/>
          </w:tcPr>
          <w:p>
            <w:pPr>
              <w:spacing w:after="0"/>
              <w:rPr>
                <w:sz w:val="12"/>
                <w:szCs w:val="12"/>
                <w:color w:val="auto"/>
              </w:rPr>
            </w:pPr>
          </w:p>
        </w:tc>
        <w:tc>
          <w:tcPr>
            <w:tcW w:w="3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12,911</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56,165</w:t>
            </w:r>
          </w:p>
        </w:tc>
        <w:tc>
          <w:tcPr>
            <w:tcW w:w="80" w:type="dxa"/>
            <w:vAlign w:val="bottom"/>
          </w:tcPr>
          <w:p>
            <w:pPr>
              <w:spacing w:after="0"/>
              <w:rPr>
                <w:sz w:val="12"/>
                <w:szCs w:val="12"/>
                <w:color w:val="auto"/>
              </w:rPr>
            </w:pPr>
          </w:p>
        </w:tc>
        <w:tc>
          <w:tcPr>
            <w:tcW w:w="44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33,093</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Corporate depreciation and amortization</w:t>
            </w: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5440" w:type="dxa"/>
            <w:vAlign w:val="bottom"/>
            <w:vMerge w:val="continue"/>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329</w:t>
            </w:r>
          </w:p>
        </w:tc>
        <w:tc>
          <w:tcPr>
            <w:tcW w:w="80" w:type="dxa"/>
            <w:vAlign w:val="bottom"/>
          </w:tcPr>
          <w:p>
            <w:pPr>
              <w:spacing w:after="0"/>
              <w:rPr>
                <w:sz w:val="11"/>
                <w:szCs w:val="11"/>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267</w:t>
            </w:r>
          </w:p>
        </w:tc>
        <w:tc>
          <w:tcPr>
            <w:tcW w:w="80" w:type="dxa"/>
            <w:vAlign w:val="bottom"/>
          </w:tcPr>
          <w:p>
            <w:pPr>
              <w:spacing w:after="0"/>
              <w:rPr>
                <w:sz w:val="11"/>
                <w:szCs w:val="11"/>
                <w:color w:val="auto"/>
              </w:rPr>
            </w:pPr>
          </w:p>
        </w:tc>
        <w:tc>
          <w:tcPr>
            <w:tcW w:w="340" w:type="dxa"/>
            <w:vAlign w:val="bottom"/>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1,120</w:t>
            </w:r>
          </w:p>
        </w:tc>
        <w:tc>
          <w:tcPr>
            <w:tcW w:w="80" w:type="dxa"/>
            <w:vAlign w:val="bottom"/>
          </w:tcPr>
          <w:p>
            <w:pPr>
              <w:spacing w:after="0"/>
              <w:rPr>
                <w:sz w:val="11"/>
                <w:szCs w:val="11"/>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1,101</w:t>
            </w:r>
          </w:p>
        </w:tc>
        <w:tc>
          <w:tcPr>
            <w:tcW w:w="0" w:type="dxa"/>
            <w:vAlign w:val="bottom"/>
          </w:tcPr>
          <w:p>
            <w:pPr>
              <w:spacing w:after="0"/>
              <w:rPr>
                <w:sz w:val="1"/>
                <w:szCs w:val="1"/>
                <w:color w:val="auto"/>
              </w:rPr>
            </w:pPr>
          </w:p>
        </w:tc>
      </w:tr>
      <w:tr>
        <w:trPr>
          <w:trHeight w:val="153"/>
        </w:trPr>
        <w:tc>
          <w:tcPr>
            <w:tcW w:w="5440" w:type="dxa"/>
            <w:vAlign w:val="bottom"/>
          </w:tcPr>
          <w:p>
            <w:pPr>
              <w:spacing w:after="0"/>
              <w:rPr>
                <w:sz w:val="20"/>
                <w:szCs w:val="20"/>
                <w:color w:val="auto"/>
              </w:rPr>
            </w:pPr>
            <w:r>
              <w:rPr>
                <w:rFonts w:ascii="Times New Roman" w:cs="Times New Roman" w:eastAsia="Times New Roman" w:hAnsi="Times New Roman"/>
                <w:sz w:val="12"/>
                <w:szCs w:val="12"/>
                <w:color w:val="auto"/>
              </w:rPr>
              <w:t>Key indicators:</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Merchant bankcard processing dollar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15,580,715</w:t>
            </w:r>
          </w:p>
        </w:tc>
        <w:tc>
          <w:tcPr>
            <w:tcW w:w="80" w:type="dxa"/>
            <w:vAlign w:val="bottom"/>
          </w:tcPr>
          <w:p>
            <w:pPr>
              <w:spacing w:after="0"/>
              <w:rPr>
                <w:sz w:val="13"/>
                <w:szCs w:val="13"/>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13,958,845</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61,727,821</w:t>
            </w:r>
          </w:p>
        </w:tc>
        <w:tc>
          <w:tcPr>
            <w:tcW w:w="80" w:type="dxa"/>
            <w:vAlign w:val="bottom"/>
          </w:tcPr>
          <w:p>
            <w:pPr>
              <w:spacing w:after="0"/>
              <w:rPr>
                <w:sz w:val="13"/>
                <w:szCs w:val="13"/>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53,787,500</w:t>
            </w:r>
          </w:p>
        </w:tc>
        <w:tc>
          <w:tcPr>
            <w:tcW w:w="0" w:type="dxa"/>
            <w:vAlign w:val="bottom"/>
          </w:tcPr>
          <w:p>
            <w:pPr>
              <w:spacing w:after="0"/>
              <w:rPr>
                <w:sz w:val="1"/>
                <w:szCs w:val="1"/>
                <w:color w:val="auto"/>
              </w:rPr>
            </w:pPr>
          </w:p>
        </w:tc>
      </w:tr>
      <w:tr>
        <w:trPr>
          <w:trHeight w:val="153"/>
        </w:trPr>
        <w:tc>
          <w:tcPr>
            <w:tcW w:w="5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Merchant bankcard transaction volume</w:t>
            </w:r>
          </w:p>
        </w:tc>
        <w:tc>
          <w:tcPr>
            <w:tcW w:w="100" w:type="dxa"/>
            <w:vAlign w:val="bottom"/>
          </w:tcPr>
          <w:p>
            <w:pPr>
              <w:spacing w:after="0"/>
              <w:rPr>
                <w:sz w:val="13"/>
                <w:szCs w:val="13"/>
                <w:color w:val="auto"/>
              </w:rPr>
            </w:pP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161,313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147,359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639,659</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578,871</w:t>
            </w:r>
          </w:p>
        </w:tc>
        <w:tc>
          <w:tcPr>
            <w:tcW w:w="0" w:type="dxa"/>
            <w:vAlign w:val="bottom"/>
          </w:tcPr>
          <w:p>
            <w:pPr>
              <w:spacing w:after="0"/>
              <w:rPr>
                <w:sz w:val="1"/>
                <w:szCs w:val="1"/>
                <w:color w:val="auto"/>
              </w:rPr>
            </w:pPr>
          </w:p>
        </w:tc>
      </w:tr>
      <w:tr>
        <w:trPr>
          <w:trHeight w:val="155"/>
        </w:trPr>
        <w:tc>
          <w:tcPr>
            <w:tcW w:w="54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Average number of billed clients</w:t>
            </w:r>
          </w:p>
        </w:tc>
        <w:tc>
          <w:tcPr>
            <w:tcW w:w="100" w:type="dxa"/>
            <w:vAlign w:val="bottom"/>
          </w:tcPr>
          <w:p>
            <w:pPr>
              <w:spacing w:after="0"/>
              <w:rPr>
                <w:sz w:val="13"/>
                <w:szCs w:val="13"/>
                <w:color w:val="auto"/>
              </w:rPr>
            </w:pP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424,601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341,339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380,233</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345,828</w:t>
            </w:r>
          </w:p>
        </w:tc>
        <w:tc>
          <w:tcPr>
            <w:tcW w:w="0" w:type="dxa"/>
            <w:vAlign w:val="bottom"/>
          </w:tcPr>
          <w:p>
            <w:pPr>
              <w:spacing w:after="0"/>
              <w:rPr>
                <w:sz w:val="1"/>
                <w:szCs w:val="1"/>
                <w:color w:val="auto"/>
              </w:rPr>
            </w:pPr>
          </w:p>
        </w:tc>
      </w:tr>
      <w:tr>
        <w:trPr>
          <w:trHeight w:val="873"/>
        </w:trPr>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right"/>
              <w:ind w:right="1080"/>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96" w:right="319" w:bottom="1440"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lvl w:ilvl="1">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2023-03-23T07:06:43Z</dcterms:created>
  <dcterms:modified xsi:type="dcterms:W3CDTF">2023-03-23T07:06:43Z</dcterms:modified>
</cp:coreProperties>
</file>