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7"/>
          <w:szCs w:val="17"/>
          <w:b w:val="1"/>
          <w:bCs w:val="1"/>
          <w:color w:val="auto"/>
        </w:rPr>
        <w:t>As filed with the Securities and Exchange Commission on January 22, 2019</w:t>
      </w:r>
    </w:p>
    <w:p>
      <w:pPr>
        <w:spacing w:after="0" w:line="214" w:lineRule="exact"/>
        <w:rPr>
          <w:sz w:val="24"/>
          <w:szCs w:val="24"/>
          <w:color w:val="auto"/>
        </w:rPr>
      </w:pPr>
    </w:p>
    <w:p>
      <w:pPr>
        <w:ind w:left="7640"/>
        <w:spacing w:after="0"/>
        <w:rPr>
          <w:sz w:val="20"/>
          <w:szCs w:val="20"/>
          <w:color w:val="auto"/>
        </w:rPr>
      </w:pPr>
      <w:r>
        <w:rPr>
          <w:rFonts w:ascii="Arial" w:cs="Arial" w:eastAsia="Arial" w:hAnsi="Arial"/>
          <w:sz w:val="21"/>
          <w:szCs w:val="21"/>
          <w:b w:val="1"/>
          <w:bCs w:val="1"/>
          <w:color w:val="auto"/>
        </w:rPr>
        <w:t>Registration No. 333-228645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25106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41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wp:posOffset>
            </wp:positionV>
            <wp:extent cx="7251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16" w:lineRule="exact"/>
        <w:rPr>
          <w:sz w:val="24"/>
          <w:szCs w:val="24"/>
          <w:color w:val="auto"/>
        </w:rPr>
      </w:pPr>
    </w:p>
    <w:p>
      <w:pPr>
        <w:ind w:left="4880"/>
        <w:spacing w:after="0"/>
        <w:rPr>
          <w:sz w:val="20"/>
          <w:szCs w:val="20"/>
          <w:color w:val="auto"/>
        </w:rPr>
      </w:pPr>
      <w:r>
        <w:rPr>
          <w:rFonts w:ascii="Arial" w:cs="Arial" w:eastAsia="Arial" w:hAnsi="Arial"/>
          <w:sz w:val="17"/>
          <w:szCs w:val="17"/>
          <w:b w:val="1"/>
          <w:bCs w:val="1"/>
          <w:color w:val="auto"/>
        </w:rPr>
        <w:t>AMENDMENT NO. 2</w:t>
      </w:r>
    </w:p>
    <w:p>
      <w:pPr>
        <w:spacing w:after="0" w:line="32" w:lineRule="exact"/>
        <w:rPr>
          <w:sz w:val="24"/>
          <w:szCs w:val="24"/>
          <w:color w:val="auto"/>
        </w:rPr>
      </w:pPr>
    </w:p>
    <w:p>
      <w:pPr>
        <w:ind w:left="5580"/>
        <w:spacing w:after="0"/>
        <w:rPr>
          <w:sz w:val="20"/>
          <w:szCs w:val="20"/>
          <w:color w:val="auto"/>
        </w:rPr>
      </w:pPr>
      <w:r>
        <w:rPr>
          <w:rFonts w:ascii="Arial" w:cs="Arial" w:eastAsia="Arial" w:hAnsi="Arial"/>
          <w:sz w:val="17"/>
          <w:szCs w:val="17"/>
          <w:b w:val="1"/>
          <w:bCs w:val="1"/>
          <w:color w:val="auto"/>
        </w:rPr>
        <w:t>TO</w:t>
      </w:r>
    </w:p>
    <w:p>
      <w:pPr>
        <w:spacing w:after="0" w:line="14" w:lineRule="exact"/>
        <w:rPr>
          <w:sz w:val="24"/>
          <w:szCs w:val="24"/>
          <w:color w:val="auto"/>
        </w:rPr>
      </w:pPr>
    </w:p>
    <w:p>
      <w:pPr>
        <w:ind w:left="5280"/>
        <w:spacing w:after="0"/>
        <w:rPr>
          <w:sz w:val="20"/>
          <w:szCs w:val="20"/>
          <w:color w:val="auto"/>
        </w:rPr>
      </w:pPr>
      <w:r>
        <w:rPr>
          <w:rFonts w:ascii="Arial" w:cs="Arial" w:eastAsia="Arial" w:hAnsi="Arial"/>
          <w:sz w:val="17"/>
          <w:szCs w:val="17"/>
          <w:b w:val="1"/>
          <w:bCs w:val="1"/>
          <w:color w:val="auto"/>
        </w:rPr>
        <w:t>FORM S-4</w:t>
      </w:r>
    </w:p>
    <w:p>
      <w:pPr>
        <w:spacing w:after="0" w:line="14" w:lineRule="exact"/>
        <w:rPr>
          <w:sz w:val="24"/>
          <w:szCs w:val="24"/>
          <w:color w:val="auto"/>
        </w:rPr>
      </w:pPr>
    </w:p>
    <w:p>
      <w:pPr>
        <w:ind w:left="4460"/>
        <w:spacing w:after="0"/>
        <w:rPr>
          <w:sz w:val="20"/>
          <w:szCs w:val="20"/>
          <w:color w:val="auto"/>
        </w:rPr>
      </w:pPr>
      <w:r>
        <w:rPr>
          <w:rFonts w:ascii="Arial" w:cs="Arial" w:eastAsia="Arial" w:hAnsi="Arial"/>
          <w:sz w:val="17"/>
          <w:szCs w:val="17"/>
          <w:b w:val="1"/>
          <w:bCs w:val="1"/>
          <w:color w:val="auto"/>
        </w:rPr>
        <w:t>REGISTRATION STATEMENT</w:t>
      </w:r>
    </w:p>
    <w:p>
      <w:pPr>
        <w:spacing w:after="0" w:line="14" w:lineRule="exact"/>
        <w:rPr>
          <w:sz w:val="24"/>
          <w:szCs w:val="24"/>
          <w:color w:val="auto"/>
        </w:rPr>
      </w:pPr>
    </w:p>
    <w:p>
      <w:pPr>
        <w:ind w:left="5380"/>
        <w:spacing w:after="0"/>
        <w:rPr>
          <w:sz w:val="20"/>
          <w:szCs w:val="20"/>
          <w:color w:val="auto"/>
        </w:rPr>
      </w:pPr>
      <w:r>
        <w:rPr>
          <w:rFonts w:ascii="Arial" w:cs="Arial" w:eastAsia="Arial" w:hAnsi="Arial"/>
          <w:sz w:val="17"/>
          <w:szCs w:val="17"/>
          <w:b w:val="1"/>
          <w:bCs w:val="1"/>
          <w:i w:val="1"/>
          <w:iCs w:val="1"/>
          <w:color w:val="auto"/>
        </w:rPr>
        <w:t>UNDER</w:t>
      </w:r>
    </w:p>
    <w:p>
      <w:pPr>
        <w:spacing w:after="0" w:line="14" w:lineRule="exact"/>
        <w:rPr>
          <w:sz w:val="24"/>
          <w:szCs w:val="24"/>
          <w:color w:val="auto"/>
        </w:rPr>
      </w:pPr>
    </w:p>
    <w:p>
      <w:pPr>
        <w:ind w:left="4460"/>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Priority Technology Holdings, Inc.</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173990</wp:posOffset>
            </wp:positionV>
            <wp:extent cx="145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800" w:type="dxa"/>
        <w:tblCellMar>
          <w:top w:w="0" w:type="dxa"/>
          <w:left w:w="0" w:type="dxa"/>
          <w:bottom w:w="0" w:type="dxa"/>
          <w:right w:w="0" w:type="dxa"/>
        </w:tblCellMar>
      </w:tblPr>
      <w:tr>
        <w:trPr>
          <w:trHeight w:val="209"/>
        </w:trPr>
        <w:tc>
          <w:tcPr>
            <w:tcW w:w="3060" w:type="dxa"/>
            <w:vAlign w:val="bottom"/>
          </w:tcPr>
          <w:p>
            <w:pPr>
              <w:jc w:val="center"/>
              <w:ind w:right="673"/>
              <w:spacing w:after="0"/>
              <w:rPr>
                <w:sz w:val="20"/>
                <w:szCs w:val="20"/>
                <w:color w:val="auto"/>
              </w:rPr>
            </w:pPr>
            <w:r>
              <w:rPr>
                <w:rFonts w:ascii="Arial" w:cs="Arial" w:eastAsia="Arial" w:hAnsi="Arial"/>
                <w:sz w:val="17"/>
                <w:szCs w:val="17"/>
                <w:b w:val="1"/>
                <w:bCs w:val="1"/>
                <w:color w:val="auto"/>
                <w:w w:val="93"/>
              </w:rPr>
              <w:t>Delaware</w:t>
            </w: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89"/>
              </w:rPr>
              <w:t>7389</w:t>
            </w:r>
          </w:p>
        </w:tc>
        <w:tc>
          <w:tcPr>
            <w:tcW w:w="2640" w:type="dxa"/>
            <w:vAlign w:val="bottom"/>
          </w:tcPr>
          <w:p>
            <w:pPr>
              <w:jc w:val="center"/>
              <w:ind w:left="833"/>
              <w:spacing w:after="0"/>
              <w:rPr>
                <w:sz w:val="20"/>
                <w:szCs w:val="20"/>
                <w:color w:val="auto"/>
              </w:rPr>
            </w:pPr>
            <w:r>
              <w:rPr>
                <w:rFonts w:ascii="Arial" w:cs="Arial" w:eastAsia="Arial" w:hAnsi="Arial"/>
                <w:sz w:val="17"/>
                <w:szCs w:val="17"/>
                <w:b w:val="1"/>
                <w:bCs w:val="1"/>
                <w:color w:val="auto"/>
                <w:w w:val="92"/>
              </w:rPr>
              <w:t>47-4257046</w:t>
            </w:r>
          </w:p>
        </w:tc>
      </w:tr>
      <w:tr>
        <w:trPr>
          <w:trHeight w:val="209"/>
        </w:trPr>
        <w:tc>
          <w:tcPr>
            <w:tcW w:w="3060" w:type="dxa"/>
            <w:vAlign w:val="bottom"/>
          </w:tcPr>
          <w:p>
            <w:pPr>
              <w:jc w:val="center"/>
              <w:ind w:right="713"/>
              <w:spacing w:after="0"/>
              <w:rPr>
                <w:sz w:val="20"/>
                <w:szCs w:val="20"/>
                <w:color w:val="auto"/>
              </w:rPr>
            </w:pPr>
            <w:r>
              <w:rPr>
                <w:rFonts w:ascii="Arial" w:cs="Arial" w:eastAsia="Arial" w:hAnsi="Arial"/>
                <w:sz w:val="17"/>
                <w:szCs w:val="17"/>
                <w:b w:val="1"/>
                <w:bCs w:val="1"/>
                <w:color w:val="auto"/>
                <w:w w:val="93"/>
              </w:rPr>
              <w:t>(State or other jurisdiction of</w:t>
            </w:r>
          </w:p>
        </w:tc>
        <w:tc>
          <w:tcPr>
            <w:tcW w:w="3900" w:type="dxa"/>
            <w:vAlign w:val="bottom"/>
          </w:tcPr>
          <w:p>
            <w:pPr>
              <w:jc w:val="center"/>
              <w:ind w:right="33"/>
              <w:spacing w:after="0"/>
              <w:rPr>
                <w:sz w:val="20"/>
                <w:szCs w:val="20"/>
                <w:color w:val="auto"/>
              </w:rPr>
            </w:pPr>
            <w:r>
              <w:rPr>
                <w:rFonts w:ascii="Arial" w:cs="Arial" w:eastAsia="Arial" w:hAnsi="Arial"/>
                <w:sz w:val="17"/>
                <w:szCs w:val="17"/>
                <w:b w:val="1"/>
                <w:bCs w:val="1"/>
                <w:color w:val="auto"/>
                <w:w w:val="97"/>
              </w:rPr>
              <w:t>(Primary Standard Industrial</w:t>
            </w:r>
          </w:p>
        </w:tc>
        <w:tc>
          <w:tcPr>
            <w:tcW w:w="2640" w:type="dxa"/>
            <w:vAlign w:val="bottom"/>
          </w:tcPr>
          <w:p>
            <w:pPr>
              <w:jc w:val="center"/>
              <w:ind w:left="773"/>
              <w:spacing w:after="0"/>
              <w:rPr>
                <w:sz w:val="20"/>
                <w:szCs w:val="20"/>
                <w:color w:val="auto"/>
              </w:rPr>
            </w:pPr>
            <w:r>
              <w:rPr>
                <w:rFonts w:ascii="Arial" w:cs="Arial" w:eastAsia="Arial" w:hAnsi="Arial"/>
                <w:sz w:val="17"/>
                <w:szCs w:val="17"/>
                <w:b w:val="1"/>
                <w:bCs w:val="1"/>
                <w:color w:val="auto"/>
                <w:w w:val="96"/>
              </w:rPr>
              <w:t>(I.R.S. Employer</w:t>
            </w:r>
          </w:p>
        </w:tc>
      </w:tr>
      <w:tr>
        <w:trPr>
          <w:trHeight w:val="227"/>
        </w:trPr>
        <w:tc>
          <w:tcPr>
            <w:tcW w:w="3060" w:type="dxa"/>
            <w:vAlign w:val="bottom"/>
          </w:tcPr>
          <w:p>
            <w:pPr>
              <w:jc w:val="center"/>
              <w:ind w:right="693"/>
              <w:spacing w:after="0"/>
              <w:rPr>
                <w:sz w:val="20"/>
                <w:szCs w:val="20"/>
                <w:color w:val="auto"/>
              </w:rPr>
            </w:pPr>
            <w:r>
              <w:rPr>
                <w:rFonts w:ascii="Arial" w:cs="Arial" w:eastAsia="Arial" w:hAnsi="Arial"/>
                <w:sz w:val="17"/>
                <w:szCs w:val="17"/>
                <w:b w:val="1"/>
                <w:bCs w:val="1"/>
                <w:color w:val="auto"/>
                <w:w w:val="93"/>
              </w:rPr>
              <w:t>incorporation or organization)</w:t>
            </w:r>
          </w:p>
        </w:tc>
        <w:tc>
          <w:tcPr>
            <w:tcW w:w="3900" w:type="dxa"/>
            <w:vAlign w:val="bottom"/>
          </w:tcPr>
          <w:p>
            <w:pPr>
              <w:jc w:val="center"/>
              <w:spacing w:after="0"/>
              <w:rPr>
                <w:sz w:val="20"/>
                <w:szCs w:val="20"/>
                <w:color w:val="auto"/>
              </w:rPr>
            </w:pPr>
            <w:r>
              <w:rPr>
                <w:rFonts w:ascii="Arial" w:cs="Arial" w:eastAsia="Arial" w:hAnsi="Arial"/>
                <w:sz w:val="17"/>
                <w:szCs w:val="17"/>
                <w:b w:val="1"/>
                <w:bCs w:val="1"/>
                <w:color w:val="auto"/>
                <w:w w:val="92"/>
              </w:rPr>
              <w:t>Classification Code Number)</w:t>
            </w:r>
          </w:p>
        </w:tc>
        <w:tc>
          <w:tcPr>
            <w:tcW w:w="2640" w:type="dxa"/>
            <w:vAlign w:val="bottom"/>
          </w:tcPr>
          <w:p>
            <w:pPr>
              <w:jc w:val="center"/>
              <w:ind w:left="833"/>
              <w:spacing w:after="0"/>
              <w:rPr>
                <w:sz w:val="20"/>
                <w:szCs w:val="20"/>
                <w:color w:val="auto"/>
              </w:rPr>
            </w:pPr>
            <w:r>
              <w:rPr>
                <w:rFonts w:ascii="Arial" w:cs="Arial" w:eastAsia="Arial" w:hAnsi="Arial"/>
                <w:sz w:val="17"/>
                <w:szCs w:val="17"/>
                <w:b w:val="1"/>
                <w:bCs w:val="1"/>
                <w:color w:val="auto"/>
                <w:w w:val="95"/>
              </w:rPr>
              <w:t>Identification Number)</w:t>
            </w:r>
          </w:p>
        </w:tc>
      </w:tr>
    </w:tbl>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2001 Westside Parkway</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Alpharetta, GA 30004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(800) 935-5961</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Christopher Prince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General Counsel</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2001 Westside Parkway</w:t>
      </w:r>
    </w:p>
    <w:p>
      <w:pPr>
        <w:spacing w:after="0" w:line="14" w:lineRule="exact"/>
        <w:rPr>
          <w:sz w:val="24"/>
          <w:szCs w:val="24"/>
          <w:color w:val="auto"/>
        </w:rPr>
      </w:pPr>
    </w:p>
    <w:p>
      <w:pPr>
        <w:ind w:left="4860"/>
        <w:spacing w:after="0"/>
        <w:rPr>
          <w:sz w:val="20"/>
          <w:szCs w:val="20"/>
          <w:color w:val="auto"/>
        </w:rPr>
      </w:pPr>
      <w:r>
        <w:rPr>
          <w:rFonts w:ascii="Arial" w:cs="Arial" w:eastAsia="Arial" w:hAnsi="Arial"/>
          <w:sz w:val="17"/>
          <w:szCs w:val="17"/>
          <w:b w:val="1"/>
          <w:bCs w:val="1"/>
          <w:color w:val="auto"/>
        </w:rPr>
        <w:t>Alpharetta, GA 30004</w:t>
      </w:r>
    </w:p>
    <w:p>
      <w:pPr>
        <w:spacing w:after="0" w:line="14" w:lineRule="exact"/>
        <w:rPr>
          <w:sz w:val="24"/>
          <w:szCs w:val="24"/>
          <w:color w:val="auto"/>
        </w:rPr>
      </w:pPr>
    </w:p>
    <w:p>
      <w:pPr>
        <w:ind w:left="5140"/>
        <w:spacing w:after="0"/>
        <w:rPr>
          <w:sz w:val="20"/>
          <w:szCs w:val="20"/>
          <w:color w:val="auto"/>
        </w:rPr>
      </w:pPr>
      <w:r>
        <w:rPr>
          <w:rFonts w:ascii="Arial" w:cs="Arial" w:eastAsia="Arial" w:hAnsi="Arial"/>
          <w:sz w:val="17"/>
          <w:szCs w:val="17"/>
          <w:b w:val="1"/>
          <w:bCs w:val="1"/>
          <w:color w:val="auto"/>
        </w:rPr>
        <w:t>(800) 935-5961</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tbl>
      <w:tblPr>
        <w:tblLayout w:type="fixed"/>
        <w:tblInd w:w="1860" w:type="dxa"/>
        <w:tblCellMar>
          <w:top w:w="0" w:type="dxa"/>
          <w:left w:w="0" w:type="dxa"/>
          <w:bottom w:w="0" w:type="dxa"/>
          <w:right w:w="0" w:type="dxa"/>
        </w:tblCellMar>
      </w:tblPr>
      <w:tr>
        <w:trPr>
          <w:trHeight w:val="221"/>
        </w:trPr>
        <w:tc>
          <w:tcPr>
            <w:tcW w:w="2740" w:type="dxa"/>
            <w:vAlign w:val="bottom"/>
          </w:tcPr>
          <w:p>
            <w:pPr>
              <w:spacing w:after="0"/>
              <w:rPr>
                <w:sz w:val="19"/>
                <w:szCs w:val="19"/>
                <w:color w:val="auto"/>
              </w:rPr>
            </w:pPr>
          </w:p>
        </w:tc>
        <w:tc>
          <w:tcPr>
            <w:tcW w:w="5220" w:type="dxa"/>
            <w:vAlign w:val="bottom"/>
          </w:tcPr>
          <w:p>
            <w:pPr>
              <w:ind w:left="760"/>
              <w:spacing w:after="0"/>
              <w:rPr>
                <w:sz w:val="20"/>
                <w:szCs w:val="20"/>
                <w:color w:val="auto"/>
              </w:rPr>
            </w:pPr>
            <w:r>
              <w:rPr>
                <w:rFonts w:ascii="Arial" w:cs="Arial" w:eastAsia="Arial" w:hAnsi="Arial"/>
                <w:sz w:val="17"/>
                <w:szCs w:val="17"/>
                <w:b w:val="1"/>
                <w:bCs w:val="1"/>
                <w:i w:val="1"/>
                <w:iCs w:val="1"/>
                <w:color w:val="auto"/>
              </w:rPr>
              <w:t>Copies to:</w:t>
            </w:r>
          </w:p>
        </w:tc>
      </w:tr>
      <w:tr>
        <w:trPr>
          <w:trHeight w:val="400"/>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3"/>
              </w:rPr>
              <w:t>John Mahon, Esq.</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3"/>
              </w:rPr>
              <w:t>Richard Baumann, Esq.</w:t>
            </w:r>
          </w:p>
        </w:tc>
      </w:tr>
      <w:tr>
        <w:trPr>
          <w:trHeight w:val="209"/>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6"/>
              </w:rPr>
              <w:t>Schulte Roth &amp; Zabel LLP</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4"/>
              </w:rPr>
              <w:t>Ellenoff Grossman &amp; Schole LLP</w:t>
            </w:r>
          </w:p>
        </w:tc>
      </w:tr>
      <w:tr>
        <w:trPr>
          <w:trHeight w:val="209"/>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3"/>
              </w:rPr>
              <w:t>919 Third Avenue</w:t>
            </w:r>
          </w:p>
        </w:tc>
        <w:tc>
          <w:tcPr>
            <w:tcW w:w="5220" w:type="dxa"/>
            <w:vAlign w:val="bottom"/>
          </w:tcPr>
          <w:p>
            <w:pPr>
              <w:jc w:val="center"/>
              <w:ind w:left="2653"/>
              <w:spacing w:after="0"/>
              <w:rPr>
                <w:sz w:val="20"/>
                <w:szCs w:val="20"/>
                <w:color w:val="auto"/>
              </w:rPr>
            </w:pPr>
            <w:r>
              <w:rPr>
                <w:rFonts w:ascii="Arial" w:cs="Arial" w:eastAsia="Arial" w:hAnsi="Arial"/>
                <w:sz w:val="17"/>
                <w:szCs w:val="17"/>
                <w:b w:val="1"/>
                <w:bCs w:val="1"/>
                <w:color w:val="auto"/>
                <w:w w:val="91"/>
              </w:rPr>
              <w:t>1345 Avenue of the Americas</w:t>
            </w:r>
          </w:p>
        </w:tc>
      </w:tr>
      <w:tr>
        <w:trPr>
          <w:trHeight w:val="209"/>
        </w:trPr>
        <w:tc>
          <w:tcPr>
            <w:tcW w:w="2740" w:type="dxa"/>
            <w:vAlign w:val="bottom"/>
          </w:tcPr>
          <w:p>
            <w:pPr>
              <w:jc w:val="center"/>
              <w:ind w:right="693"/>
              <w:spacing w:after="0"/>
              <w:rPr>
                <w:sz w:val="20"/>
                <w:szCs w:val="20"/>
                <w:color w:val="auto"/>
              </w:rPr>
            </w:pPr>
            <w:r>
              <w:rPr>
                <w:rFonts w:ascii="Arial" w:cs="Arial" w:eastAsia="Arial" w:hAnsi="Arial"/>
                <w:sz w:val="17"/>
                <w:szCs w:val="17"/>
                <w:b w:val="1"/>
                <w:bCs w:val="1"/>
                <w:color w:val="auto"/>
                <w:w w:val="95"/>
              </w:rPr>
              <w:t>New York, NY 10022</w:t>
            </w:r>
          </w:p>
        </w:tc>
        <w:tc>
          <w:tcPr>
            <w:tcW w:w="5220" w:type="dxa"/>
            <w:vAlign w:val="bottom"/>
          </w:tcPr>
          <w:p>
            <w:pPr>
              <w:jc w:val="center"/>
              <w:ind w:left="2653"/>
              <w:spacing w:after="0"/>
              <w:rPr>
                <w:sz w:val="20"/>
                <w:szCs w:val="20"/>
                <w:color w:val="auto"/>
              </w:rPr>
            </w:pPr>
            <w:r>
              <w:rPr>
                <w:rFonts w:ascii="Arial" w:cs="Arial" w:eastAsia="Arial" w:hAnsi="Arial"/>
                <w:sz w:val="17"/>
                <w:szCs w:val="17"/>
                <w:b w:val="1"/>
                <w:bCs w:val="1"/>
                <w:color w:val="auto"/>
                <w:w w:val="95"/>
              </w:rPr>
              <w:t>New York, NY 10105</w:t>
            </w:r>
          </w:p>
        </w:tc>
      </w:tr>
      <w:tr>
        <w:trPr>
          <w:trHeight w:val="209"/>
        </w:trPr>
        <w:tc>
          <w:tcPr>
            <w:tcW w:w="2740" w:type="dxa"/>
            <w:vAlign w:val="bottom"/>
          </w:tcPr>
          <w:p>
            <w:pPr>
              <w:jc w:val="center"/>
              <w:ind w:right="693"/>
              <w:spacing w:after="0"/>
              <w:rPr>
                <w:sz w:val="20"/>
                <w:szCs w:val="20"/>
                <w:color w:val="auto"/>
              </w:rPr>
            </w:pPr>
            <w:r>
              <w:rPr>
                <w:rFonts w:ascii="Arial" w:cs="Arial" w:eastAsia="Arial" w:hAnsi="Arial"/>
                <w:sz w:val="17"/>
                <w:szCs w:val="17"/>
                <w:b w:val="1"/>
                <w:bCs w:val="1"/>
                <w:color w:val="auto"/>
                <w:w w:val="91"/>
              </w:rPr>
              <w:t>Phone: (212) 756-2000</w:t>
            </w:r>
          </w:p>
        </w:tc>
        <w:tc>
          <w:tcPr>
            <w:tcW w:w="5220" w:type="dxa"/>
            <w:vAlign w:val="bottom"/>
          </w:tcPr>
          <w:p>
            <w:pPr>
              <w:jc w:val="center"/>
              <w:ind w:left="2633"/>
              <w:spacing w:after="0"/>
              <w:rPr>
                <w:sz w:val="20"/>
                <w:szCs w:val="20"/>
                <w:color w:val="auto"/>
              </w:rPr>
            </w:pPr>
            <w:r>
              <w:rPr>
                <w:rFonts w:ascii="Arial" w:cs="Arial" w:eastAsia="Arial" w:hAnsi="Arial"/>
                <w:sz w:val="17"/>
                <w:szCs w:val="17"/>
                <w:b w:val="1"/>
                <w:bCs w:val="1"/>
                <w:color w:val="auto"/>
                <w:w w:val="92"/>
              </w:rPr>
              <w:t>Phone: (212) 370-1300</w:t>
            </w:r>
          </w:p>
        </w:tc>
      </w:tr>
      <w:tr>
        <w:trPr>
          <w:trHeight w:val="227"/>
        </w:trPr>
        <w:tc>
          <w:tcPr>
            <w:tcW w:w="2740" w:type="dxa"/>
            <w:vAlign w:val="bottom"/>
          </w:tcPr>
          <w:p>
            <w:pPr>
              <w:jc w:val="center"/>
              <w:ind w:right="653"/>
              <w:spacing w:after="0"/>
              <w:rPr>
                <w:sz w:val="20"/>
                <w:szCs w:val="20"/>
                <w:color w:val="auto"/>
              </w:rPr>
            </w:pPr>
            <w:r>
              <w:rPr>
                <w:rFonts w:ascii="Arial" w:cs="Arial" w:eastAsia="Arial" w:hAnsi="Arial"/>
                <w:sz w:val="17"/>
                <w:szCs w:val="17"/>
                <w:b w:val="1"/>
                <w:bCs w:val="1"/>
                <w:color w:val="auto"/>
                <w:w w:val="94"/>
              </w:rPr>
              <w:t>Fax: (212) 593-5955</w:t>
            </w:r>
          </w:p>
        </w:tc>
        <w:tc>
          <w:tcPr>
            <w:tcW w:w="5220" w:type="dxa"/>
            <w:vAlign w:val="bottom"/>
          </w:tcPr>
          <w:p>
            <w:pPr>
              <w:jc w:val="center"/>
              <w:ind w:left="2593"/>
              <w:spacing w:after="0"/>
              <w:rPr>
                <w:sz w:val="20"/>
                <w:szCs w:val="20"/>
                <w:color w:val="auto"/>
              </w:rPr>
            </w:pPr>
            <w:r>
              <w:rPr>
                <w:rFonts w:ascii="Arial" w:cs="Arial" w:eastAsia="Arial" w:hAnsi="Arial"/>
                <w:sz w:val="17"/>
                <w:szCs w:val="17"/>
                <w:b w:val="1"/>
                <w:bCs w:val="1"/>
                <w:color w:val="auto"/>
                <w:w w:val="93"/>
              </w:rPr>
              <w:t>Fax: (212) 370-7889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2901950</wp:posOffset>
            </wp:positionH>
            <wp:positionV relativeFrom="paragraph">
              <wp:posOffset>166370</wp:posOffset>
            </wp:positionV>
            <wp:extent cx="145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the effective date of this Registration Statement.</w:t>
      </w:r>
    </w:p>
    <w:p>
      <w:pPr>
        <w:spacing w:after="0" w:line="229" w:lineRule="exact"/>
        <w:rPr>
          <w:sz w:val="24"/>
          <w:szCs w:val="24"/>
          <w:color w:val="auto"/>
        </w:rPr>
      </w:pPr>
    </w:p>
    <w:p>
      <w:pPr>
        <w:ind w:right="420"/>
        <w:spacing w:after="0" w:line="225" w:lineRule="exact"/>
        <w:rPr>
          <w:sz w:val="20"/>
          <w:szCs w:val="20"/>
          <w:color w:val="auto"/>
        </w:rPr>
      </w:pPr>
      <w:r>
        <w:rPr>
          <w:rFonts w:ascii="Arial" w:cs="Arial" w:eastAsia="Arial" w:hAnsi="Arial"/>
          <w:sz w:val="17"/>
          <w:szCs w:val="17"/>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25"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4"/>
          <w:szCs w:val="24"/>
          <w:color w:val="auto"/>
        </w:rPr>
      </w:pPr>
    </w:p>
    <w:p>
      <w:pPr>
        <w:ind w:right="140"/>
        <w:spacing w:after="0" w:line="225"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461" w:right="339" w:bottom="0" w:gutter="0" w:footer="0" w:header="0"/>
        </w:sectPr>
      </w:pPr>
    </w:p>
    <w:p>
      <w:pPr>
        <w:spacing w:after="0" w:line="1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6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pacing w:after="0" w:line="37"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7060" w:space="720"/>
            <w:col w:w="3540"/>
          </w:cols>
          <w:pgMar w:left="240" w:top="461" w:right="339" w:bottom="0" w:gutter="0" w:footer="0" w:header="0"/>
          <w:type w:val="continuous"/>
        </w:sectPr>
      </w:pPr>
    </w:p>
    <w:p>
      <w:pPr>
        <w:spacing w:after="0" w:line="137" w:lineRule="exact"/>
        <w:rPr>
          <w:sz w:val="24"/>
          <w:szCs w:val="24"/>
          <w:color w:val="auto"/>
        </w:rPr>
      </w:pPr>
    </w:p>
    <w:p>
      <w:pPr>
        <w:ind w:right="40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If applicable, place an X in the box to designate the appropriate rule provision relied upon in conducting this transaction:</w:t>
      </w:r>
    </w:p>
    <w:p>
      <w:pPr>
        <w:sectPr>
          <w:pgSz w:w="11900" w:h="16838" w:orient="portrait"/>
          <w:cols w:equalWidth="0" w:num="1">
            <w:col w:w="11320"/>
          </w:cols>
          <w:pgMar w:left="240" w:top="46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55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Exchange Act Rule 13e-4(i) (Cross-Border Issuer Tender Offer) </w:t>
            </w:r>
            <w:r>
              <w:rPr>
                <w:rFonts w:ascii="MS PGothic" w:cs="MS PGothic" w:eastAsia="MS PGothic" w:hAnsi="MS PGothic"/>
                <w:sz w:val="17"/>
                <w:szCs w:val="17"/>
                <w:color w:val="auto"/>
              </w:rPr>
              <w:t>☐</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5520" w:type="dxa"/>
            <w:vAlign w:val="bottom"/>
            <w:gridSpan w:val="2"/>
          </w:tcPr>
          <w:p>
            <w:pPr>
              <w:spacing w:after="0" w:line="196" w:lineRule="exact"/>
              <w:rPr>
                <w:sz w:val="20"/>
                <w:szCs w:val="20"/>
                <w:color w:val="auto"/>
              </w:rPr>
            </w:pPr>
            <w:r>
              <w:rPr>
                <w:rFonts w:ascii="Arial" w:cs="Arial" w:eastAsia="Arial" w:hAnsi="Arial"/>
                <w:sz w:val="17"/>
                <w:szCs w:val="17"/>
                <w:color w:val="auto"/>
              </w:rPr>
              <w:t xml:space="preserve">Exchange Act Rule 14d-l(d) (Cross Border Third-Party Tender Offer) </w:t>
            </w:r>
            <w:r>
              <w:rPr>
                <w:rFonts w:ascii="MS PGothic" w:cs="MS PGothic" w:eastAsia="MS PGothic" w:hAnsi="MS PGothic"/>
                <w:sz w:val="17"/>
                <w:szCs w:val="17"/>
                <w:color w:val="auto"/>
              </w:rPr>
              <w:t>☐</w:t>
            </w: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00" w:type="dxa"/>
            <w:vAlign w:val="bottom"/>
            <w:gridSpan w:val="7"/>
          </w:tcPr>
          <w:p>
            <w:pPr>
              <w:ind w:left="4040"/>
              <w:spacing w:after="0"/>
              <w:rPr>
                <w:sz w:val="20"/>
                <w:szCs w:val="20"/>
                <w:color w:val="auto"/>
              </w:rPr>
            </w:pPr>
            <w:r>
              <w:rPr>
                <w:rFonts w:ascii="Arial" w:cs="Arial" w:eastAsia="Arial" w:hAnsi="Arial"/>
                <w:sz w:val="17"/>
                <w:szCs w:val="17"/>
                <w:b w:val="1"/>
                <w:bCs w:val="1"/>
                <w:color w:val="auto"/>
              </w:rPr>
              <w:t>CALCULATION OF REGISTRATION FEE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9"/>
              </w:rPr>
              <w:t>Proposed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left="106"/>
              <w:spacing w:after="0"/>
              <w:rPr>
                <w:sz w:val="20"/>
                <w:szCs w:val="20"/>
                <w:color w:val="auto"/>
              </w:rPr>
            </w:pPr>
            <w:r>
              <w:rPr>
                <w:rFonts w:ascii="Arial" w:cs="Arial" w:eastAsia="Arial" w:hAnsi="Arial"/>
                <w:sz w:val="17"/>
                <w:szCs w:val="17"/>
                <w:b w:val="1"/>
                <w:bCs w:val="1"/>
                <w:color w:val="auto"/>
                <w:w w:val="89"/>
              </w:rPr>
              <w:t>Proposed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left="106"/>
              <w:spacing w:after="0"/>
              <w:rPr>
                <w:sz w:val="20"/>
                <w:szCs w:val="20"/>
                <w:color w:val="auto"/>
              </w:rPr>
            </w:pPr>
            <w:r>
              <w:rPr>
                <w:rFonts w:ascii="Arial" w:cs="Arial" w:eastAsia="Arial" w:hAnsi="Arial"/>
                <w:sz w:val="17"/>
                <w:szCs w:val="17"/>
                <w:b w:val="1"/>
                <w:bCs w:val="1"/>
                <w:color w:val="auto"/>
                <w:w w:val="99"/>
              </w:rPr>
              <w:t>Maximum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273"/>
              <w:spacing w:after="0"/>
              <w:rPr>
                <w:sz w:val="20"/>
                <w:szCs w:val="20"/>
                <w:color w:val="auto"/>
              </w:rPr>
            </w:pPr>
            <w:r>
              <w:rPr>
                <w:rFonts w:ascii="Arial" w:cs="Arial" w:eastAsia="Arial" w:hAnsi="Arial"/>
                <w:sz w:val="17"/>
                <w:szCs w:val="17"/>
                <w:b w:val="1"/>
                <w:bCs w:val="1"/>
                <w:color w:val="auto"/>
                <w:w w:val="96"/>
              </w:rPr>
              <w:t>Amount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5"/>
              </w:rPr>
              <w:t>Offering Price Per</w:t>
            </w:r>
          </w:p>
        </w:tc>
        <w:tc>
          <w:tcPr>
            <w:tcW w:w="1240" w:type="dxa"/>
            <w:vAlign w:val="bottom"/>
          </w:tcPr>
          <w:p>
            <w:pPr>
              <w:jc w:val="center"/>
              <w:ind w:left="86"/>
              <w:spacing w:after="0"/>
              <w:rPr>
                <w:sz w:val="20"/>
                <w:szCs w:val="20"/>
                <w:color w:val="auto"/>
              </w:rPr>
            </w:pPr>
            <w:r>
              <w:rPr>
                <w:rFonts w:ascii="Arial" w:cs="Arial" w:eastAsia="Arial" w:hAnsi="Arial"/>
                <w:sz w:val="17"/>
                <w:szCs w:val="17"/>
                <w:b w:val="1"/>
                <w:bCs w:val="1"/>
                <w:color w:val="auto"/>
                <w:w w:val="90"/>
              </w:rPr>
              <w:t>Aggregate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232"/>
              <w:spacing w:after="0"/>
              <w:rPr>
                <w:sz w:val="20"/>
                <w:szCs w:val="20"/>
                <w:color w:val="auto"/>
              </w:rPr>
            </w:pPr>
            <w:r>
              <w:rPr>
                <w:rFonts w:ascii="Arial" w:cs="Arial" w:eastAsia="Arial" w:hAnsi="Arial"/>
                <w:sz w:val="17"/>
                <w:szCs w:val="17"/>
                <w:b w:val="1"/>
                <w:bCs w:val="1"/>
                <w:color w:val="auto"/>
              </w:rPr>
              <w:t>Amount of</w:t>
            </w:r>
          </w:p>
        </w:tc>
        <w:tc>
          <w:tcPr>
            <w:tcW w:w="0" w:type="dxa"/>
            <w:vAlign w:val="bottom"/>
          </w:tcPr>
          <w:p>
            <w:pPr>
              <w:spacing w:after="0"/>
              <w:rPr>
                <w:sz w:val="1"/>
                <w:szCs w:val="1"/>
                <w:color w:val="auto"/>
              </w:rPr>
            </w:pPr>
          </w:p>
        </w:tc>
      </w:tr>
      <w:tr>
        <w:trPr>
          <w:trHeight w:val="228"/>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Title of Each Class of Securities to be Registered</w:t>
            </w:r>
          </w:p>
        </w:tc>
        <w:tc>
          <w:tcPr>
            <w:tcW w:w="14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to be Registered</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w w:val="88"/>
              </w:rPr>
              <w:t>Share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left="106"/>
              <w:spacing w:after="0"/>
              <w:rPr>
                <w:sz w:val="20"/>
                <w:szCs w:val="20"/>
                <w:color w:val="auto"/>
              </w:rPr>
            </w:pPr>
            <w:r>
              <w:rPr>
                <w:rFonts w:ascii="Arial" w:cs="Arial" w:eastAsia="Arial" w:hAnsi="Arial"/>
                <w:sz w:val="17"/>
                <w:szCs w:val="17"/>
                <w:b w:val="1"/>
                <w:bCs w:val="1"/>
                <w:color w:val="auto"/>
                <w:w w:val="94"/>
              </w:rPr>
              <w:t>Offering Price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32"/>
              <w:spacing w:after="0"/>
              <w:rPr>
                <w:sz w:val="20"/>
                <w:szCs w:val="20"/>
                <w:color w:val="auto"/>
              </w:rPr>
            </w:pPr>
            <w:r>
              <w:rPr>
                <w:rFonts w:ascii="Arial" w:cs="Arial" w:eastAsia="Arial" w:hAnsi="Arial"/>
                <w:sz w:val="17"/>
                <w:szCs w:val="17"/>
                <w:b w:val="1"/>
                <w:bCs w:val="1"/>
                <w:color w:val="auto"/>
                <w:w w:val="90"/>
              </w:rPr>
              <w:t>Registration Fee</w:t>
            </w:r>
          </w:p>
        </w:tc>
        <w:tc>
          <w:tcPr>
            <w:tcW w:w="0" w:type="dxa"/>
            <w:vAlign w:val="bottom"/>
          </w:tcPr>
          <w:p>
            <w:pPr>
              <w:spacing w:after="0"/>
              <w:rPr>
                <w:sz w:val="1"/>
                <w:szCs w:val="1"/>
                <w:color w:val="auto"/>
              </w:rPr>
            </w:pPr>
          </w:p>
        </w:tc>
      </w:tr>
      <w:tr>
        <w:trPr>
          <w:trHeight w:val="8"/>
        </w:trPr>
        <w:tc>
          <w:tcPr>
            <w:tcW w:w="5400" w:type="dxa"/>
            <w:vAlign w:val="bottom"/>
            <w:tcBorders>
              <w:top w:val="single" w:sz="8" w:color="auto"/>
            </w:tcBorders>
            <w:shd w:val="clear" w:color="auto" w:fill="CCEEFF"/>
          </w:tcPr>
          <w:p>
            <w:pPr>
              <w:spacing w:after="0" w:line="8" w:lineRule="exact"/>
              <w:rPr>
                <w:sz w:val="20"/>
                <w:szCs w:val="20"/>
                <w:color w:val="auto"/>
              </w:rPr>
            </w:pPr>
            <w:r>
              <w:rPr>
                <w:rFonts w:ascii="Arial" w:cs="Arial" w:eastAsia="Arial" w:hAnsi="Arial"/>
                <w:sz w:val="1"/>
                <w:szCs w:val="1"/>
                <w:color w:val="auto"/>
              </w:rPr>
              <w:t>Common Stock, par value $0.001 per share</w:t>
            </w: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ind w:left="300"/>
              <w:spacing w:after="0" w:line="8" w:lineRule="exact"/>
              <w:rPr>
                <w:sz w:val="20"/>
                <w:szCs w:val="20"/>
                <w:color w:val="auto"/>
              </w:rPr>
            </w:pPr>
            <w:r>
              <w:rPr>
                <w:rFonts w:ascii="Arial" w:cs="Arial" w:eastAsia="Arial" w:hAnsi="Arial"/>
                <w:sz w:val="1"/>
                <w:szCs w:val="1"/>
                <w:color w:val="auto"/>
              </w:rPr>
              <w:t>1,100,393</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(1)(2)</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jc w:val="right"/>
              <w:ind w:right="54"/>
              <w:spacing w:after="0" w:line="8" w:lineRule="exact"/>
              <w:rPr>
                <w:sz w:val="20"/>
                <w:szCs w:val="20"/>
                <w:color w:val="auto"/>
              </w:rPr>
            </w:pPr>
            <w:r>
              <w:rPr>
                <w:rFonts w:ascii="Arial" w:cs="Arial" w:eastAsia="Arial" w:hAnsi="Arial"/>
                <w:sz w:val="1"/>
                <w:szCs w:val="1"/>
                <w:color w:val="auto"/>
              </w:rPr>
              <w:t>$</w:t>
            </w:r>
          </w:p>
        </w:tc>
        <w:tc>
          <w:tcPr>
            <w:tcW w:w="1040" w:type="dxa"/>
            <w:vAlign w:val="bottom"/>
            <w:tcBorders>
              <w:top w:val="single" w:sz="8" w:color="auto"/>
            </w:tcBorders>
            <w:shd w:val="clear" w:color="auto" w:fill="CCEEFF"/>
          </w:tcPr>
          <w:p>
            <w:pPr>
              <w:ind w:left="740"/>
              <w:spacing w:after="0" w:line="8" w:lineRule="exact"/>
              <w:rPr>
                <w:sz w:val="20"/>
                <w:szCs w:val="20"/>
                <w:color w:val="auto"/>
              </w:rPr>
            </w:pPr>
            <w:r>
              <w:rPr>
                <w:rFonts w:ascii="Arial" w:cs="Arial" w:eastAsia="Arial" w:hAnsi="Arial"/>
                <w:sz w:val="1"/>
                <w:szCs w:val="1"/>
                <w:color w:val="auto"/>
              </w:rPr>
              <w:t>6.75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jc w:val="right"/>
              <w:spacing w:after="0" w:line="8" w:lineRule="exact"/>
              <w:rPr>
                <w:sz w:val="20"/>
                <w:szCs w:val="20"/>
                <w:color w:val="auto"/>
              </w:rPr>
            </w:pPr>
            <w:r>
              <w:rPr>
                <w:rFonts w:ascii="Arial" w:cs="Arial" w:eastAsia="Arial" w:hAnsi="Arial"/>
                <w:sz w:val="1"/>
                <w:szCs w:val="1"/>
                <w:color w:val="auto"/>
              </w:rPr>
              <w:t>$   9,153,499.39</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(3)</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jc w:val="right"/>
              <w:ind w:right="15"/>
              <w:spacing w:after="0" w:line="8" w:lineRule="exact"/>
              <w:rPr>
                <w:sz w:val="20"/>
                <w:szCs w:val="20"/>
                <w:color w:val="auto"/>
              </w:rPr>
            </w:pPr>
            <w:r>
              <w:rPr>
                <w:rFonts w:ascii="Arial" w:cs="Arial" w:eastAsia="Arial" w:hAnsi="Arial"/>
                <w:sz w:val="1"/>
                <w:szCs w:val="1"/>
                <w:color w:val="auto"/>
              </w:rPr>
              <w:t>$</w:t>
            </w:r>
          </w:p>
        </w:tc>
        <w:tc>
          <w:tcPr>
            <w:tcW w:w="1320" w:type="dxa"/>
            <w:vAlign w:val="bottom"/>
            <w:tcBorders>
              <w:top w:val="single" w:sz="8" w:color="auto"/>
            </w:tcBorders>
            <w:shd w:val="clear" w:color="auto" w:fill="CCEEFF"/>
          </w:tcPr>
          <w:p>
            <w:pPr>
              <w:jc w:val="right"/>
              <w:ind w:right="112"/>
              <w:spacing w:after="0" w:line="8" w:lineRule="exact"/>
              <w:rPr>
                <w:sz w:val="20"/>
                <w:szCs w:val="20"/>
                <w:color w:val="auto"/>
              </w:rPr>
            </w:pPr>
            <w:r>
              <w:rPr>
                <w:rFonts w:ascii="Arial" w:cs="Arial" w:eastAsia="Arial" w:hAnsi="Arial"/>
                <w:sz w:val="1"/>
                <w:szCs w:val="1"/>
                <w:color w:val="auto"/>
              </w:rPr>
              <w:t>1,109.40</w:t>
            </w:r>
          </w:p>
        </w:tc>
        <w:tc>
          <w:tcPr>
            <w:tcW w:w="0" w:type="dxa"/>
            <w:vAlign w:val="bottom"/>
          </w:tcPr>
          <w:p>
            <w:pPr>
              <w:spacing w:after="0" w:line="20" w:lineRule="exact"/>
              <w:rPr>
                <w:sz w:val="1"/>
                <w:szCs w:val="1"/>
                <w:color w:val="auto"/>
              </w:rPr>
            </w:pPr>
          </w:p>
        </w:tc>
      </w:tr>
      <w:tr>
        <w:trPr>
          <w:trHeight w:val="195"/>
        </w:trPr>
        <w:tc>
          <w:tcPr>
            <w:tcW w:w="5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8"/>
        </w:trPr>
        <w:tc>
          <w:tcPr>
            <w:tcW w:w="5520" w:type="dxa"/>
            <w:vAlign w:val="bottom"/>
            <w:gridSpan w:val="2"/>
          </w:tcPr>
          <w:p>
            <w:pPr>
              <w:spacing w:after="0"/>
              <w:rPr>
                <w:sz w:val="20"/>
                <w:szCs w:val="20"/>
                <w:color w:val="auto"/>
              </w:rPr>
            </w:pPr>
            <w:r>
              <w:rPr>
                <w:rFonts w:ascii="Arial" w:cs="Arial" w:eastAsia="Arial" w:hAnsi="Arial"/>
                <w:sz w:val="17"/>
                <w:szCs w:val="17"/>
                <w:color w:val="auto"/>
              </w:rPr>
              <w:t>Warrants to purchase Common Stock, par value $0.001 per share</w:t>
            </w:r>
          </w:p>
        </w:tc>
        <w:tc>
          <w:tcPr>
            <w:tcW w:w="1340" w:type="dxa"/>
            <w:vAlign w:val="bottom"/>
            <w:gridSpan w:val="2"/>
          </w:tcPr>
          <w:p>
            <w:pPr>
              <w:ind w:left="300"/>
              <w:spacing w:after="0"/>
              <w:rPr>
                <w:sz w:val="20"/>
                <w:szCs w:val="20"/>
                <w:color w:val="auto"/>
              </w:rPr>
            </w:pPr>
            <w:r>
              <w:rPr>
                <w:rFonts w:ascii="Arial" w:cs="Arial" w:eastAsia="Arial" w:hAnsi="Arial"/>
                <w:sz w:val="17"/>
                <w:szCs w:val="17"/>
                <w:color w:val="auto"/>
              </w:rPr>
              <w:t>5,731,216</w:t>
            </w: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ind w:left="740"/>
              <w:spacing w:after="0"/>
              <w:rPr>
                <w:sz w:val="20"/>
                <w:szCs w:val="20"/>
                <w:color w:val="auto"/>
              </w:rPr>
            </w:pPr>
            <w:r>
              <w:rPr>
                <w:rFonts w:ascii="Arial" w:cs="Arial" w:eastAsia="Arial" w:hAnsi="Arial"/>
                <w:sz w:val="17"/>
                <w:szCs w:val="17"/>
                <w:color w:val="auto"/>
                <w:w w:val="98"/>
              </w:rPr>
              <w:t>N/A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N/A</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1453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34" w:lineRule="exact"/>
        <w:rPr>
          <w:sz w:val="20"/>
          <w:szCs w:val="20"/>
          <w:color w:val="auto"/>
        </w:rPr>
      </w:pPr>
    </w:p>
    <w:p>
      <w:pPr>
        <w:ind w:left="320" w:hanging="315"/>
        <w:spacing w:after="0"/>
        <w:tabs>
          <w:tab w:leader="none" w:pos="32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Represents the maximum number of shares of common stock, par value $0.001 per share (the “Common Stock”) of the registrant that may be issued directly to</w:t>
      </w:r>
    </w:p>
    <w:p>
      <w:pPr>
        <w:spacing w:after="0" w:line="48" w:lineRule="exact"/>
        <w:rPr>
          <w:rFonts w:ascii="Arial" w:cs="Arial" w:eastAsia="Arial" w:hAnsi="Arial"/>
          <w:sz w:val="15"/>
          <w:szCs w:val="15"/>
          <w:color w:val="auto"/>
        </w:rPr>
      </w:pPr>
    </w:p>
    <w:p>
      <w:pPr>
        <w:jc w:val="both"/>
        <w:ind w:left="320" w:right="40"/>
        <w:spacing w:after="0" w:line="265" w:lineRule="auto"/>
        <w:rPr>
          <w:rFonts w:ascii="Arial" w:cs="Arial" w:eastAsia="Arial" w:hAnsi="Arial"/>
          <w:sz w:val="15"/>
          <w:szCs w:val="15"/>
          <w:color w:val="auto"/>
        </w:rPr>
      </w:pPr>
      <w:r>
        <w:rPr>
          <w:rFonts w:ascii="Arial" w:cs="Arial" w:eastAsia="Arial" w:hAnsi="Arial"/>
          <w:sz w:val="17"/>
          <w:szCs w:val="17"/>
          <w:color w:val="auto"/>
        </w:rPr>
        <w:t>(i) holders of warrants in exchange for warrants tendered pursuant to the Offer (as defined below) and (ii) holders of warrants who do not tender their warrants pursuant to the Offer upon the registrant’s exercise of its right to convert such warrants into shares of Common Stock pursuant to the Warrant Amendment (as defined below), if approved.</w:t>
      </w:r>
    </w:p>
    <w:p>
      <w:pPr>
        <w:spacing w:after="0" w:line="177" w:lineRule="exact"/>
        <w:rPr>
          <w:rFonts w:ascii="Arial" w:cs="Arial" w:eastAsia="Arial" w:hAnsi="Arial"/>
          <w:sz w:val="15"/>
          <w:szCs w:val="15"/>
          <w:color w:val="auto"/>
        </w:rPr>
      </w:pPr>
    </w:p>
    <w:p>
      <w:pPr>
        <w:ind w:left="320" w:right="620" w:hanging="315"/>
        <w:spacing w:after="0" w:line="321" w:lineRule="auto"/>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the registrant is also registering an indeterminate number of additional shares of Common Stock issuable by reason of any stock dividend, stock split, recapitalization or other similar transaction.</w:t>
      </w:r>
    </w:p>
    <w:p>
      <w:pPr>
        <w:spacing w:after="0" w:line="135" w:lineRule="exact"/>
        <w:rPr>
          <w:rFonts w:ascii="Arial" w:cs="Arial" w:eastAsia="Arial" w:hAnsi="Arial"/>
          <w:sz w:val="16"/>
          <w:szCs w:val="16"/>
          <w:color w:val="auto"/>
        </w:rPr>
      </w:pPr>
    </w:p>
    <w:p>
      <w:pPr>
        <w:ind w:left="320" w:right="120" w:hanging="315"/>
        <w:spacing w:after="0" w:line="264" w:lineRule="auto"/>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pursuant to Rule 457(f)(1) and Rule 457(c) under the Securities Act, and solely for the purpose of calculating the registration fee, the proposed maximum offering price is $8.33, which is the average of the high and low prices of shares of Common Stock on November 26, 2018, on The NASDAQ Global Market with respect to the 1,092,308 shares included in the initial filing of this Registration Statement and $6.75, which is the average of the high and low prices of shares of Common Stock on December 21, 2018 on The NASDAQ Global Market, with respect to the additional 8,085 shares included in Amendment No. 1 to this Registration Statement.</w:t>
      </w:r>
    </w:p>
    <w:p>
      <w:pPr>
        <w:spacing w:after="0" w:line="180" w:lineRule="exact"/>
        <w:rPr>
          <w:rFonts w:ascii="Arial" w:cs="Arial" w:eastAsia="Arial" w:hAnsi="Arial"/>
          <w:sz w:val="17"/>
          <w:szCs w:val="17"/>
          <w:color w:val="auto"/>
        </w:rPr>
      </w:pPr>
    </w:p>
    <w:p>
      <w:pPr>
        <w:ind w:left="320" w:hanging="315"/>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the maximum number of warrants that may be amended pursuant to the Warrant Amendment (as defined below).</w:t>
      </w:r>
    </w:p>
    <w:p>
      <w:pPr>
        <w:spacing w:after="0" w:line="223" w:lineRule="exact"/>
        <w:rPr>
          <w:rFonts w:ascii="Arial" w:cs="Arial" w:eastAsia="Arial" w:hAnsi="Arial"/>
          <w:sz w:val="17"/>
          <w:szCs w:val="17"/>
          <w:color w:val="auto"/>
        </w:rPr>
      </w:pPr>
    </w:p>
    <w:p>
      <w:pPr>
        <w:ind w:left="320" w:hanging="315"/>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Previously Paid.</w:t>
      </w:r>
    </w:p>
    <w:p>
      <w:pPr>
        <w:spacing w:after="0" w:line="223" w:lineRule="exact"/>
        <w:rPr>
          <w:rFonts w:ascii="Arial" w:cs="Arial" w:eastAsia="Arial" w:hAnsi="Arial"/>
          <w:sz w:val="17"/>
          <w:szCs w:val="17"/>
          <w:color w:val="auto"/>
        </w:rPr>
      </w:pPr>
    </w:p>
    <w:p>
      <w:pPr>
        <w:ind w:left="320" w:hanging="315"/>
        <w:spacing w:after="0"/>
        <w:tabs>
          <w:tab w:leader="none" w:pos="32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 additional registration fee is payable pursuant to Rule 457(g) under the Securities Act.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Registration Statement shall hereafter become effective in accordance with the provisions of Section 8(a)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51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211455</wp:posOffset>
            </wp:positionV>
            <wp:extent cx="725106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41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386080</wp:posOffset>
            </wp:positionV>
            <wp:extent cx="7251065" cy="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4" w:right="239" w:bottom="1440" w:gutter="0" w:footer="0" w:header="0"/>
        </w:sectPr>
      </w:pPr>
    </w:p>
    <w:bookmarkStart w:id="2" w:name="page3"/>
    <w:bookmarkEnd w:id="2"/>
    <w:p>
      <w:pPr>
        <w:jc w:val="both"/>
        <w:ind w:left="60" w:right="60"/>
        <w:spacing w:after="0" w:line="267" w:lineRule="auto"/>
        <w:rPr>
          <w:sz w:val="20"/>
          <w:szCs w:val="20"/>
          <w:color w:val="auto"/>
        </w:rPr>
      </w:pPr>
      <w:r>
        <w:rPr>
          <w:rFonts w:ascii="Arial" w:cs="Arial" w:eastAsia="Arial" w:hAnsi="Arial"/>
          <w:sz w:val="17"/>
          <w:szCs w:val="17"/>
          <w:color w:val="FF0000"/>
        </w:rPr>
        <w:drawing>
          <wp:anchor simplePos="0" relativeHeight="251657728" behindDoc="1" locked="0" layoutInCell="0" allowOverlap="1">
            <wp:simplePos x="0" y="0"/>
            <wp:positionH relativeFrom="page">
              <wp:posOffset>153035</wp:posOffset>
            </wp:positionH>
            <wp:positionV relativeFrom="page">
              <wp:posOffset>584835</wp:posOffset>
            </wp:positionV>
            <wp:extent cx="7255510" cy="560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5510" cy="560705"/>
                    </a:xfrm>
                    <a:prstGeom prst="rect">
                      <a:avLst/>
                    </a:prstGeom>
                    <a:noFill/>
                  </pic:spPr>
                </pic:pic>
              </a:graphicData>
            </a:graphic>
          </wp:anchor>
        </w:drawing>
        <w:t>The information in this document may change. The registrant may not complete the offer and issue these securities until the registration statement filed with the United States Securities and Exchange Commission is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97" w:lineRule="exact"/>
        <w:rPr>
          <w:sz w:val="20"/>
          <w:szCs w:val="20"/>
          <w:color w:val="auto"/>
        </w:rPr>
      </w:pPr>
    </w:p>
    <w:p>
      <w:pPr>
        <w:ind w:left="2680"/>
        <w:spacing w:after="0"/>
        <w:rPr>
          <w:sz w:val="20"/>
          <w:szCs w:val="20"/>
          <w:color w:val="auto"/>
        </w:rPr>
      </w:pPr>
      <w:r>
        <w:rPr>
          <w:rFonts w:ascii="Arial" w:cs="Arial" w:eastAsia="Arial" w:hAnsi="Arial"/>
          <w:sz w:val="17"/>
          <w:szCs w:val="17"/>
          <w:b w:val="1"/>
          <w:bCs w:val="1"/>
          <w:color w:val="FF0000"/>
        </w:rPr>
        <w:t>PRELIMINARY — SUBJECT TO COMPLETION, DATED JANUARY 22, 2019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153035</wp:posOffset>
            </wp:positionV>
            <wp:extent cx="2491740" cy="664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91740" cy="66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Offer to Exchange Warrants to Acquire Shares of Common Stock</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Priority Technology Holdings,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of Common Stock of Priority Technology Holdings,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Consent Solicitation</w:t>
      </w:r>
    </w:p>
    <w:p>
      <w:pPr>
        <w:spacing w:after="0" w:line="205" w:lineRule="exact"/>
        <w:rPr>
          <w:sz w:val="20"/>
          <w:szCs w:val="20"/>
          <w:color w:val="auto"/>
        </w:rPr>
      </w:pPr>
    </w:p>
    <w:p>
      <w:pPr>
        <w:jc w:val="center"/>
        <w:ind w:left="260" w:right="120"/>
        <w:spacing w:after="0" w:line="296" w:lineRule="auto"/>
        <w:rPr>
          <w:sz w:val="20"/>
          <w:szCs w:val="20"/>
          <w:color w:val="auto"/>
        </w:rPr>
      </w:pPr>
      <w:r>
        <w:rPr>
          <w:rFonts w:ascii="Arial" w:cs="Arial" w:eastAsia="Arial" w:hAnsi="Arial"/>
          <w:sz w:val="17"/>
          <w:szCs w:val="17"/>
          <w:b w:val="1"/>
          <w:bCs w:val="1"/>
          <w:color w:val="auto"/>
        </w:rPr>
        <w:t>THE OFFER PERIOD (AS DEFINED BELOW) AND WITHDRAWAL RIGHTS WILL EXPIRE AT 11:59 P.M., EASTERN STANDARD TIME, ON FEBRUARY 12, 2019, OR SUCH LATER TIME AND DATE TO WHICH WE MAY EXTEND.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Terms of the Offer and Consent Solicitation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Until the Expiration Date (as defined below), we are offering to the holders of our warrants as described below the opportunity to receive 0.1920 shares of common stock, par value of $0.001 per share (the “Common Stock”) of Priority Technology Holdings, Inc. (“Priority” or the “Company”) in exchange for each of our outstanding warrants tendered by the holder and exchanged pursuant to the offer (the “Offer”). The Offer is being made to:</w:t>
      </w:r>
    </w:p>
    <w:p>
      <w:pPr>
        <w:spacing w:after="0" w:line="173" w:lineRule="exact"/>
        <w:rPr>
          <w:sz w:val="20"/>
          <w:szCs w:val="20"/>
          <w:color w:val="auto"/>
        </w:rPr>
      </w:pPr>
    </w:p>
    <w:p>
      <w:pPr>
        <w:ind w:left="860" w:right="140" w:hanging="384"/>
        <w:spacing w:after="0" w:line="28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holders of our publicly traded warrants to purchase our Common Stock, which were originally issued as warrants to purchase the Common Stock of the Company, formerly known as M I Acquisitions, Inc. (“M I”), in connection with the initial public offering of M I’s securities on September 19, 2016 (the “M I IPO”), which entitle such warrant holders to purchase one share of Common Stock at an exercise price of $11.50, subject to adjustments, referred to as the “Public Warrants.” Our Common Stock is listed on The NASDAQ Global Market (“NASDAQ”) under the symbol “PRTH,” and our Public Warrants are listed on NASDAQ under the symbol “PRTHW.” As of January 17, 2019, 5,310,109 Public Warrants were outstanding. Pursuant to the Offer, we are offering up to an aggregate of 1,019,541 shares of Common Stock in exchange for the Public Warrants.</w:t>
      </w:r>
    </w:p>
    <w:p>
      <w:pPr>
        <w:spacing w:after="0" w:line="167" w:lineRule="exact"/>
        <w:rPr>
          <w:rFonts w:ascii="Arial" w:cs="Arial" w:eastAsia="Arial" w:hAnsi="Arial"/>
          <w:sz w:val="16"/>
          <w:szCs w:val="16"/>
          <w:color w:val="auto"/>
        </w:rPr>
      </w:pPr>
    </w:p>
    <w:p>
      <w:pPr>
        <w:ind w:left="860" w:right="120" w:hanging="384"/>
        <w:spacing w:after="0" w:line="281"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holders of certain of our warrants to purchase shares of Common Stock that were privately issued in connection with the M I IPO based on an exemption from registration under the Securities Act of 1933, as amended (the “Securities Act”), referred to as the “Private Warrants.” The Private Warrants entitle the holders to purchase one share of Common Stock for a purchase price of $11.50, subject to adjustments. The terms of the Private Warrants are identical to the Public Warrants, except that such Private Warrants are exercisable on a cashless basis and are not redeemable by us, in each case so long as they are still held by the initial holders or their affiliates. The Public Warrants and Private Warrants are referred to collectively as the “Warrants.” As of January 17, 2019, 421,107 Private Warrants were outstanding. Pursuant to the Offer, we are offering up to an aggregate of 80,852 shares of our Common Stock in exchange for the Private Warrants.</w:t>
      </w:r>
    </w:p>
    <w:p>
      <w:pPr>
        <w:spacing w:after="0" w:line="166"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Each Warrant holder whose Warrants are exchanged pursuant to the Offer will receive 0.1920 shares of our Common Stock for each Warrant tendered by such holder and exchanged. No fractional shares of our Common Stock will be issued pursuant to the Offer. In lieu of issuing fractional shares, any holder of Warrants who would otherwise have been entitled to receive fractional shares pursuant to the Offer will, after aggregating all such fractional shares of such holder, be paid in cash (without interest) in an amount equal to such fractional part of a share multiplied by the last sale price of our Common Stock on NASDAQ on the last trading day of the Offer Period (as defined below). Our obligation to complete the Offer is not conditioned on the receipt of a minimum number of tendered Warrants.</w:t>
      </w:r>
    </w:p>
    <w:p>
      <w:pPr>
        <w:spacing w:after="0" w:line="149"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Concurrently with the Offer, we are also soliciting consents (the “Consent Solicitation”) from holders of the Warrants to amend (the “Warrant Amendment”) the Warrant Agreement, dated as of September 13, 2016, by and between the Company and American Stock Transfer &amp; Trust Company, LLC (the “Warrant Agreement”), which governs all of the Warrants to permit the Company to require that each outstanding Warrant be converted into 0.1728 shares of Common Stock, which is a ratio 10% less than the ratio applicable to the Offer. Pursuant to the terms of the Warrant Agreement, the consent of holders of at least a majority of the outstanding Warrants is required to approve the Warrant Amendment, with the Public Warrant holders and Private Warrant holders voting together. Therefore, one of the conditions to the adoption of the Warrant Amendment is the receipt of the consent of holders of at least a majority of the outstanding Warrants. You may not consent to the Warrant Amendment without tendering your Warrants in the Offer and you may not tender your Warrants without consenting to the Warrant Amendment. The consent to the Warrant Amendment is a part of the letter of transmittal and consent relating to the Warrants (as it may be supplemented and amended from time to time, the “Letter of Transmittal and Consent”), and therefore by tendering your Warrants for exchange you will deliver to us your consent. You may revoke your consent at any time prior to the Expiration Date (as defined below) by withdrawing the Warrants you have tendered.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251065" cy="24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 w:name="page4"/>
    <w:bookmarkEnd w:id="3"/>
    <w:p>
      <w:pPr>
        <w:jc w:val="both"/>
        <w:ind w:right="120"/>
        <w:spacing w:after="0" w:line="264" w:lineRule="auto"/>
        <w:rPr>
          <w:sz w:val="20"/>
          <w:szCs w:val="20"/>
          <w:color w:val="auto"/>
        </w:rPr>
      </w:pPr>
      <w:r>
        <w:rPr>
          <w:rFonts w:ascii="Arial" w:cs="Arial" w:eastAsia="Arial" w:hAnsi="Arial"/>
          <w:sz w:val="17"/>
          <w:szCs w:val="17"/>
          <w:color w:val="auto"/>
        </w:rPr>
        <w:t>The Offer and Consent Solicitation is made solely upon the terms and conditions in this Prospectus/Offer to Exchange and in the related Letter of Transmittal and Consent. The Offer and Consent Solicitation will be open until 11:59 p.m., Eastern Standard Time, on February 12, 2019, or such later time and date to which we may extend (the period during which the Offer and Consent Solicitation is open, giving effect to any withdrawal or extension, is referred to as the “Offer Period,” and the date and time at which the Offer Period ends is referred to as the “Expiration Date”). The Offer and Consent Solicitation is not made to those holders who reside in states or other jurisdictions where an offer, solicitation or sale would be unlawful.</w:t>
      </w:r>
    </w:p>
    <w:p>
      <w:pPr>
        <w:spacing w:after="0" w:line="181"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We may withdraw the Offer and Consent Solicitation only if the conditions to the Offer and Consent Solicitation are not satisfied or waived prior to the Expiration Date. Promptly upon any such withdrawal, we will return the tendered Warrants to the holders (and the consent to the Warrant Amendment will be revoked).</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 If you tender Warrants, you may withdraw your tendered Warrants at any time before the Expiration Date and retain them on their current terms or amended terms if the Warrant Amendment is approved, by following the instructions in this Prospectus/Offer to Exchange. In addition, tendered Warrants that are not accepted by us for exchange by February 25, 2019, may thereafter be withdrawn by you until such time as the Warrants are accepted by us for exchange. If you withdraw the tender of your Warrants, your consent to the Warrant Amendment will be withdrawn as a result.</w:t>
      </w:r>
    </w:p>
    <w:p>
      <w:pPr>
        <w:spacing w:after="0" w:line="18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Warrants not exchanged for shares of our Common Stock pursuant to the Offer will remain outstanding subject to their current terms or amended terms if the Warrant Amendment is approved. We reserve the right to redeem any of the Warrants, as applicable, pursuant to their current terms at any time, including prior to the completion of the Offer and Consent Solicitation, and if the Warrant Amendment is approved, we intend to require the conversion of all outstanding Warrants to Common Stock as provided in the Warrant Amendment. Our Public Warrants are currently listed on NASDAQ under the symbol “PRTHW”; however, NASDAQ has advised us that they intend to delist our Public Warrants if any such Public Warrants remain outstanding as of February 27, 2019. See “Risk Factors —Risk Factors Related to Our Warrants and the Offer to Exchange and Consent Solicitation—NASDAQ intends to delist our Public Warrants from trading on its exchange, which would limit, for anyone holding Public Warrants after the completion of the Offer and Consent Solicitation and such delisting, the ability to engage in transactions in our Public Warrants.”</w:t>
      </w:r>
    </w:p>
    <w:p>
      <w:pPr>
        <w:spacing w:after="0" w:line="18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Offer and Consent Solicitation is conditioned upon the effectiveness of a registration statement on Form S-4 that we filed with the Securities and Exchange Commission (the “SEC”) regarding the shares of Common Stock issuable upon exchange of the Warrants pursuant to the Offer. This Prospectus/Offer to Exchange forms a part of the registration statement.</w:t>
      </w:r>
    </w:p>
    <w:p>
      <w:pPr>
        <w:spacing w:after="0" w:line="173"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Our board of directors has approved the Offer and Consent Solicitation. However, neither we nor any of our management, our board of directors, or the information agent, the exchange agent or the dealer manager for the Offer and Consent Solicitation is making any recommendation as to whether holders of Warrants should tender Warrants for exchange in the Offer and consent to the Warrant Amendment in the Consent Solicitation. Each holder of a Warrant must make its own decision as to whether to exchange some or all of its Warrants and consent to the Warrant Amendment.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All questions concerning the terms of the Offer and Consent Solicitation should be directed to the dealer manager:</w:t>
      </w: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Cowen and Company, LLC</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Tel: (833) 297-2926</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Attn: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All questions concerning exchange procedures and requests for additional copies of this Prospectus/Offer to Exchange, the Letter of Transmittal and Consent or the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Notice of Guaranteed Delivery should be directed to the information agent:</w:t>
      </w:r>
    </w:p>
    <w:p>
      <w:pPr>
        <w:spacing w:after="0" w:line="205"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D.F. King &amp; Co., Inc.</w:t>
      </w:r>
    </w:p>
    <w:p>
      <w:pPr>
        <w:ind w:left="4800"/>
        <w:spacing w:after="0" w:line="203"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jc w:val="center"/>
        <w:ind w:right="-1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Email: PRTH@dfking.com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274955</wp:posOffset>
            </wp:positionV>
            <wp:extent cx="7251065" cy="2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6" w:right="259" w:bottom="1440" w:gutter="0" w:footer="0" w:header="0"/>
        </w:sectPr>
      </w:pPr>
    </w:p>
    <w:bookmarkStart w:id="4" w:name="page5"/>
    <w:bookmarkEnd w:id="4"/>
    <w:p>
      <w:pPr>
        <w:ind w:right="320"/>
        <w:spacing w:after="0" w:line="288" w:lineRule="auto"/>
        <w:rPr>
          <w:sz w:val="20"/>
          <w:szCs w:val="20"/>
          <w:color w:val="auto"/>
        </w:rPr>
      </w:pPr>
      <w:r>
        <w:rPr>
          <w:rFonts w:ascii="Arial" w:cs="Arial" w:eastAsia="Arial" w:hAnsi="Arial"/>
          <w:sz w:val="17"/>
          <w:szCs w:val="17"/>
          <w:color w:val="auto"/>
        </w:rPr>
        <w:t>We will amend our offering materials, including this Prospectus/Offer to Exchange, to the extent required by applicable securities laws to disclose any material changes to information previously published, sent or given to Warrant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1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68" w:lineRule="exact"/>
        <w:rPr>
          <w:sz w:val="20"/>
          <w:szCs w:val="20"/>
          <w:color w:val="auto"/>
        </w:rPr>
      </w:pPr>
    </w:p>
    <w:p>
      <w:pPr>
        <w:ind w:right="200"/>
        <w:spacing w:after="0" w:line="296" w:lineRule="auto"/>
        <w:rPr>
          <w:sz w:val="20"/>
          <w:szCs w:val="20"/>
          <w:color w:val="auto"/>
        </w:rPr>
      </w:pPr>
      <w:r>
        <w:rPr>
          <w:rFonts w:ascii="Arial" w:cs="Arial" w:eastAsia="Arial" w:hAnsi="Arial"/>
          <w:sz w:val="17"/>
          <w:szCs w:val="17"/>
          <w:b w:val="1"/>
          <w:bCs w:val="1"/>
          <w:color w:val="auto"/>
        </w:rPr>
        <w:t>The securities offered by this Prospectus/Offer to Exchange involve risks. Before participating in the Offer and consenting to the Warrant Amendment, you are urged to read carefully the section entitled “Risk Factors” beginning on page 6 of this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1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74"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any other regulatory body has approved or disapproved of these securities or determined if this Prospectus/Offer to Exchange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1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9" w:lineRule="exact"/>
        <w:rPr>
          <w:sz w:val="20"/>
          <w:szCs w:val="20"/>
          <w:color w:val="auto"/>
        </w:rPr>
      </w:pPr>
    </w:p>
    <w:p>
      <w:pPr>
        <w:ind w:right="300"/>
        <w:spacing w:after="0" w:line="296" w:lineRule="auto"/>
        <w:rPr>
          <w:sz w:val="20"/>
          <w:szCs w:val="20"/>
          <w:color w:val="auto"/>
        </w:rPr>
      </w:pPr>
      <w:r>
        <w:rPr>
          <w:rFonts w:ascii="Arial" w:cs="Arial" w:eastAsia="Arial" w:hAnsi="Arial"/>
          <w:sz w:val="17"/>
          <w:szCs w:val="17"/>
          <w:b w:val="1"/>
          <w:bCs w:val="1"/>
          <w:color w:val="auto"/>
        </w:rPr>
        <w:t>Through the Offer, we are soliciting your consent to the Warrant Amendment. By tendering your Warrants, you will be delivering your consent to the proposed Warrant Amendment, which consent will be effective upon our acceptance of the Warrants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1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dealer manager for the Offer and Consent Solicitation 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154940</wp:posOffset>
            </wp:positionV>
            <wp:extent cx="72510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80" w:type="dxa"/>
            <w:vAlign w:val="bottom"/>
          </w:tcPr>
          <w:p>
            <w:pPr>
              <w:ind w:left="3400"/>
              <w:spacing w:after="0"/>
              <w:rPr>
                <w:sz w:val="20"/>
                <w:szCs w:val="20"/>
                <w:color w:val="auto"/>
              </w:rPr>
            </w:pPr>
            <w:r>
              <w:rPr>
                <w:rFonts w:ascii="Arial" w:cs="Arial" w:eastAsia="Arial" w:hAnsi="Arial"/>
                <w:sz w:val="17"/>
                <w:szCs w:val="17"/>
                <w:b w:val="1"/>
                <w:bCs w:val="1"/>
                <w:color w:val="auto"/>
              </w:rPr>
              <w:t>This Prospectus/Offer to Exchange is dated</w:t>
            </w:r>
          </w:p>
        </w:tc>
        <w:tc>
          <w:tcPr>
            <w:tcW w:w="4340" w:type="dxa"/>
            <w:vAlign w:val="bottom"/>
          </w:tcPr>
          <w:p>
            <w:pPr>
              <w:jc w:val="right"/>
              <w:ind w:right="3313"/>
              <w:spacing w:after="0"/>
              <w:rPr>
                <w:sz w:val="20"/>
                <w:szCs w:val="20"/>
                <w:color w:val="auto"/>
              </w:rPr>
            </w:pPr>
            <w:r>
              <w:rPr>
                <w:rFonts w:ascii="Arial" w:cs="Arial" w:eastAsia="Arial" w:hAnsi="Arial"/>
                <w:sz w:val="17"/>
                <w:szCs w:val="17"/>
                <w:b w:val="1"/>
                <w:bCs w:val="1"/>
                <w:color w:val="auto"/>
              </w:rPr>
              <w:t>, 2019.</w:t>
            </w:r>
          </w:p>
        </w:tc>
      </w:tr>
      <w:tr>
        <w:trPr>
          <w:trHeight w:val="210"/>
        </w:trPr>
        <w:tc>
          <w:tcPr>
            <w:tcW w:w="70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444"/>
        </w:trPr>
        <w:tc>
          <w:tcPr>
            <w:tcW w:w="70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20" w:type="dxa"/>
            <w:vAlign w:val="bottom"/>
            <w:gridSpan w:val="5"/>
          </w:tcPr>
          <w:p>
            <w:pPr>
              <w:ind w:left="72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19"/>
                <w:szCs w:val="19"/>
                <w:color w:val="auto"/>
              </w:rPr>
            </w:pPr>
          </w:p>
        </w:tc>
      </w:tr>
      <w:tr>
        <w:trPr>
          <w:trHeight w:val="419"/>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Page</w:t>
            </w:r>
          </w:p>
        </w:tc>
      </w:tr>
      <w:tr>
        <w:trPr>
          <w:trHeight w:val="373"/>
        </w:trPr>
        <w:tc>
          <w:tcPr>
            <w:tcW w:w="4040" w:type="dxa"/>
            <w:vAlign w:val="bottom"/>
            <w:tcBorders>
              <w:bottom w:val="single" w:sz="8" w:color="0000EE"/>
            </w:tcBorders>
            <w:gridSpan w:val="13"/>
          </w:tcPr>
          <w:p>
            <w:pPr>
              <w:spacing w:after="0"/>
              <w:rPr>
                <w:rFonts w:ascii="Arial" w:cs="Arial" w:eastAsia="Arial" w:hAnsi="Arial"/>
                <w:sz w:val="17"/>
                <w:szCs w:val="17"/>
                <w:color w:val="0000EE"/>
                <w:w w:val="96"/>
              </w:rPr>
            </w:pPr>
            <w:hyperlink w:anchor="page7">
              <w:r>
                <w:rPr>
                  <w:rFonts w:ascii="Arial" w:cs="Arial" w:eastAsia="Arial" w:hAnsi="Arial"/>
                  <w:sz w:val="17"/>
                  <w:szCs w:val="17"/>
                  <w:color w:val="0000EE"/>
                  <w:w w:val="96"/>
                </w:rPr>
                <w:t>ABOUT THIS PROSPECTUS/OFFER TO EXCHANGE</w:t>
              </w:r>
            </w:hyperlink>
          </w:p>
        </w:tc>
        <w:tc>
          <w:tcPr>
            <w:tcW w:w="682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ii</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8">
              <w:r>
                <w:rPr>
                  <w:rFonts w:ascii="Arial" w:cs="Arial" w:eastAsia="Arial" w:hAnsi="Arial"/>
                  <w:sz w:val="17"/>
                  <w:szCs w:val="17"/>
                  <w:color w:val="0000EE"/>
                </w:rPr>
                <w:t>FORWARD LOOKING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iii</w:t>
            </w:r>
          </w:p>
        </w:tc>
      </w:tr>
      <w:tr>
        <w:trPr>
          <w:trHeight w:val="399"/>
        </w:trPr>
        <w:tc>
          <w:tcPr>
            <w:tcW w:w="226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97"/>
              </w:rPr>
            </w:pPr>
            <w:hyperlink w:anchor="page10">
              <w:r>
                <w:rPr>
                  <w:rFonts w:ascii="Arial" w:cs="Arial" w:eastAsia="Arial" w:hAnsi="Arial"/>
                  <w:sz w:val="17"/>
                  <w:szCs w:val="17"/>
                  <w:color w:val="0000EE"/>
                  <w:w w:val="97"/>
                </w:rPr>
                <w:t>FREQUENTLY USED TERMS</w:t>
              </w:r>
            </w:hyperlink>
          </w:p>
        </w:tc>
        <w:tc>
          <w:tcPr>
            <w:tcW w:w="560" w:type="dxa"/>
            <w:vAlign w:val="bottom"/>
            <w:tcBorders>
              <w:top w:val="single" w:sz="8" w:color="0000EE"/>
            </w:tcBorders>
            <w:gridSpan w:val="2"/>
          </w:tcPr>
          <w:p>
            <w:pPr>
              <w:spacing w:after="0"/>
              <w:rPr>
                <w:sz w:val="24"/>
                <w:szCs w:val="24"/>
                <w:color w:val="auto"/>
              </w:rPr>
            </w:pPr>
          </w:p>
        </w:tc>
        <w:tc>
          <w:tcPr>
            <w:tcW w:w="804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v</w:t>
            </w:r>
          </w:p>
        </w:tc>
      </w:tr>
      <w:tr>
        <w:trPr>
          <w:trHeight w:val="399"/>
        </w:trPr>
        <w:tc>
          <w:tcPr>
            <w:tcW w:w="900" w:type="dxa"/>
            <w:vAlign w:val="bottom"/>
            <w:tcBorders>
              <w:bottom w:val="single" w:sz="8" w:color="0000EE"/>
            </w:tcBorders>
            <w:gridSpan w:val="3"/>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SUMMARY</w:t>
              </w:r>
            </w:hyperlink>
          </w:p>
        </w:tc>
        <w:tc>
          <w:tcPr>
            <w:tcW w:w="99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9"/>
        </w:trPr>
        <w:tc>
          <w:tcPr>
            <w:tcW w:w="122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16">
              <w:r>
                <w:rPr>
                  <w:rFonts w:ascii="Arial" w:cs="Arial" w:eastAsia="Arial" w:hAnsi="Arial"/>
                  <w:sz w:val="17"/>
                  <w:szCs w:val="17"/>
                  <w:color w:val="0000EE"/>
                  <w:w w:val="95"/>
                </w:rPr>
                <w:t>RISK FACTORS</w:t>
              </w:r>
            </w:hyperlink>
          </w:p>
        </w:tc>
        <w:tc>
          <w:tcPr>
            <w:tcW w:w="9640" w:type="dxa"/>
            <w:vAlign w:val="bottom"/>
            <w:gridSpan w:val="1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99"/>
        </w:trPr>
        <w:tc>
          <w:tcPr>
            <w:tcW w:w="3420" w:type="dxa"/>
            <w:vAlign w:val="bottom"/>
            <w:tcBorders>
              <w:bottom w:val="single" w:sz="8" w:color="0000EE"/>
            </w:tcBorders>
            <w:gridSpan w:val="11"/>
          </w:tcPr>
          <w:p>
            <w:pPr>
              <w:spacing w:after="0"/>
              <w:rPr>
                <w:rFonts w:ascii="Arial" w:cs="Arial" w:eastAsia="Arial" w:hAnsi="Arial"/>
                <w:sz w:val="17"/>
                <w:szCs w:val="17"/>
                <w:color w:val="0000EE"/>
                <w:w w:val="97"/>
              </w:rPr>
            </w:pPr>
            <w:hyperlink w:anchor="page40">
              <w:r>
                <w:rPr>
                  <w:rFonts w:ascii="Arial" w:cs="Arial" w:eastAsia="Arial" w:hAnsi="Arial"/>
                  <w:sz w:val="17"/>
                  <w:szCs w:val="17"/>
                  <w:color w:val="0000EE"/>
                  <w:w w:val="97"/>
                </w:rPr>
                <w:t>THE OFFER AND CONSENT SOLICITATION</w:t>
              </w:r>
            </w:hyperlink>
          </w:p>
        </w:tc>
        <w:tc>
          <w:tcPr>
            <w:tcW w:w="7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SELECTED FINANCIAL INFORMATION</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6380" w:type="dxa"/>
            <w:vAlign w:val="bottom"/>
            <w:tcBorders>
              <w:bottom w:val="single" w:sz="8" w:color="0000EE"/>
            </w:tcBorders>
            <w:gridSpan w:val="15"/>
          </w:tcPr>
          <w:p>
            <w:pPr>
              <w:spacing w:after="0"/>
              <w:rPr>
                <w:rFonts w:ascii="Arial" w:cs="Arial" w:eastAsia="Arial" w:hAnsi="Arial"/>
                <w:sz w:val="17"/>
                <w:szCs w:val="17"/>
                <w:color w:val="0000EE"/>
              </w:rPr>
            </w:pPr>
            <w:hyperlink w:anchor="page59">
              <w:r>
                <w:rPr>
                  <w:rFonts w:ascii="Arial" w:cs="Arial" w:eastAsia="Arial" w:hAnsi="Arial"/>
                  <w:sz w:val="17"/>
                  <w:szCs w:val="17"/>
                  <w:color w:val="0000EE"/>
                </w:rPr>
                <w:t>UNAUDITED PRO FORMA CONDENSED COMBINED FINANCIAL INFORMATION</w:t>
              </w:r>
            </w:hyperlink>
          </w:p>
        </w:tc>
        <w:tc>
          <w:tcPr>
            <w:tcW w:w="448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69">
              <w:r>
                <w:rPr>
                  <w:rFonts w:ascii="Arial" w:cs="Arial" w:eastAsia="Arial" w:hAnsi="Arial"/>
                  <w:sz w:val="17"/>
                  <w:szCs w:val="17"/>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0"/>
        </w:trPr>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399"/>
        </w:trPr>
        <w:tc>
          <w:tcPr>
            <w:tcW w:w="8580" w:type="dxa"/>
            <w:vAlign w:val="bottom"/>
            <w:tcBorders>
              <w:top w:val="single" w:sz="8" w:color="0000EE"/>
            </w:tcBorders>
            <w:gridSpan w:val="17"/>
          </w:tcPr>
          <w:p>
            <w:pPr>
              <w:spacing w:after="0"/>
              <w:rPr>
                <w:rFonts w:ascii="Arial" w:cs="Arial" w:eastAsia="Arial" w:hAnsi="Arial"/>
                <w:sz w:val="17"/>
                <w:szCs w:val="17"/>
                <w:color w:val="0000EE"/>
              </w:rPr>
            </w:pPr>
            <w:hyperlink w:anchor="page109">
              <w:r>
                <w:rPr>
                  <w:rFonts w:ascii="Arial" w:cs="Arial" w:eastAsia="Arial" w:hAnsi="Arial"/>
                  <w:sz w:val="17"/>
                  <w:szCs w:val="17"/>
                  <w:color w:val="0000EE"/>
                </w:rPr>
                <w:t>MANAGEMENT</w:t>
              </w:r>
            </w:hyperlink>
          </w:p>
        </w:tc>
        <w:tc>
          <w:tcPr>
            <w:tcW w:w="2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0"/>
        </w:trPr>
        <w:tc>
          <w:tcPr>
            <w:tcW w:w="74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DESCRIPTION OF CAPITAL STOCK</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0"/>
        </w:trPr>
        <w:tc>
          <w:tcPr>
            <w:tcW w:w="7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1">
              <w:r>
                <w:rPr>
                  <w:rFonts w:ascii="Arial" w:cs="Arial" w:eastAsia="Arial" w:hAnsi="Arial"/>
                  <w:sz w:val="17"/>
                  <w:szCs w:val="17"/>
                  <w:color w:val="0000EE"/>
                </w:rPr>
                <w:t>CERTAIN RELATIONSHIPS AND RELATED PERSON TRANSACTIONS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7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2">
              <w:r>
                <w:rPr>
                  <w:rFonts w:ascii="Arial" w:cs="Arial" w:eastAsia="Arial" w:hAnsi="Arial"/>
                  <w:sz w:val="17"/>
                  <w:szCs w:val="17"/>
                  <w:color w:val="0000EE"/>
                </w:rPr>
                <w:t>SECURITY OWNERSHIP OF CERTAIN BENEFICIAL OWNERS AND MANAGEMENT</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399"/>
        </w:trPr>
        <w:tc>
          <w:tcPr>
            <w:tcW w:w="14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9"/>
              </w:rPr>
            </w:pPr>
            <w:hyperlink w:anchor="page123">
              <w:r>
                <w:rPr>
                  <w:rFonts w:ascii="Arial" w:cs="Arial" w:eastAsia="Arial" w:hAnsi="Arial"/>
                  <w:sz w:val="17"/>
                  <w:szCs w:val="17"/>
                  <w:color w:val="0000EE"/>
                  <w:w w:val="99"/>
                </w:rPr>
                <w:t>LEGAL MATTERS</w:t>
              </w:r>
            </w:hyperlink>
          </w:p>
        </w:tc>
        <w:tc>
          <w:tcPr>
            <w:tcW w:w="5100" w:type="dxa"/>
            <w:vAlign w:val="bottom"/>
            <w:tcBorders>
              <w:top w:val="single" w:sz="8" w:color="0000EE"/>
            </w:tcBorders>
            <w:gridSpan w:val="10"/>
          </w:tcPr>
          <w:p>
            <w:pPr>
              <w:spacing w:after="0"/>
              <w:rPr>
                <w:sz w:val="24"/>
                <w:szCs w:val="24"/>
                <w:color w:val="auto"/>
              </w:rPr>
            </w:pPr>
          </w:p>
        </w:tc>
        <w:tc>
          <w:tcPr>
            <w:tcW w:w="43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99"/>
        </w:trPr>
        <w:tc>
          <w:tcPr>
            <w:tcW w:w="10860" w:type="dxa"/>
            <w:vAlign w:val="bottom"/>
            <w:gridSpan w:val="18"/>
          </w:tcPr>
          <w:p>
            <w:pPr>
              <w:spacing w:after="0"/>
              <w:rPr>
                <w:rFonts w:ascii="Arial" w:cs="Arial" w:eastAsia="Arial" w:hAnsi="Arial"/>
                <w:sz w:val="17"/>
                <w:szCs w:val="17"/>
                <w:color w:val="0000EE"/>
              </w:rPr>
            </w:pPr>
            <w:hyperlink w:anchor="page123">
              <w:r>
                <w:rPr>
                  <w:rFonts w:ascii="Arial" w:cs="Arial" w:eastAsia="Arial" w:hAnsi="Arial"/>
                  <w:sz w:val="17"/>
                  <w:szCs w:val="17"/>
                  <w:color w:val="0000EE"/>
                </w:rPr>
                <w:t>EXPERTS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0"/>
        </w:trPr>
        <w:tc>
          <w:tcPr>
            <w:tcW w:w="740" w:type="dxa"/>
            <w:vAlign w:val="bottom"/>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16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3700" w:type="dxa"/>
            <w:vAlign w:val="bottom"/>
            <w:tcBorders>
              <w:bottom w:val="single" w:sz="8" w:color="0000EE"/>
            </w:tcBorders>
            <w:gridSpan w:val="12"/>
          </w:tcPr>
          <w:p>
            <w:pPr>
              <w:spacing w:after="0"/>
              <w:rPr>
                <w:rFonts w:ascii="Arial" w:cs="Arial" w:eastAsia="Arial" w:hAnsi="Arial"/>
                <w:sz w:val="17"/>
                <w:szCs w:val="17"/>
                <w:color w:val="0000EE"/>
                <w:w w:val="99"/>
              </w:rPr>
            </w:pPr>
            <w:hyperlink w:anchor="page123">
              <w:r>
                <w:rPr>
                  <w:rFonts w:ascii="Arial" w:cs="Arial" w:eastAsia="Arial" w:hAnsi="Arial"/>
                  <w:sz w:val="17"/>
                  <w:szCs w:val="17"/>
                  <w:color w:val="0000EE"/>
                  <w:w w:val="99"/>
                </w:rPr>
                <w:t>WHERE YOU CAN FIND MORE INFORMATION</w:t>
              </w:r>
            </w:hyperlink>
          </w:p>
        </w:tc>
        <w:tc>
          <w:tcPr>
            <w:tcW w:w="71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399"/>
        </w:trPr>
        <w:tc>
          <w:tcPr>
            <w:tcW w:w="3100" w:type="dxa"/>
            <w:vAlign w:val="bottom"/>
            <w:tcBorders>
              <w:bottom w:val="single" w:sz="8" w:color="0000EE"/>
            </w:tcBorders>
            <w:gridSpan w:val="10"/>
          </w:tcPr>
          <w:p>
            <w:pPr>
              <w:spacing w:after="0"/>
              <w:rPr>
                <w:rFonts w:ascii="Arial" w:cs="Arial" w:eastAsia="Arial" w:hAnsi="Arial"/>
                <w:sz w:val="17"/>
                <w:szCs w:val="17"/>
                <w:b w:val="1"/>
                <w:bCs w:val="1"/>
                <w:color w:val="0000EE"/>
              </w:rPr>
            </w:pPr>
            <w:hyperlink w:anchor="page124">
              <w:r>
                <w:rPr>
                  <w:rFonts w:ascii="Arial" w:cs="Arial" w:eastAsia="Arial" w:hAnsi="Arial"/>
                  <w:sz w:val="17"/>
                  <w:szCs w:val="17"/>
                  <w:b w:val="1"/>
                  <w:bCs w:val="1"/>
                  <w:color w:val="0000EE"/>
                </w:rPr>
                <w:t>INDEX TO FINANCIAL STATEMENTS</w:t>
              </w:r>
            </w:hyperlink>
          </w:p>
        </w:tc>
        <w:tc>
          <w:tcPr>
            <w:tcW w:w="776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F-1</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80"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7"/>
          <w:szCs w:val="17"/>
          <w:b w:val="1"/>
          <w:bCs w:val="1"/>
          <w:color w:val="auto"/>
        </w:rPr>
        <w:t>ABOUT THIS PROSPECTUS/OFFER TO EXCHANGE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Prospectus/Offer to Exchange is a part of the registration statement that we filed on Form S-4 with the Securities and Exchange Commission. You should read this Prospectus/Offer to Exchange, including the detailed information regarding our company, Common Stock and Warrants, and the financial statements and the notes to those statements that appear elsewhere in this Prospectus/Offer to Exchange and any applicable prospectus supplement.</w:t>
      </w:r>
    </w:p>
    <w:p>
      <w:pPr>
        <w:spacing w:after="0" w:line="148"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this Prospectus/Offer to Exchange and in any accompanying prospectus supplement. We have not authorized anyone to provide you with information different from that contained in this Prospectus/Offer to Exchange. If anyone makes any recommendation or representation to you, or gives you any information, you must not rely upon that recommendation, representation or information as having been authorized by us. We and the dealer manager take no responsibility for, and can provide no assurance as to the reliability of, any other information that others may give you. You should not assume that the information in this Prospectus/Offer to Exchange or any prospectus supplement is accurate as of any date other than the date on the front of those documents. You should not consider this Prospectus/Offer to Exchange to be an offer or solicitation relating to the securities in any jurisdiction in which such an offer or solicitation relating to the securities is not authorized. Furthermore, you should not consider this Prospectus/Offer to Exchange to be an offer or solicitation relating to the securities if the person making the offer or solicitation is not qualified to do so, or if it is unlawful for you to receive such an offer or solicitation.</w:t>
      </w:r>
    </w:p>
    <w:p>
      <w:pPr>
        <w:spacing w:after="0" w:line="167"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Unless the context requires otherwise, in this Prospectus/Offer to Exchange, we use the terms “the Company,” “Priority,” “our company,” “we,” “us,” “our,” and similar references to refer to Priority Technology Holdings, Inc. and its subsidiaries.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0" w:right="259" w:bottom="1440" w:gutter="0" w:footer="0" w:header="0"/>
        </w:sectPr>
      </w:pPr>
    </w:p>
    <w:bookmarkStart w:id="7" w:name="page8"/>
    <w:bookmarkEnd w:id="7"/>
    <w:p>
      <w:pPr>
        <w:ind w:left="4220"/>
        <w:spacing w:after="0"/>
        <w:rPr>
          <w:sz w:val="20"/>
          <w:szCs w:val="20"/>
          <w:color w:val="auto"/>
        </w:rPr>
      </w:pPr>
      <w:r>
        <w:rPr>
          <w:rFonts w:ascii="Arial" w:cs="Arial" w:eastAsia="Arial" w:hAnsi="Arial"/>
          <w:sz w:val="17"/>
          <w:szCs w:val="17"/>
          <w:b w:val="1"/>
          <w:bCs w:val="1"/>
          <w:color w:val="auto"/>
        </w:rPr>
        <w:t>FORWARD LOOKING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Some of the statements made in this Prospectus/Offer to Exchange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Prospectus/Offer to Exchange include, but are not limited to, statements about:</w:t>
      </w:r>
    </w:p>
    <w:p>
      <w:pPr>
        <w:spacing w:after="0" w:line="166"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in the payment processing industry;</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use of distribution partners;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unauthorized disclosure of merchant or cardholder data, whether through breach of our computer systems, computer viruses, or otherwise;</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breakdowns in our processing systems;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regulation of consumer information;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use of third-party vendors;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changes in card association and debit network fees or products;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failure to comply with the rules established by payment networks or standards established by third-party processors;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proposed acquisitions or any risks associated with completed acquisitions;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approval of the Warrant Amendment and our ability to require that all outstanding Warrants be exchanged for shares of Common Stock;</w:t>
      </w:r>
    </w:p>
    <w:p>
      <w:pPr>
        <w:spacing w:after="0" w:line="223" w:lineRule="exact"/>
        <w:rPr>
          <w:rFonts w:ascii="Arial" w:cs="Arial" w:eastAsia="Arial" w:hAnsi="Arial"/>
          <w:sz w:val="17"/>
          <w:szCs w:val="17"/>
          <w:color w:val="auto"/>
        </w:rPr>
      </w:pPr>
    </w:p>
    <w:p>
      <w:pPr>
        <w:ind w:left="640" w:right="360" w:hanging="321"/>
        <w:spacing w:after="0" w:line="288"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exchange of Warrants for shares of Common Stock pursuant to the Offer, which will increase the number of shares eligible for future resale in the public market and result in dilution to our stockholders;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lack of a third-party determination that the Offer or the Consent Solicitation is fair to Warrant holders;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risks and uncertainties set forth in the “Risk Factors” section of this Prospectus/Offer to Exchange.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caution you that the foregoing list may not contain all of the forward-looking statements made in this Prospectus/Offer to Exchange.</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forward-looking statements contained in this Prospectus/Offer to Exchange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including the risk factors set forth on page 6 of this Prospectus/Offer to Exchange,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Prospectus/Offer to Exchange,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80" w:right="259" w:bottom="1440" w:gutter="0" w:footer="0" w:header="0"/>
        </w:sectPr>
      </w:pPr>
    </w:p>
    <w:bookmarkStart w:id="8" w:name="page9"/>
    <w:bookmarkEnd w:id="8"/>
    <w:p>
      <w:pPr>
        <w:ind w:right="60"/>
        <w:spacing w:after="0" w:line="288" w:lineRule="auto"/>
        <w:rPr>
          <w:sz w:val="20"/>
          <w:szCs w:val="20"/>
          <w:color w:val="auto"/>
        </w:rPr>
      </w:pPr>
      <w:r>
        <w:rPr>
          <w:rFonts w:ascii="Arial" w:cs="Arial" w:eastAsia="Arial" w:hAnsi="Arial"/>
          <w:sz w:val="17"/>
          <w:szCs w:val="17"/>
          <w:color w:val="auto"/>
        </w:rPr>
        <w:t>You should read this Prospectus/Offer to Exchange with the understanding that our actual future results, levels of activity, performance and achievements may be materially different from what we expect. We qualify all of our forward-looking statements by these cautionary statements.</w:t>
      </w:r>
    </w:p>
    <w:p>
      <w:pPr>
        <w:spacing w:after="0" w:line="15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20"/>
          </w:cols>
          <w:pgMar w:left="240" w:top="886" w:right="33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7"/>
          <w:szCs w:val="17"/>
          <w:b w:val="1"/>
          <w:bCs w:val="1"/>
          <w:color w:val="auto"/>
        </w:rPr>
        <w:t>FREQUENTLY USED TERMS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this Prospectus/Offer to Exchange:</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that certain business combination contemplated by that certain contribution agreement, dated February 26, 2018, as amended and restated on March 26, 2018 and April 17, 2018, by and among M I and the Sellers and consummated as of July 25, 2018.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means the shares of common stock, with a par value of $0.001 per share, of Priority.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Consent Solicitation</w:t>
      </w:r>
      <w:r>
        <w:rPr>
          <w:rFonts w:ascii="Arial" w:cs="Arial" w:eastAsia="Arial" w:hAnsi="Arial"/>
          <w:sz w:val="17"/>
          <w:szCs w:val="17"/>
          <w:color w:val="auto"/>
        </w:rPr>
        <w:t>” means the solicitation of consent from the holders of the Warrants to approve the Warrant Amendment.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Expiration Date</w:t>
      </w:r>
      <w:r>
        <w:rPr>
          <w:rFonts w:ascii="Arial" w:cs="Arial" w:eastAsia="Arial" w:hAnsi="Arial"/>
          <w:sz w:val="17"/>
          <w:szCs w:val="17"/>
          <w:color w:val="auto"/>
        </w:rPr>
        <w:t>” means 11:59 p.m., Eastern Standard Time on February 12, 2019 or such later date and time to which we may extend.</w:t>
      </w:r>
    </w:p>
    <w:p>
      <w:pPr>
        <w:spacing w:after="0" w:line="22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Letter of Transmittal and Consent</w:t>
      </w:r>
      <w:r>
        <w:rPr>
          <w:rFonts w:ascii="Arial" w:cs="Arial" w:eastAsia="Arial" w:hAnsi="Arial"/>
          <w:sz w:val="17"/>
          <w:szCs w:val="17"/>
          <w:color w:val="auto"/>
        </w:rPr>
        <w:t>” means the letter of transmittal and consent (as it may be supplemented and amended from time to time) related to the Offer and Consent Solicitation.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 I</w:t>
      </w:r>
      <w:r>
        <w:rPr>
          <w:rFonts w:ascii="Arial" w:cs="Arial" w:eastAsia="Arial" w:hAnsi="Arial"/>
          <w:sz w:val="17"/>
          <w:szCs w:val="17"/>
          <w:color w:val="auto"/>
        </w:rPr>
        <w:t>” means 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 I IPO</w:t>
      </w:r>
      <w:r>
        <w:rPr>
          <w:rFonts w:ascii="Arial" w:cs="Arial" w:eastAsia="Arial" w:hAnsi="Arial"/>
          <w:sz w:val="17"/>
          <w:szCs w:val="17"/>
          <w:color w:val="auto"/>
        </w:rPr>
        <w:t>” means the initial public offering of M I’s securities on September 19, 2016.</w:t>
      </w:r>
    </w:p>
    <w:p>
      <w:pPr>
        <w:spacing w:after="0" w:line="223"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Notice of Guaranteed Delivery</w:t>
      </w:r>
      <w:r>
        <w:rPr>
          <w:rFonts w:ascii="Arial" w:cs="Arial" w:eastAsia="Arial" w:hAnsi="Arial"/>
          <w:sz w:val="17"/>
          <w:szCs w:val="17"/>
          <w:color w:val="auto"/>
        </w:rPr>
        <w:t>” means the form provided with this Prospectus/Offer to Exchange to be used to accept the Offer pursuant to the conditions set forth therein.</w:t>
      </w:r>
    </w:p>
    <w:p>
      <w:pPr>
        <w:spacing w:after="0" w:line="159" w:lineRule="exact"/>
        <w:rPr>
          <w:sz w:val="20"/>
          <w:szCs w:val="20"/>
          <w:color w:val="auto"/>
        </w:rPr>
      </w:pPr>
    </w:p>
    <w:p>
      <w:pPr>
        <w:jc w:val="both"/>
        <w:ind w:right="120"/>
        <w:spacing w:after="0" w:line="359"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Offer</w:t>
      </w:r>
      <w:r>
        <w:rPr>
          <w:rFonts w:ascii="Arial" w:cs="Arial" w:eastAsia="Arial" w:hAnsi="Arial"/>
          <w:sz w:val="15"/>
          <w:szCs w:val="15"/>
          <w:color w:val="auto"/>
        </w:rPr>
        <w:t>” means the opportunity to receive 0.1920 shares of Common Stock in exchange for each of our outstanding warrants, up to an aggregate of (i) 1,019,541 shares of Common Stock in exchange for all 5,310,109 Public Warrants and (ii) 80,852 shares of Common Stock in exchange for all 421,107 Private Warrants.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Offer Period</w:t>
      </w:r>
      <w:r>
        <w:rPr>
          <w:rFonts w:ascii="Arial" w:cs="Arial" w:eastAsia="Arial" w:hAnsi="Arial"/>
          <w:sz w:val="17"/>
          <w:szCs w:val="17"/>
          <w:color w:val="auto"/>
        </w:rPr>
        <w:t>” means the period during which the Offer and Consent Solicitation is open, giving effect to any withdrawal or extension.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Priority</w:t>
      </w:r>
      <w:r>
        <w:rPr>
          <w:rFonts w:ascii="Arial" w:cs="Arial" w:eastAsia="Arial" w:hAnsi="Arial"/>
          <w:sz w:val="17"/>
          <w:szCs w:val="17"/>
          <w:color w:val="auto"/>
        </w:rPr>
        <w:t>” or the “</w:t>
      </w:r>
      <w:r>
        <w:rPr>
          <w:rFonts w:ascii="Arial" w:cs="Arial" w:eastAsia="Arial" w:hAnsi="Arial"/>
          <w:sz w:val="17"/>
          <w:szCs w:val="17"/>
          <w:i w:val="1"/>
          <w:iCs w:val="1"/>
          <w:color w:val="auto"/>
        </w:rPr>
        <w:t>Company</w:t>
      </w:r>
      <w:r>
        <w:rPr>
          <w:rFonts w:ascii="Arial" w:cs="Arial" w:eastAsia="Arial" w:hAnsi="Arial"/>
          <w:sz w:val="17"/>
          <w:szCs w:val="17"/>
          <w:color w:val="auto"/>
        </w:rPr>
        <w:t>” means Priority Technology Holdings, Inc., a Delaware corporation.</w:t>
      </w:r>
    </w:p>
    <w:p>
      <w:pPr>
        <w:spacing w:after="0" w:line="22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Warrants</w:t>
      </w:r>
      <w:r>
        <w:rPr>
          <w:rFonts w:ascii="Arial" w:cs="Arial" w:eastAsia="Arial" w:hAnsi="Arial"/>
          <w:sz w:val="17"/>
          <w:szCs w:val="17"/>
          <w:color w:val="auto"/>
        </w:rPr>
        <w:t>” mean our warrants to purchase shares of Common Stock that were privately issued in connection with the M I IPO, entitling each holder to purchase one share of Common Stock for a purchase price of $11.50, subject to adjustments.</w:t>
      </w:r>
    </w:p>
    <w:p>
      <w:pPr>
        <w:spacing w:after="0" w:line="159"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Warrants</w:t>
      </w:r>
      <w:r>
        <w:rPr>
          <w:rFonts w:ascii="Arial" w:cs="Arial" w:eastAsia="Arial" w:hAnsi="Arial"/>
          <w:sz w:val="17"/>
          <w:szCs w:val="17"/>
          <w:color w:val="auto"/>
        </w:rPr>
        <w:t>” mean our publicly traded warrants to purchase our shares of Common Stock that were originally issued as warrants to purchase the common stock of M I, entitling each holder to purchase one share of Common Stock for a purchase price of $11.50, subject to adjustments.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 mean the Securities and Exchange Commission.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Sellers</w:t>
      </w:r>
      <w:r>
        <w:rPr>
          <w:rFonts w:ascii="Arial" w:cs="Arial" w:eastAsia="Arial" w:hAnsi="Arial"/>
          <w:sz w:val="17"/>
          <w:szCs w:val="17"/>
          <w:color w:val="auto"/>
        </w:rPr>
        <w:t>” means Priority Investment Holdings, LLC and Priority Incentive Equity Holdings, LLC.</w:t>
      </w:r>
    </w:p>
    <w:p>
      <w:pPr>
        <w:spacing w:after="0" w:line="22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Agreement</w:t>
      </w:r>
      <w:r>
        <w:rPr>
          <w:rFonts w:ascii="Arial" w:cs="Arial" w:eastAsia="Arial" w:hAnsi="Arial"/>
          <w:sz w:val="17"/>
          <w:szCs w:val="17"/>
          <w:color w:val="auto"/>
        </w:rPr>
        <w:t>” means the Warrant Agreement, dated as of September 13, 2016, by and between the Company and American Stock Transfer &amp; Trust Company, LLC.</w:t>
      </w:r>
    </w:p>
    <w:p>
      <w:pPr>
        <w:spacing w:after="0" w:line="159"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Amendment</w:t>
      </w:r>
      <w:r>
        <w:rPr>
          <w:rFonts w:ascii="Arial" w:cs="Arial" w:eastAsia="Arial" w:hAnsi="Arial"/>
          <w:sz w:val="17"/>
          <w:szCs w:val="17"/>
          <w:color w:val="auto"/>
        </w:rPr>
        <w:t>” means the amendment to the Warrant Agreement permitting the Company to require that each outstanding Warrant be converted into 0.1728 shares of Common Stock, which is a ratio 10% less than the ratio applicable to the Offer.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Warrants</w:t>
      </w:r>
      <w:r>
        <w:rPr>
          <w:rFonts w:ascii="Arial" w:cs="Arial" w:eastAsia="Arial" w:hAnsi="Arial"/>
          <w:sz w:val="17"/>
          <w:szCs w:val="17"/>
          <w:color w:val="auto"/>
        </w:rPr>
        <w:t>” mean the Public Warrants and the Private Warrants.</w:t>
      </w: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260"/>
          </w:cols>
          <w:pgMar w:left="240" w:top="88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153035</wp:posOffset>
            </wp:positionH>
            <wp:positionV relativeFrom="page">
              <wp:posOffset>568325</wp:posOffset>
            </wp:positionV>
            <wp:extent cx="7280275" cy="7230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0275" cy="7230110"/>
                    </a:xfrm>
                    <a:prstGeom prst="rect">
                      <a:avLst/>
                    </a:prstGeom>
                    <a:noFill/>
                  </pic:spPr>
                </pic:pic>
              </a:graphicData>
            </a:graphic>
          </wp:anchor>
        </w:drawing>
        <w:t>SUMMARY</w:t>
      </w:r>
    </w:p>
    <w:p>
      <w:pPr>
        <w:spacing w:after="0" w:line="229" w:lineRule="exact"/>
        <w:rPr>
          <w:sz w:val="20"/>
          <w:szCs w:val="20"/>
          <w:color w:val="auto"/>
        </w:rPr>
      </w:pPr>
    </w:p>
    <w:p>
      <w:pPr>
        <w:ind w:left="260" w:right="280"/>
        <w:spacing w:after="0" w:line="267" w:lineRule="auto"/>
        <w:rPr>
          <w:sz w:val="20"/>
          <w:szCs w:val="20"/>
          <w:color w:val="auto"/>
        </w:rPr>
      </w:pPr>
      <w:r>
        <w:rPr>
          <w:rFonts w:ascii="Arial" w:cs="Arial" w:eastAsia="Arial" w:hAnsi="Arial"/>
          <w:sz w:val="17"/>
          <w:szCs w:val="17"/>
          <w:i w:val="1"/>
          <w:iCs w:val="1"/>
          <w:color w:val="auto"/>
        </w:rPr>
        <w:t>In this Prospectus/Offer to Exchange, unless otherwise stated, the terms “the Company,” “Priority,” “we,” “us” or “our” refer to Priority Technology Holdings, Inc. and its subsidiaries. Except where noted, references to our business, operations, properties, financial results, operating and other information relating to periods prior to the consummation of the Business Combination on July 25, 2018, refer to the business, operations, properties, financial results, operating and other information of Priority Holdings, LLC, our accounting predecessor.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Offer and Consent Solicitation</w:t>
      </w:r>
    </w:p>
    <w:p>
      <w:pPr>
        <w:spacing w:after="0" w:line="229" w:lineRule="exact"/>
        <w:rPr>
          <w:sz w:val="20"/>
          <w:szCs w:val="20"/>
          <w:color w:val="auto"/>
        </w:rPr>
      </w:pPr>
    </w:p>
    <w:p>
      <w:pPr>
        <w:ind w:left="260" w:right="260"/>
        <w:spacing w:after="0" w:line="264" w:lineRule="auto"/>
        <w:rPr>
          <w:sz w:val="20"/>
          <w:szCs w:val="20"/>
          <w:color w:val="auto"/>
        </w:rPr>
      </w:pPr>
      <w:r>
        <w:rPr>
          <w:rFonts w:ascii="Arial" w:cs="Arial" w:eastAsia="Arial" w:hAnsi="Arial"/>
          <w:sz w:val="17"/>
          <w:szCs w:val="17"/>
          <w:i w:val="1"/>
          <w:iCs w:val="1"/>
          <w:color w:val="auto"/>
        </w:rPr>
        <w:t>This summary provides a brief overview of the key aspects of the Offer and Consent Solicitation. Because it is only a summary, it does not contain all of the detailed information contained elsewhere in this Prospectus/Offer to Exchange or in the documents included as exhibits to the registration statement that contains this Prospectus/Offer to Exchange. Accordingly, you are urged to carefully review this Prospectus/Offer to Exchange in its entirety (including all documents filed as exhibits to the registration statement that contains this Prospectus/Offer to Exchange, which may be obtained by following the procedures set forth herein in the section entitled “Where You Can Find Additional Information”).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Summary of the Offer and Consent Solicitation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140" w:type="dxa"/>
            <w:vAlign w:val="bottom"/>
          </w:tcPr>
          <w:p>
            <w:pPr>
              <w:ind w:left="260"/>
              <w:spacing w:after="0"/>
              <w:rPr>
                <w:sz w:val="20"/>
                <w:szCs w:val="20"/>
                <w:color w:val="auto"/>
              </w:rPr>
            </w:pPr>
            <w:r>
              <w:rPr>
                <w:rFonts w:ascii="Arial" w:cs="Arial" w:eastAsia="Arial" w:hAnsi="Arial"/>
                <w:sz w:val="17"/>
                <w:szCs w:val="17"/>
                <w:color w:val="auto"/>
              </w:rPr>
              <w:t>Our Company</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9"/>
              </w:rPr>
              <w:t>Priority Technology Holdings, Inc., a Delaware corporation, a leading provider of merchant acquiring and</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commercial payment solutions, offering unique product capabilities to small and mid-sized businesses,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enterprises and distribution partners (retail and wholesale independent sales organizations, financial</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institutions and independent software vendors) in the United States.</w:t>
            </w:r>
          </w:p>
        </w:tc>
      </w:tr>
      <w:tr>
        <w:trPr>
          <w:trHeight w:val="406"/>
        </w:trPr>
        <w:tc>
          <w:tcPr>
            <w:tcW w:w="3140" w:type="dxa"/>
            <w:vAlign w:val="bottom"/>
          </w:tcPr>
          <w:p>
            <w:pPr>
              <w:ind w:left="260"/>
              <w:spacing w:after="0"/>
              <w:rPr>
                <w:sz w:val="20"/>
                <w:szCs w:val="20"/>
                <w:color w:val="auto"/>
              </w:rPr>
            </w:pPr>
            <w:r>
              <w:rPr>
                <w:rFonts w:ascii="Arial" w:cs="Arial" w:eastAsia="Arial" w:hAnsi="Arial"/>
                <w:sz w:val="17"/>
                <w:szCs w:val="17"/>
                <w:color w:val="auto"/>
              </w:rPr>
              <w:t>Corporate Contact Information</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Our principal executive offices are located at 2001 Westside Parkway, Alpharetta, GA 30004, and our</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telephone number is (800) 935-5961.</w:t>
            </w:r>
          </w:p>
        </w:tc>
      </w:tr>
      <w:tr>
        <w:trPr>
          <w:trHeight w:val="419"/>
        </w:trPr>
        <w:tc>
          <w:tcPr>
            <w:tcW w:w="3140" w:type="dxa"/>
            <w:vAlign w:val="bottom"/>
          </w:tcPr>
          <w:p>
            <w:pPr>
              <w:ind w:left="260"/>
              <w:spacing w:after="0"/>
              <w:rPr>
                <w:sz w:val="20"/>
                <w:szCs w:val="20"/>
                <w:color w:val="auto"/>
              </w:rPr>
            </w:pPr>
            <w:r>
              <w:rPr>
                <w:rFonts w:ascii="Arial" w:cs="Arial" w:eastAsia="Arial" w:hAnsi="Arial"/>
                <w:sz w:val="17"/>
                <w:szCs w:val="17"/>
                <w:color w:val="auto"/>
              </w:rPr>
              <w:t>Warrants that qualify for the Offer</w:t>
            </w: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Warrants</w:t>
            </w:r>
            <w:r>
              <w:rPr>
                <w:rFonts w:ascii="Arial" w:cs="Arial" w:eastAsia="Arial" w:hAnsi="Arial"/>
                <w:sz w:val="17"/>
                <w:szCs w:val="17"/>
                <w:color w:val="auto"/>
              </w:rPr>
              <w:t>”</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As of January 17, 2019, we had outstanding Public Warrants to purchase an aggregate of 5,310,109 shares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of our Common Stock. The Public Warrants were originally issued in connection with the M I IPO.</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Pursuant to the Offer, we are offering up to an aggregate of 1,019,541 shares of our Common Stock in</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exchange for all of the Public Warrants.</w:t>
            </w:r>
          </w:p>
        </w:tc>
      </w:tr>
      <w:tr>
        <w:trPr>
          <w:trHeight w:val="419"/>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Private Warrants</w:t>
            </w:r>
            <w:r>
              <w:rPr>
                <w:rFonts w:ascii="Arial" w:cs="Arial" w:eastAsia="Arial" w:hAnsi="Arial"/>
                <w:sz w:val="17"/>
                <w:szCs w:val="17"/>
                <w:color w:val="auto"/>
              </w:rPr>
              <w:t>”</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4"/>
              </w:rPr>
              <w:t>As of January 17, 2019, we had outstanding Private Warrants to purchase an aggregate of 421,107 shares of</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our Common Stock. The Private Warrants were issued in connection with the M I IPO. Pursuant to the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7"/>
              </w:rPr>
              <w:t>Offer, we are offering up to an aggregate of 80,852 shares of our Common Stock in exchange for all of the</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Private Warrants.</w:t>
            </w:r>
          </w:p>
        </w:tc>
      </w:tr>
      <w:tr>
        <w:trPr>
          <w:trHeight w:val="419"/>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i w:val="1"/>
                <w:iCs w:val="1"/>
                <w:color w:val="auto"/>
              </w:rPr>
              <w:t>General Terms of the Warrants</w:t>
            </w:r>
          </w:p>
        </w:tc>
      </w:tr>
      <w:tr>
        <w:trPr>
          <w:trHeight w:val="406"/>
        </w:trPr>
        <w:tc>
          <w:tcPr>
            <w:tcW w:w="3140" w:type="dxa"/>
            <w:vAlign w:val="bottom"/>
          </w:tcPr>
          <w:p>
            <w:pPr>
              <w:spacing w:after="0"/>
              <w:rPr>
                <w:sz w:val="24"/>
                <w:szCs w:val="24"/>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Each Warrant entitles such warrant holder to purchase one share of Common Stock for a purchase price of</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$11.50, subject to adjustments pursuant to the Warrant Agreement. We may call the Public Warrants or the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rPr>
              <w:t>Private Warrants, if no longer held by their initial holders or their affiliates, for redemption, at any time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8"/>
              </w:rPr>
              <w:t>while the Warrants are exercisable, upon not less than 30 days’ prior written notice of redemption to each</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5"/>
              </w:rPr>
              <w:t>Warrant holder, at $0.01 per warrant, if and only if the last sale price of our Common Stock has been $16.00</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5"/>
              </w:rPr>
              <w:t>per share on each of 20 trading days within a 30 consecutive trading day period and if, and only if, there is a</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current registration statement in effect with respect to the Common Stock underlying the Warrants available</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throughout the 30-day redemption period or cashless exercise is exempt from the registration requirements</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6"/>
              </w:rPr>
              <w:t>under the Securities Act. The terms of the Private Warrants are identical to the Public Warrants, except that</w:t>
            </w:r>
          </w:p>
        </w:tc>
      </w:tr>
      <w:tr>
        <w:trPr>
          <w:trHeight w:val="209"/>
        </w:trPr>
        <w:tc>
          <w:tcPr>
            <w:tcW w:w="3140" w:type="dxa"/>
            <w:vAlign w:val="bottom"/>
          </w:tcPr>
          <w:p>
            <w:pPr>
              <w:spacing w:after="0"/>
              <w:rPr>
                <w:sz w:val="18"/>
                <w:szCs w:val="18"/>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3"/>
              </w:rPr>
              <w:t>such Private Warrants are exercisable on a cashless basis and are not redeemable by us, in each case so long</w:t>
            </w:r>
          </w:p>
        </w:tc>
      </w:tr>
      <w:tr>
        <w:trPr>
          <w:trHeight w:val="221"/>
        </w:trPr>
        <w:tc>
          <w:tcPr>
            <w:tcW w:w="3140" w:type="dxa"/>
            <w:vAlign w:val="bottom"/>
          </w:tcPr>
          <w:p>
            <w:pPr>
              <w:spacing w:after="0"/>
              <w:rPr>
                <w:sz w:val="19"/>
                <w:szCs w:val="19"/>
                <w:color w:val="auto"/>
              </w:rPr>
            </w:pPr>
          </w:p>
        </w:tc>
        <w:tc>
          <w:tcPr>
            <w:tcW w:w="8320" w:type="dxa"/>
            <w:vAlign w:val="bottom"/>
            <w:gridSpan w:val="2"/>
          </w:tcPr>
          <w:p>
            <w:pPr>
              <w:ind w:left="520"/>
              <w:spacing w:after="0"/>
              <w:rPr>
                <w:sz w:val="20"/>
                <w:szCs w:val="20"/>
                <w:color w:val="auto"/>
              </w:rPr>
            </w:pPr>
            <w:r>
              <w:rPr>
                <w:rFonts w:ascii="Arial" w:cs="Arial" w:eastAsia="Arial" w:hAnsi="Arial"/>
                <w:sz w:val="17"/>
                <w:szCs w:val="17"/>
                <w:color w:val="auto"/>
                <w:w w:val="99"/>
              </w:rPr>
              <w:t>as they are still held by the initial holders or their affiliates. The Warrants expire on September 19, 2021.</w:t>
            </w:r>
          </w:p>
        </w:tc>
      </w:tr>
      <w:tr>
        <w:trPr>
          <w:trHeight w:val="232"/>
        </w:trPr>
        <w:tc>
          <w:tcPr>
            <w:tcW w:w="3140" w:type="dxa"/>
            <w:vAlign w:val="bottom"/>
            <w:tcBorders>
              <w:bottom w:val="single" w:sz="8" w:color="auto"/>
            </w:tcBorders>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552"/>
        </w:trPr>
        <w:tc>
          <w:tcPr>
            <w:tcW w:w="31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ind w:left="254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128" w:right="1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658"/>
        </w:trPr>
        <w:tc>
          <w:tcPr>
            <w:tcW w:w="354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7"/>
                <w:szCs w:val="17"/>
                <w:color w:val="auto"/>
              </w:rPr>
              <w:t>Market Price of Our Common Stock</w:t>
            </w:r>
          </w:p>
        </w:tc>
        <w:tc>
          <w:tcPr>
            <w:tcW w:w="7920" w:type="dxa"/>
            <w:vAlign w:val="bottom"/>
            <w:tcBorders>
              <w:top w:val="single" w:sz="8" w:color="auto"/>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Our Common Stock is listed on NASDAQ under the symbol “PRTH,” and the Public Warrants are listed on</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NASDAQ under the symbol “PRTHW.” Units, each consisting of one share of Common Stock and one</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Public Warrant, are listed on NASDAQ under the symbol “PRTHU.” See “The Offer and Consent</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Solicitation—Market Price, Dividends and Related Stockholder Matters” beginning on page 38.</w:t>
            </w:r>
          </w:p>
        </w:tc>
      </w:tr>
      <w:tr>
        <w:trPr>
          <w:trHeight w:val="406"/>
        </w:trPr>
        <w:tc>
          <w:tcPr>
            <w:tcW w:w="35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The Offer</w:t>
            </w: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9"/>
              </w:rPr>
              <w:t>Each Warrant holder whose Warrants are exchanged pursuant to the Offer will receive 0.1920 shares of</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Common Stock for each Warrant so exchanged. No fractional shares of Common Stock will be issued</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6"/>
              </w:rPr>
              <w:t>pursuant to the Offer. In lieu of issuing fractional shares, any holder of Warrants who would otherwise have</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been entitled to receive fractional shares pursuant to the Offer will, after aggregating all such fractional</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shares of such holder, be paid cash (without interest) in an amount equal to such fractional part of a share</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multiplied by the last sale price of our shares of Common Stock on NASDAQ on the last trading day of the</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8"/>
              </w:rPr>
              <w:t>Offer Period. Our obligation to complete the Offer is not conditioned on the receipt of a minimum number</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of tendered Warrants.</w:t>
            </w:r>
          </w:p>
        </w:tc>
      </w:tr>
      <w:tr>
        <w:trPr>
          <w:trHeight w:val="406"/>
        </w:trPr>
        <w:tc>
          <w:tcPr>
            <w:tcW w:w="354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Holders of the Warrants tendered for exchange will not have to pay any of the exercise price for the</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tendered Warrants in order to receive Common Stock in the exchange.</w:t>
            </w:r>
          </w:p>
        </w:tc>
      </w:tr>
      <w:tr>
        <w:trPr>
          <w:trHeight w:val="406"/>
        </w:trPr>
        <w:tc>
          <w:tcPr>
            <w:tcW w:w="354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shares of Common Stock issued in exchange for the Warrants will be unrestricted and freely</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transferable, as long as the holder is not an affiliate of ours and was not an affiliate of ours within the three</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months prior to the proposed transfer of such shares.</w:t>
            </w:r>
          </w:p>
        </w:tc>
      </w:tr>
      <w:tr>
        <w:trPr>
          <w:trHeight w:val="406"/>
        </w:trPr>
        <w:tc>
          <w:tcPr>
            <w:tcW w:w="354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Offer is being made to all Warrant holders except those holders who reside in states or other</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8"/>
              </w:rPr>
              <w:t>jurisdictions where an offer, solicitation or sale would be unlawful (or would require further action in order</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to comply with applicable securities laws).</w:t>
            </w:r>
          </w:p>
        </w:tc>
      </w:tr>
      <w:tr>
        <w:trPr>
          <w:trHeight w:val="406"/>
        </w:trPr>
        <w:tc>
          <w:tcPr>
            <w:tcW w:w="35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The Consent Solicitation</w:t>
            </w: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In order to tender Warrants in the Offer and Consent Solicitation, holders are required to consent (by</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5"/>
              </w:rPr>
              <w:t>executing the Letters of Transmittal and Consent or requesting that their broker or nominee consent on their</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behalf) to an amendment to the Warrant Agreement governing the Warrants as set forth in the Warrant</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Amendment attached as Annex A. If approved, the Warrant Amendment would permit us to require that all</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remaining outstanding Warrants not tendered in the Offer be converted into shares of Common Stock at a</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7"/>
              </w:rPr>
              <w:t>ratio of 0.1728 shares of Common Stock per Warrant (a ratio which is 10% less than the ratio applicable to</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Offer), thus eliminating all of the Warrants.</w:t>
            </w:r>
          </w:p>
        </w:tc>
      </w:tr>
      <w:tr>
        <w:trPr>
          <w:trHeight w:val="406"/>
        </w:trPr>
        <w:tc>
          <w:tcPr>
            <w:tcW w:w="35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w w:val="95"/>
              </w:rPr>
              <w:t>Purpose of the Offer and Consent Solicitation</w:t>
            </w: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purpose of the Offer and Consent Solicitation is to attempt to simplify our corporate structure and</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8"/>
              </w:rPr>
              <w:t>reduce the potential dilutive impact of the Warrants, thereby providing us with more flexibility for financing</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9"/>
              </w:rPr>
              <w:t>our operations in the future. See “The Offer and Consent Solicitation — Background and Purpose of the</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Offer and Consent Solicitation” beginning on page 37.</w:t>
            </w:r>
          </w:p>
        </w:tc>
      </w:tr>
      <w:tr>
        <w:trPr>
          <w:trHeight w:val="406"/>
        </w:trPr>
        <w:tc>
          <w:tcPr>
            <w:tcW w:w="354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Offer Period</w:t>
            </w: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The Offer and Consent Solicitation will expire on the Expiration Date, which is 11:59 p.m., Eastern</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9"/>
              </w:rPr>
              <w:t>Standard Time, on February 12, 2019, or such later time and date to which we may extend. All Warrants</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8"/>
              </w:rPr>
              <w:t>tendered for exchange pursuant to the Offer and Consent Solicitation, and all required related paperwork,</w:t>
            </w:r>
          </w:p>
        </w:tc>
      </w:tr>
      <w:tr>
        <w:trPr>
          <w:trHeight w:val="209"/>
        </w:trPr>
        <w:tc>
          <w:tcPr>
            <w:tcW w:w="354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w w:val="98"/>
              </w:rPr>
              <w:t>must be received by the exchange agent by the Expiration Date, as described in this Prospectus/Offer to</w:t>
            </w:r>
          </w:p>
        </w:tc>
      </w:tr>
      <w:tr>
        <w:trPr>
          <w:trHeight w:val="221"/>
        </w:trPr>
        <w:tc>
          <w:tcPr>
            <w:tcW w:w="354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gridSpan w:val="2"/>
          </w:tcPr>
          <w:p>
            <w:pPr>
              <w:ind w:left="120"/>
              <w:spacing w:after="0"/>
              <w:rPr>
                <w:sz w:val="20"/>
                <w:szCs w:val="20"/>
                <w:color w:val="auto"/>
              </w:rPr>
            </w:pPr>
            <w:r>
              <w:rPr>
                <w:rFonts w:ascii="Arial" w:cs="Arial" w:eastAsia="Arial" w:hAnsi="Arial"/>
                <w:sz w:val="17"/>
                <w:szCs w:val="17"/>
                <w:color w:val="auto"/>
              </w:rPr>
              <w:t>Exchange.</w:t>
            </w:r>
          </w:p>
        </w:tc>
      </w:tr>
      <w:tr>
        <w:trPr>
          <w:trHeight w:val="232"/>
        </w:trPr>
        <w:tc>
          <w:tcPr>
            <w:tcW w:w="3540" w:type="dxa"/>
            <w:vAlign w:val="bottom"/>
            <w:tcBorders>
              <w:left w:val="single" w:sz="8" w:color="auto"/>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552"/>
        </w:trPr>
        <w:tc>
          <w:tcPr>
            <w:tcW w:w="35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4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796" w:right="19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60"/>
        <w:spacing w:after="0" w:line="288" w:lineRule="auto"/>
        <w:rPr>
          <w:sz w:val="20"/>
          <w:szCs w:val="20"/>
          <w:color w:val="auto"/>
        </w:rPr>
      </w:pPr>
      <w:r>
        <w:rPr>
          <w:rFonts w:ascii="Arial" w:cs="Arial" w:eastAsia="Arial" w:hAnsi="Arial"/>
          <w:sz w:val="17"/>
          <w:szCs w:val="17"/>
          <w:color w:val="auto"/>
        </w:rPr>
        <w:t>Amendments to the Offer and Consent Solicitation</w:t>
      </w:r>
    </w:p>
    <w:p>
      <w:pPr>
        <w:spacing w:after="0" w:line="20" w:lineRule="exact"/>
        <w:rPr>
          <w:sz w:val="20"/>
          <w:szCs w:val="20"/>
          <w:color w:val="auto"/>
        </w:rPr>
      </w:pPr>
      <w:r>
        <w:rPr>
          <w:sz w:val="20"/>
          <w:szCs w:val="20"/>
          <w:color w:val="auto"/>
        </w:rPr>
        <w:br w:type="column"/>
      </w:r>
    </w:p>
    <w:p>
      <w:pPr>
        <w:ind w:right="240"/>
        <w:spacing w:after="0" w:line="272" w:lineRule="auto"/>
        <w:rPr>
          <w:sz w:val="20"/>
          <w:szCs w:val="20"/>
          <w:color w:val="auto"/>
        </w:rPr>
      </w:pPr>
      <w:r>
        <w:rPr>
          <w:rFonts w:ascii="Arial" w:cs="Arial" w:eastAsia="Arial" w:hAnsi="Arial"/>
          <w:sz w:val="17"/>
          <w:szCs w:val="17"/>
          <w:color w:val="auto"/>
        </w:rPr>
        <w:t>If the Offer Period is extended, we will make a public announcement of such extension by no later than 9:00 a.m., Eastern Standard Time, on the next business day following the Expiration Date as in effect immediately prior to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-2322830</wp:posOffset>
            </wp:positionH>
            <wp:positionV relativeFrom="paragraph">
              <wp:posOffset>-573405</wp:posOffset>
            </wp:positionV>
            <wp:extent cx="7280275" cy="6167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0275" cy="6167120"/>
                    </a:xfrm>
                    <a:prstGeom prst="rect">
                      <a:avLst/>
                    </a:prstGeom>
                    <a:noFill/>
                  </pic:spPr>
                </pic:pic>
              </a:graphicData>
            </a:graphic>
          </wp:anchor>
        </w:drawing>
      </w:r>
    </w:p>
    <w:p>
      <w:pPr>
        <w:spacing w:after="0" w:line="153"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 See “The Offer—General Terms—Offer Period” on page 31.</w:t>
      </w:r>
    </w:p>
    <w:p>
      <w:pPr>
        <w:spacing w:after="0" w:line="180"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 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13e-4(e)(3) under the Securities Exchange Act of 1934, as amended (the “Exchange Act”). See “The Offer—General Terms— Amendments to the Offer and Consent Solicitation.”</w:t>
      </w:r>
    </w:p>
    <w:p>
      <w:pPr>
        <w:spacing w:after="0" w:line="172" w:lineRule="exact"/>
        <w:rPr>
          <w:sz w:val="20"/>
          <w:szCs w:val="20"/>
          <w:color w:val="auto"/>
        </w:rPr>
      </w:pPr>
    </w:p>
    <w:p>
      <w:pPr>
        <w:sectPr>
          <w:pgSz w:w="11900" w:h="16838" w:orient="portrait"/>
          <w:cols w:equalWidth="0" w:num="2">
            <w:col w:w="2940" w:space="720"/>
            <w:col w:w="7800"/>
          </w:cols>
          <w:pgMar w:left="240" w:top="1056" w:right="199" w:bottom="1440" w:gutter="0" w:footer="0" w:header="0"/>
        </w:sectPr>
      </w:pPr>
    </w:p>
    <w:p>
      <w:pPr>
        <w:ind w:left="3660" w:right="300" w:hanging="3400"/>
        <w:spacing w:after="0" w:line="261" w:lineRule="auto"/>
        <w:rPr>
          <w:sz w:val="20"/>
          <w:szCs w:val="20"/>
          <w:color w:val="auto"/>
        </w:rPr>
      </w:pPr>
      <w:r>
        <w:rPr>
          <w:rFonts w:ascii="Arial" w:cs="Arial" w:eastAsia="Arial" w:hAnsi="Arial"/>
          <w:sz w:val="17"/>
          <w:szCs w:val="17"/>
          <w:color w:val="auto"/>
        </w:rPr>
        <w:t>Conditions to the Offer and Consent Solicitation The Offer is subject to customary conditions, including the effectiveness of the registration statement of which this document is a part and there being no action or proceeding, statute, rule, regulation or order that would challenge or restrict the making or completion of the Offer. The Offer is not conditioned upon the receipt of a minimum number of tendered Warrants, however. The Consent Solicitation is conditioned upon receiving the consent of holders of at least a majority of the outstanding Warrants (which is the minimum number required to amend the Warrant Agreement). We may waive some of the conditions to the Offer. See “The Offer and Consent Solicitation—General Terms—Conditions to the Offer and Consent Solicitation” on page 32.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ind w:left="260"/>
              <w:spacing w:after="0"/>
              <w:rPr>
                <w:sz w:val="20"/>
                <w:szCs w:val="20"/>
                <w:color w:val="auto"/>
              </w:rPr>
            </w:pPr>
            <w:r>
              <w:rPr>
                <w:rFonts w:ascii="Arial" w:cs="Arial" w:eastAsia="Arial" w:hAnsi="Arial"/>
                <w:sz w:val="17"/>
                <w:szCs w:val="17"/>
                <w:color w:val="auto"/>
              </w:rPr>
              <w:t>Withdrawal Rights</w:t>
            </w: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6"/>
              </w:rPr>
              <w:t>If you tender your Warrants and change your mind, you may withdraw your tendered Warrants (and thereby</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5"/>
              </w:rPr>
              <w:t>revoke the related consent to the Warrant Amendment) at any time prior to the Expiration Date, as described</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8"/>
              </w:rPr>
              <w:t>in greater detail in the section entitled “The Offer and Consent Solicitation—Withdrawal Rights” beginning</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9"/>
              </w:rPr>
              <w:t>on page 36. If the Offer Period is extended, you may withdraw your tendered Warrants (and your related</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6"/>
              </w:rPr>
              <w:t>consent to the Warrant Amendment will be automatically revoked as a result) at any time until the extended</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8"/>
              </w:rPr>
              <w:t>Expiration Date. In addition, tendered Warrants that are not accepted by us for exchange by February 25,</w:t>
            </w:r>
          </w:p>
        </w:tc>
      </w:tr>
      <w:tr>
        <w:trPr>
          <w:trHeight w:val="221"/>
        </w:trPr>
        <w:tc>
          <w:tcPr>
            <w:tcW w:w="3540" w:type="dxa"/>
            <w:vAlign w:val="bottom"/>
          </w:tcPr>
          <w:p>
            <w:pPr>
              <w:spacing w:after="0"/>
              <w:rPr>
                <w:sz w:val="19"/>
                <w:szCs w:val="19"/>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6"/>
              </w:rPr>
              <w:t>2019 may thereafter be withdrawn by you until such time as the Warrants are accepted by us for exchange.</w:t>
            </w:r>
          </w:p>
        </w:tc>
      </w:tr>
      <w:tr>
        <w:trPr>
          <w:trHeight w:val="406"/>
        </w:trPr>
        <w:tc>
          <w:tcPr>
            <w:tcW w:w="3540" w:type="dxa"/>
            <w:vAlign w:val="bottom"/>
          </w:tcPr>
          <w:p>
            <w:pPr>
              <w:ind w:left="260"/>
              <w:spacing w:after="0"/>
              <w:rPr>
                <w:sz w:val="20"/>
                <w:szCs w:val="20"/>
                <w:color w:val="auto"/>
              </w:rPr>
            </w:pPr>
            <w:r>
              <w:rPr>
                <w:rFonts w:ascii="Arial" w:cs="Arial" w:eastAsia="Arial" w:hAnsi="Arial"/>
                <w:sz w:val="17"/>
                <w:szCs w:val="17"/>
                <w:color w:val="auto"/>
                <w:w w:val="97"/>
              </w:rPr>
              <w:t>Participation by Directors, Executive Officers</w:t>
            </w: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9"/>
              </w:rPr>
              <w:t>Although certain affiliates are holders of our Private Warrants, none of our directors, executive officers or</w:t>
            </w:r>
          </w:p>
        </w:tc>
      </w:tr>
      <w:tr>
        <w:trPr>
          <w:trHeight w:val="209"/>
        </w:trPr>
        <w:tc>
          <w:tcPr>
            <w:tcW w:w="3540" w:type="dxa"/>
            <w:vAlign w:val="bottom"/>
          </w:tcPr>
          <w:p>
            <w:pPr>
              <w:ind w:left="260"/>
              <w:spacing w:after="0"/>
              <w:rPr>
                <w:sz w:val="20"/>
                <w:szCs w:val="20"/>
                <w:color w:val="auto"/>
              </w:rPr>
            </w:pPr>
            <w:r>
              <w:rPr>
                <w:rFonts w:ascii="Arial" w:cs="Arial" w:eastAsia="Arial" w:hAnsi="Arial"/>
                <w:sz w:val="17"/>
                <w:szCs w:val="17"/>
                <w:color w:val="auto"/>
              </w:rPr>
              <w:t>and Affiliates</w:t>
            </w: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rPr>
              <w:t>affiliates are required to participate in the Offer. See “The Offer and Consent Solicitation—Interests of</w:t>
            </w:r>
          </w:p>
        </w:tc>
      </w:tr>
      <w:tr>
        <w:trPr>
          <w:trHeight w:val="221"/>
        </w:trPr>
        <w:tc>
          <w:tcPr>
            <w:tcW w:w="3540" w:type="dxa"/>
            <w:vAlign w:val="bottom"/>
          </w:tcPr>
          <w:p>
            <w:pPr>
              <w:spacing w:after="0"/>
              <w:rPr>
                <w:sz w:val="19"/>
                <w:szCs w:val="19"/>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rPr>
              <w:t>Directors, Executive Officers and Others.”</w:t>
            </w:r>
          </w:p>
        </w:tc>
      </w:tr>
      <w:tr>
        <w:trPr>
          <w:trHeight w:val="406"/>
        </w:trPr>
        <w:tc>
          <w:tcPr>
            <w:tcW w:w="3540" w:type="dxa"/>
            <w:vAlign w:val="bottom"/>
          </w:tcPr>
          <w:p>
            <w:pPr>
              <w:ind w:left="260"/>
              <w:spacing w:after="0"/>
              <w:rPr>
                <w:sz w:val="20"/>
                <w:szCs w:val="20"/>
                <w:color w:val="auto"/>
              </w:rPr>
            </w:pPr>
            <w:r>
              <w:rPr>
                <w:rFonts w:ascii="Arial" w:cs="Arial" w:eastAsia="Arial" w:hAnsi="Arial"/>
                <w:sz w:val="17"/>
                <w:szCs w:val="17"/>
                <w:color w:val="auto"/>
              </w:rPr>
              <w:t>Federal and State Regulatory Approvals</w:t>
            </w: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w w:val="98"/>
              </w:rPr>
              <w:t>Other than compliance with the applicable federal and state securities laws, no federal or state regulatory</w:t>
            </w:r>
          </w:p>
        </w:tc>
      </w:tr>
      <w:tr>
        <w:trPr>
          <w:trHeight w:val="209"/>
        </w:trPr>
        <w:tc>
          <w:tcPr>
            <w:tcW w:w="3540" w:type="dxa"/>
            <w:vAlign w:val="bottom"/>
          </w:tcPr>
          <w:p>
            <w:pPr>
              <w:spacing w:after="0"/>
              <w:rPr>
                <w:sz w:val="18"/>
                <w:szCs w:val="18"/>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rPr>
              <w:t>requirements must be complied with and no federal or state regulatory approvals must be obtained in</w:t>
            </w:r>
          </w:p>
        </w:tc>
      </w:tr>
      <w:tr>
        <w:trPr>
          <w:trHeight w:val="221"/>
        </w:trPr>
        <w:tc>
          <w:tcPr>
            <w:tcW w:w="3540" w:type="dxa"/>
            <w:vAlign w:val="bottom"/>
          </w:tcPr>
          <w:p>
            <w:pPr>
              <w:spacing w:after="0"/>
              <w:rPr>
                <w:sz w:val="19"/>
                <w:szCs w:val="19"/>
                <w:color w:val="auto"/>
              </w:rPr>
            </w:pPr>
          </w:p>
        </w:tc>
        <w:tc>
          <w:tcPr>
            <w:tcW w:w="7920" w:type="dxa"/>
            <w:vAlign w:val="bottom"/>
            <w:gridSpan w:val="2"/>
          </w:tcPr>
          <w:p>
            <w:pPr>
              <w:ind w:left="120"/>
              <w:spacing w:after="0"/>
              <w:rPr>
                <w:sz w:val="20"/>
                <w:szCs w:val="20"/>
                <w:color w:val="auto"/>
              </w:rPr>
            </w:pPr>
            <w:r>
              <w:rPr>
                <w:rFonts w:ascii="Arial" w:cs="Arial" w:eastAsia="Arial" w:hAnsi="Arial"/>
                <w:sz w:val="17"/>
                <w:szCs w:val="17"/>
                <w:color w:val="auto"/>
              </w:rPr>
              <w:t>connection with the Offer and Consent Solicitation.</w:t>
            </w:r>
          </w:p>
        </w:tc>
      </w:tr>
      <w:tr>
        <w:trPr>
          <w:trHeight w:val="232"/>
        </w:trPr>
        <w:tc>
          <w:tcPr>
            <w:tcW w:w="354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552"/>
        </w:trPr>
        <w:tc>
          <w:tcPr>
            <w:tcW w:w="3540" w:type="dxa"/>
            <w:vAlign w:val="bottom"/>
            <w:tcBorders>
              <w:bottom w:val="single" w:sz="8" w:color="auto"/>
            </w:tcBorders>
          </w:tcPr>
          <w:p>
            <w:pPr>
              <w:spacing w:after="0"/>
              <w:rPr>
                <w:sz w:val="24"/>
                <w:szCs w:val="24"/>
                <w:color w:val="auto"/>
              </w:rPr>
            </w:pPr>
          </w:p>
        </w:tc>
        <w:tc>
          <w:tcPr>
            <w:tcW w:w="7880" w:type="dxa"/>
            <w:vAlign w:val="bottom"/>
            <w:tcBorders>
              <w:bottom w:val="single" w:sz="8" w:color="auto"/>
            </w:tcBorders>
          </w:tcPr>
          <w:p>
            <w:pPr>
              <w:ind w:left="2140"/>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1056" w:right="199" w:bottom="1440" w:gutter="0" w:footer="0" w:header="0"/>
          <w:type w:val="continuous"/>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3560" w:type="dxa"/>
            <w:vAlign w:val="bottom"/>
            <w:tcBorders>
              <w:top w:val="single" w:sz="8" w:color="auto"/>
              <w:left w:val="single" w:sz="8" w:color="auto"/>
            </w:tcBorders>
          </w:tcPr>
          <w:p>
            <w:pPr>
              <w:ind w:left="260"/>
              <w:spacing w:after="0"/>
              <w:rPr>
                <w:sz w:val="20"/>
                <w:szCs w:val="20"/>
                <w:color w:val="auto"/>
              </w:rPr>
            </w:pPr>
            <w:r>
              <w:rPr>
                <w:rFonts w:ascii="Arial" w:cs="Arial" w:eastAsia="Arial" w:hAnsi="Arial"/>
                <w:sz w:val="17"/>
                <w:szCs w:val="17"/>
                <w:color w:val="auto"/>
              </w:rPr>
              <w:t>Absence of Appraisal or Dissenters’ Rights</w:t>
            </w:r>
          </w:p>
        </w:tc>
        <w:tc>
          <w:tcPr>
            <w:tcW w:w="790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Holders of the Warrants do not have any appraisal or dissenters’ rights under applicable law in connection</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with the Offer and Consent Solicitation.</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w w:val="92"/>
              </w:rPr>
              <w:t>U.S. Federal Income Tax Consequences of the</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For those holders of Warrants participating in the Offer and for any holders of Warrants subsequently</w:t>
            </w:r>
          </w:p>
        </w:tc>
      </w:tr>
      <w:tr>
        <w:trPr>
          <w:trHeight w:val="20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Offer</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4"/>
              </w:rPr>
              <w:t>exchanged for shares of Common Stock pursuant to the terms of the Warrant Amendment, we intend to treat</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8"/>
              </w:rPr>
              <w:t>your exchange of Warrants for our shares of Common Stock as a “recapitalization” within the meaning of</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Section 368(a)(1)(E) of United States Internal Revenue Code of 1986, as amended (the “Code”). Assuming</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the exchange qualifies as a “recapitalization” (i) you should not recognize any gain or loss on the exchange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of Warrants for shares of our Common Stock, (ii) your aggregate tax basis in the Common Stock received in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4"/>
              </w:rPr>
              <w:t>the exchange should equal your aggregate tax basis in your Warrants surrendered in the exchange (except to</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the extent of any tax basis allocated to a fractional share for which a cash payment is received in connection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with the Offer), and (iii) your holding period for the Common Stock received in the exchange should</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5"/>
              </w:rPr>
              <w:t>include your holding period for the surrendered Warrants. There can be no assurance that the IRS or a court</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will agree with the tax consequences of the exchange described above and alternate characterizations are</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possible.</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Although the issue is not free from doubt, if the Warrant Amendment is approved, we intend to treat all</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Warrants not exchanged for Common Stock in the Offer as having been exchanged for “new” Warrants</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pursuant to the Warrant Amendment and to treat such deemed exchange as a “recapitalization” within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meaning of Section 368(a)(1)(E) of the Code. Assuming such deemed exchange qualifies as a</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“recapitalization” (i) you should not recognize any gain or loss on the deemed exchange of Warrants for</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“new” Warrants, (ii) your aggregate tax basis in the “new” Warrants deemed to be received in the exchange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should equal your aggregate tax basis in your existing Warrants surrendered in the exchange, and (iii) your</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holding period for the “new” Warrants deemed to be received in the exchange should include your holding</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7"/>
              </w:rPr>
              <w:t>period for the surrendered Warrants. There can be no assurance that the IRS or a court will agree with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tax consequences of the exchange described above and alternate characterizations are possible. See “The</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Offer—Material U.S. Federal Income Tax Consequences” beginning on page 41.</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No Recommendation</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None of Priority, our board of directors, our management, the dealer manager, the exchange agent, the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6"/>
              </w:rPr>
              <w:t>information agent or any other person makes any recommendation on whether you should tender or refrain</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w w:val="98"/>
              </w:rPr>
              <w:t>from tendering all or any portion of your Warrants or consent to the Warrant Amendment, and no one has</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been authorized by any of them to make such a recommendation.</w:t>
            </w:r>
          </w:p>
        </w:tc>
      </w:tr>
      <w:tr>
        <w:trPr>
          <w:trHeight w:val="406"/>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Risk Factors</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For risks related to the Offer and Consent Solicitation, please read the section entitled “Risk Factors”</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beginning on page 6 of this Prospectus/Offer to Exchange.</w:t>
            </w:r>
          </w:p>
        </w:tc>
      </w:tr>
      <w:tr>
        <w:trPr>
          <w:trHeight w:val="41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Exchange Agent</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The exchange agent for the Offer and Consent Solicitation is:</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American Stock Transfer &amp; Trust Company, LLC</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6201 15th Avenue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Brooklyn, NY 11219</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Tel: (718) 921-8200</w:t>
            </w:r>
          </w:p>
        </w:tc>
      </w:tr>
      <w:tr>
        <w:trPr>
          <w:trHeight w:val="419"/>
        </w:trPr>
        <w:tc>
          <w:tcPr>
            <w:tcW w:w="35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Dealer Manager</w:t>
            </w: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The dealer manager for the Offer and Consent Solicitation is:</w:t>
            </w:r>
          </w:p>
        </w:tc>
      </w:tr>
      <w:tr>
        <w:trPr>
          <w:trHeight w:val="406"/>
        </w:trPr>
        <w:tc>
          <w:tcPr>
            <w:tcW w:w="356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Cowen and Company, LLC</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599 Lexington Avenue</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New York, New York 10022</w:t>
            </w:r>
          </w:p>
        </w:tc>
      </w:tr>
      <w:tr>
        <w:trPr>
          <w:trHeight w:val="209"/>
        </w:trPr>
        <w:tc>
          <w:tcPr>
            <w:tcW w:w="356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Tel: (833) 297-2926</w:t>
            </w:r>
          </w:p>
        </w:tc>
      </w:tr>
      <w:tr>
        <w:trPr>
          <w:trHeight w:val="221"/>
        </w:trPr>
        <w:tc>
          <w:tcPr>
            <w:tcW w:w="356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gridSpan w:val="2"/>
          </w:tcPr>
          <w:p>
            <w:pPr>
              <w:ind w:left="100"/>
              <w:spacing w:after="0"/>
              <w:rPr>
                <w:sz w:val="20"/>
                <w:szCs w:val="20"/>
                <w:color w:val="auto"/>
              </w:rPr>
            </w:pPr>
            <w:r>
              <w:rPr>
                <w:rFonts w:ascii="Arial" w:cs="Arial" w:eastAsia="Arial" w:hAnsi="Arial"/>
                <w:sz w:val="17"/>
                <w:szCs w:val="17"/>
                <w:color w:val="auto"/>
              </w:rPr>
              <w:t>Attn: Equity Capital Markets</w:t>
            </w:r>
          </w:p>
        </w:tc>
      </w:tr>
      <w:tr>
        <w:trPr>
          <w:trHeight w:val="232"/>
        </w:trPr>
        <w:tc>
          <w:tcPr>
            <w:tcW w:w="356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552"/>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ind w:left="212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796" w:right="1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2760" w:type="dxa"/>
            <w:vAlign w:val="bottom"/>
            <w:tcBorders>
              <w:top w:val="single" w:sz="8" w:color="auto"/>
              <w:left w:val="single" w:sz="8" w:color="auto"/>
            </w:tcBorders>
          </w:tcPr>
          <w:p>
            <w:pPr>
              <w:spacing w:after="0"/>
              <w:rPr>
                <w:sz w:val="24"/>
                <w:szCs w:val="24"/>
                <w:color w:val="auto"/>
              </w:rPr>
            </w:pPr>
          </w:p>
        </w:tc>
        <w:tc>
          <w:tcPr>
            <w:tcW w:w="8700" w:type="dxa"/>
            <w:vAlign w:val="bottom"/>
            <w:tcBorders>
              <w:top w:val="single" w:sz="8" w:color="auto"/>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We have other business relationships with the dealer manager, as described in “The Offer and Consent</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Solicitation—Dealer Manager</w:t>
            </w:r>
            <w:r>
              <w:rPr>
                <w:rFonts w:ascii="Arial" w:cs="Arial" w:eastAsia="Arial" w:hAnsi="Arial"/>
                <w:sz w:val="17"/>
                <w:szCs w:val="17"/>
                <w:i w:val="1"/>
                <w:iCs w:val="1"/>
                <w:color w:val="auto"/>
              </w:rPr>
              <w:t>.</w:t>
            </w:r>
            <w:r>
              <w:rPr>
                <w:rFonts w:ascii="Arial" w:cs="Arial" w:eastAsia="Arial" w:hAnsi="Arial"/>
                <w:sz w:val="17"/>
                <w:szCs w:val="17"/>
                <w:color w:val="auto"/>
              </w:rPr>
              <w:t>”</w:t>
            </w:r>
          </w:p>
        </w:tc>
      </w:tr>
      <w:tr>
        <w:trPr>
          <w:trHeight w:val="406"/>
        </w:trPr>
        <w:tc>
          <w:tcPr>
            <w:tcW w:w="27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Delisting of Warrants</w:t>
            </w: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NASDAQ has informed us that it intends to delist the Warrants if any Warrants remain outstanding after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5"/>
              </w:rPr>
              <w:t>February 27, 2019 because the Warrants do not have a sufficient number of round-lot holders. If the Warrant</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Amendment is approved, it is unlikely that any Warrants will remain outstanding following the completion</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of the Offer and Consent Solicitation because the Warrant Amendment would allow us to require that all</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outstanding Warrants be exchanged for shares of Common Stock at a ratio that is 10% lower than the ratio</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applicable to the Offer. However, if any unexchanged Warrants do remain outstanding following the</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completion of the Offer and Consent Solicitation, and such delisting, the holders of such Warrants would</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face limits to their ability to engage in transactions in such Warrants. See “Risk Factors—Risk Factors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8"/>
              </w:rPr>
              <w:t>Related to Our Warrants and the Offer to Exchange and Consent Solicitation—NASDAQ intends to delist</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9"/>
              </w:rPr>
              <w:t>our Public Warrants from trading on its exchange, which would limit, for anyone holding Public Warrants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after the completion of the Offer and Consent Solicitation and such delisting, the ability to engage in</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transactions in our Public Warrants.”</w:t>
            </w:r>
          </w:p>
        </w:tc>
      </w:tr>
      <w:tr>
        <w:trPr>
          <w:trHeight w:val="406"/>
        </w:trPr>
        <w:tc>
          <w:tcPr>
            <w:tcW w:w="2760" w:type="dxa"/>
            <w:vAlign w:val="bottom"/>
            <w:tcBorders>
              <w:left w:val="single" w:sz="8" w:color="auto"/>
            </w:tcBorders>
          </w:tcPr>
          <w:p>
            <w:pPr>
              <w:ind w:left="260"/>
              <w:spacing w:after="0"/>
              <w:rPr>
                <w:sz w:val="20"/>
                <w:szCs w:val="20"/>
                <w:color w:val="auto"/>
              </w:rPr>
            </w:pPr>
            <w:r>
              <w:rPr>
                <w:rFonts w:ascii="Arial" w:cs="Arial" w:eastAsia="Arial" w:hAnsi="Arial"/>
                <w:sz w:val="17"/>
                <w:szCs w:val="17"/>
                <w:color w:val="auto"/>
              </w:rPr>
              <w:t>Additional Information</w:t>
            </w: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We recommend that our Warrant holders review the registration statement on Form S-4, of which this</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Prospectus/Offer to Exchange forms a part, including the exhibits, that we have filed with the SEC in</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connection with the Offer and Consent Solicitation and our other materials that we have filed with the SEC,</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before making a decision on whether to accept the Offer and consent to the Warrant Amendment. All</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reports and other documents we have filed with the SEC can be accessed electronically on the SEC’s</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 xml:space="preserve">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tc>
      </w:tr>
      <w:tr>
        <w:trPr>
          <w:trHeight w:val="406"/>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You should direct (1) questions about the terms of the Offer and Consent Solicitation to the dealer manager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6"/>
              </w:rPr>
              <w:t>at its addresses and telephone number listed above and (2) questions about the exchange procedures and</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w w:val="95"/>
              </w:rPr>
              <w:t>requests for additional copies of this Prospectus/Offer to Exchange, the Letter of Transmittal and Consent or</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Notice of Guaranteed Delivery to the information agent at the below address and phone number:</w:t>
            </w:r>
          </w:p>
        </w:tc>
      </w:tr>
      <w:tr>
        <w:trPr>
          <w:trHeight w:val="408"/>
        </w:trPr>
        <w:tc>
          <w:tcPr>
            <w:tcW w:w="2760" w:type="dxa"/>
            <w:vAlign w:val="bottom"/>
            <w:tcBorders>
              <w:left w:val="single" w:sz="8" w:color="auto"/>
            </w:tcBorders>
          </w:tcPr>
          <w:p>
            <w:pPr>
              <w:spacing w:after="0"/>
              <w:rPr>
                <w:sz w:val="24"/>
                <w:szCs w:val="24"/>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D.F. King &amp; Co., Inc.</w:t>
            </w:r>
          </w:p>
        </w:tc>
      </w:tr>
      <w:tr>
        <w:trPr>
          <w:trHeight w:val="247"/>
        </w:trPr>
        <w:tc>
          <w:tcPr>
            <w:tcW w:w="2760" w:type="dxa"/>
            <w:vAlign w:val="bottom"/>
            <w:tcBorders>
              <w:left w:val="single" w:sz="8" w:color="auto"/>
            </w:tcBorders>
          </w:tcPr>
          <w:p>
            <w:pPr>
              <w:spacing w:after="0"/>
              <w:rPr>
                <w:sz w:val="21"/>
                <w:szCs w:val="21"/>
                <w:color w:val="auto"/>
              </w:rPr>
            </w:pPr>
          </w:p>
        </w:tc>
        <w:tc>
          <w:tcPr>
            <w:tcW w:w="8700" w:type="dxa"/>
            <w:vAlign w:val="bottom"/>
            <w:tcBorders>
              <w:right w:val="single" w:sz="8" w:color="auto"/>
            </w:tcBorders>
            <w:gridSpan w:val="2"/>
          </w:tcPr>
          <w:p>
            <w:pPr>
              <w:ind w:left="900"/>
              <w:spacing w:after="0" w:line="246" w:lineRule="exact"/>
              <w:rPr>
                <w:sz w:val="20"/>
                <w:szCs w:val="20"/>
                <w:color w:val="auto"/>
              </w:rPr>
            </w:pPr>
            <w:r>
              <w:rPr>
                <w:rFonts w:ascii="Arial" w:cs="Arial" w:eastAsia="Arial" w:hAnsi="Arial"/>
                <w:sz w:val="17"/>
                <w:szCs w:val="17"/>
                <w:color w:val="auto"/>
              </w:rPr>
              <w:t>48 Wall Street,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New York, New York 10005</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Banks and Brokers Call Collect: (212) 269-5550</w:t>
            </w:r>
          </w:p>
        </w:tc>
      </w:tr>
      <w:tr>
        <w:trPr>
          <w:trHeight w:val="209"/>
        </w:trPr>
        <w:tc>
          <w:tcPr>
            <w:tcW w:w="2760" w:type="dxa"/>
            <w:vAlign w:val="bottom"/>
            <w:tcBorders>
              <w:left w:val="single" w:sz="8" w:color="auto"/>
            </w:tcBorders>
          </w:tcPr>
          <w:p>
            <w:pPr>
              <w:spacing w:after="0"/>
              <w:rPr>
                <w:sz w:val="18"/>
                <w:szCs w:val="18"/>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All Others Call Toll-Free: (800) 967-4607</w:t>
            </w:r>
          </w:p>
        </w:tc>
      </w:tr>
      <w:tr>
        <w:trPr>
          <w:trHeight w:val="221"/>
        </w:trPr>
        <w:tc>
          <w:tcPr>
            <w:tcW w:w="2760" w:type="dxa"/>
            <w:vAlign w:val="bottom"/>
            <w:tcBorders>
              <w:left w:val="single" w:sz="8" w:color="auto"/>
            </w:tcBorders>
          </w:tcPr>
          <w:p>
            <w:pPr>
              <w:spacing w:after="0"/>
              <w:rPr>
                <w:sz w:val="19"/>
                <w:szCs w:val="19"/>
                <w:color w:val="auto"/>
              </w:rPr>
            </w:pPr>
          </w:p>
        </w:tc>
        <w:tc>
          <w:tcPr>
            <w:tcW w:w="8700" w:type="dxa"/>
            <w:vAlign w:val="bottom"/>
            <w:tcBorders>
              <w:right w:val="single" w:sz="8" w:color="auto"/>
            </w:tcBorders>
            <w:gridSpan w:val="2"/>
          </w:tcPr>
          <w:p>
            <w:pPr>
              <w:ind w:left="900"/>
              <w:spacing w:after="0"/>
              <w:rPr>
                <w:sz w:val="20"/>
                <w:szCs w:val="20"/>
                <w:color w:val="auto"/>
              </w:rPr>
            </w:pPr>
            <w:r>
              <w:rPr>
                <w:rFonts w:ascii="Arial" w:cs="Arial" w:eastAsia="Arial" w:hAnsi="Arial"/>
                <w:sz w:val="17"/>
                <w:szCs w:val="17"/>
                <w:color w:val="auto"/>
              </w:rPr>
              <w:t>Email: PRTH@dfking.com</w:t>
            </w:r>
          </w:p>
        </w:tc>
      </w:tr>
      <w:tr>
        <w:trPr>
          <w:trHeight w:val="232"/>
        </w:trPr>
        <w:tc>
          <w:tcPr>
            <w:tcW w:w="2760" w:type="dxa"/>
            <w:vAlign w:val="bottom"/>
            <w:tcBorders>
              <w:left w:val="single" w:sz="8" w:color="auto"/>
              <w:bottom w:val="single" w:sz="8" w:color="auto"/>
            </w:tcBorders>
          </w:tcPr>
          <w:p>
            <w:pPr>
              <w:spacing w:after="0"/>
              <w:rPr>
                <w:sz w:val="20"/>
                <w:szCs w:val="20"/>
                <w:color w:val="auto"/>
              </w:rPr>
            </w:pPr>
          </w:p>
        </w:tc>
        <w:tc>
          <w:tcPr>
            <w:tcW w:w="866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526"/>
        </w:trPr>
        <w:tc>
          <w:tcPr>
            <w:tcW w:w="276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ind w:left="292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4"/>
                <w:szCs w:val="24"/>
                <w:color w:val="auto"/>
              </w:rPr>
            </w:pPr>
          </w:p>
        </w:tc>
      </w:tr>
    </w:tbl>
    <w:p>
      <w:pPr>
        <w:sectPr>
          <w:pgSz w:w="11900" w:h="16838" w:orient="portrait"/>
          <w:cols w:equalWidth="0" w:num="1">
            <w:col w:w="11460"/>
          </w:cols>
          <w:pgMar w:left="240" w:top="796" w:right="19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currently known to us or that we currently consider immaterial. The trading price of our securities could decline due to any of these risks, and, as a result, you may lose all or part of your investment. As used in the risks described in this subsection, references to “we,” “us” and “our” are intended to refer to Priority unless the context clearly indicates otherwise.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Business</w:t>
      </w:r>
    </w:p>
    <w:p>
      <w:pPr>
        <w:spacing w:after="0" w:line="22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we can charge to merchants for our services and the compensation we must pay to our distribution partners, and as a result, our profit margins.</w:t>
      </w:r>
    </w:p>
    <w:p>
      <w:pPr>
        <w:spacing w:after="0" w:line="13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payment processing industry is highly competitive. We primarily compete in the small and medium business (“SMB”) merchant industry. Competition has increased recently as other providers of payment processing services have established a sizable market share in the SMB merchant acquiring industry. Our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We also compete with many of these same entities for the assistance of distribution partners. For example, many of our distribution partners are not exclusive to us but also have relationships with our competitors, such that we have to continually expend resources to maintain those relationships. Our growth will depend on the continued growth of payments with credit, debit and prepaid cards (“Electronic Payments”), particularly Electronic Payments to SMB merchants, and our ability to increase our market share through successful competitive efforts to gain new merchants and distribution partners.</w:t>
      </w:r>
    </w:p>
    <w:p>
      <w:pPr>
        <w:spacing w:after="0" w:line="168"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In addition, many financial institutions, subsidiaries of financial institutions or well-established payment-enabled technology providers with which we compete, have substantially greater capital, technological, management and marketing resources than we have. These factors may allow our competitors to offer better pricing terms to merchants and more attractive compensation to distribution partners, which could result in a loss of our potential or current merchants and distribution partners. Competing with financial institutions is also challenging because, unlike us, they often bundle processing services with other banking products and services. This competition may effectively limit the prices we can charge our merchants, cause us to increase the compensation we pay to our distribution partners and require us to control costs aggressively in order to maintain acceptable profit margins. Our current and future competitors may also develop or offer services that have price or other advantages over the services we provide.</w:t>
      </w:r>
    </w:p>
    <w:p>
      <w:pPr>
        <w:spacing w:after="0" w:line="16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our ability to retain and grow our relationships with merchants and distribution partners. Acquirers may be susceptible to the adoption by the broader merchant community of payment enabled software versus terminal based payments.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acquire and retain a segment of our merchants, we depend in part on distribution partners that may not serve us exclusively and are subject to attrition.</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rely in significant part on the efforts of independent sales organizations (“ISOs”), independent software vendors (“ISVs”) and referral partners to market our services to merchants seeking to establish a merchant acquiring relationship. These distribution partners seek to introduce us, as well as our competitors, to newly established and existing SMB merchants, including retailers, restaurants and other businesses. Generally, our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our competitors. We have been required, and expect to be required in the future, to make concessions when renewing contracts with our distribution partners and such concessions can have a material impact on our financial condition or operating performance. If these distribution partners switch to another merchant acquirer, cease operations or become insolvent, we will no longer receive new merchant referrals from them, and we risk losing existing merchants that were originally enrolled by them. Additionally, our distribution partners are subject to the requirements imposed by our bank sponsors, which may result in fines to them for non-compliance and may, in some cases, result in these entities ceasing to refer merchants to us. We cannot accurately predict the level of attrition of our distribution partners or merchants in the future, particularly those merchants we acquired as customers in the portfolio acquisitions we have completed in the past five years, which makes it difficult for us to forecast growth. If we are unable to establish relationships with new distribution partners or merchants, or otherwise increase our transaction processing volume in order to counter the effect of this attrition, our revenues will decline.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 w:name="page17"/>
    <w:bookmarkEnd w:id="16"/>
    <w:p>
      <w:pPr>
        <w:ind w:right="40"/>
        <w:spacing w:after="0" w:line="288" w:lineRule="auto"/>
        <w:rPr>
          <w:sz w:val="20"/>
          <w:szCs w:val="20"/>
          <w:color w:val="auto"/>
        </w:rPr>
      </w:pPr>
      <w:r>
        <w:rPr>
          <w:rFonts w:ascii="Arial" w:cs="Arial" w:eastAsia="Arial" w:hAnsi="Arial"/>
          <w:sz w:val="17"/>
          <w:szCs w:val="17"/>
          <w:b w:val="1"/>
          <w:bCs w:val="1"/>
          <w:i w:val="1"/>
          <w:iCs w:val="1"/>
          <w:color w:val="auto"/>
        </w:rPr>
        <w:t>Unauthorized disclosure of merchant or cardholder data, whether through breach of our computer systems, computer viruses, or otherwise, could expose us to liability, protracted and costly litigation and damage our reputation.</w:t>
      </w:r>
    </w:p>
    <w:p>
      <w:pPr>
        <w:spacing w:after="0" w:line="15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are responsible for data security for ourselves and for third parties with whom we partner, including by contract and under the rules and regulations established by the payment networks, such as Visa, MasterCard, Discover and American Express, as well as debit card networks. These third parties include merchants, our distribution partners and other third-party service providers and agents. We and other third parties collect, process, store and/or transmit sensitive data, such as names, addresses, social security numbers, credit or debit card numbers and expiration dates, driver’s license numbers and bank account numbers. We have ultimate liability to the payment networks and our bank sponsors that register us with Visa or MasterCard for our failure or the failure of third parties with whom we contract to protect this data in accordance with payment network requirements. The loss, destruction or unauthorized modification of merchant or cardholder data by us or our contracted third parties could result in significant fines, sanctions and proceedings or actions against us by the payment networks, governmental bodies, consumers or others.</w:t>
      </w:r>
    </w:p>
    <w:p>
      <w:pPr>
        <w:spacing w:after="0" w:line="18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Information security risks for us and our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our employees have access to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services or to create a diversion for other malicious activities. These types of actions and attacks and others could disrupt our delivery of services or make them unavailable. Any such actions or attacks against us or our contracted third parties could hurt our reputation, force us to incur significant expenses in remediating the resulting impacts, expose us to uninsured liability, result in the loss of our bank sponsors or our ability to participate in the payment networks, subject us to lawsuits, fines or sanctions, distract our management or increase our costs of doing business. For example, we are presently evaluating whether the recent Spectre and Meltdown threats may require us to replace substantial portions of our current technology hardware and infrastructure in order to mitigate the risk associated with those threats. If we are required to replace a substantial portion of our current technology hardware and infrastructure, either as a result of the Spectre and Meltdown threats or similar future threats, we would likely incur substantial capital expenditures, which may materially and adversely affect our free cash flow and results of operations as a result.</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and our contracted third parties could be subject to breaches of security by hackers. Its encryption of data and other protective measures may not prevent unauthorized access to or use of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merchants from using electronic payments generally and our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our insurance coverage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7" w:name="page18"/>
    <w:bookmarkEnd w:id="17"/>
    <w:p>
      <w:pPr>
        <w:ind w:right="180"/>
        <w:spacing w:after="0" w:line="299" w:lineRule="auto"/>
        <w:rPr>
          <w:sz w:val="20"/>
          <w:szCs w:val="20"/>
          <w:color w:val="auto"/>
        </w:rPr>
      </w:pPr>
      <w:r>
        <w:rPr>
          <w:rFonts w:ascii="Arial" w:cs="Arial" w:eastAsia="Arial" w:hAnsi="Arial"/>
          <w:sz w:val="15"/>
          <w:szCs w:val="15"/>
          <w:color w:val="auto"/>
        </w:rPr>
        <w:t>The confidentiality of the sensitive business information and personal consumer information that resides on our systems and our associated third parties’ systems are critical to our business. While we maintain controls and procedures to protect the sensitive data we collect, we cannot be certain that these measures will be successful or sufficient to counter all current and emerging technology threats that are designed to breach these systems in order to gain access to confidential information. For example, although we generally require that our agreements with distribution partners or our service providers which may have access to merchant or cardholder data include confidentiality obligations that restrict these parties from using or disclosing any merchant or cardholder data except as necessary to perform their services under the applicable agreements, we cannot guarantee that these contractual measures will prevent the unauthorized use, modification, destruction or disclosure of data or allow us to seek reimbursement from the contracted party. In addition, many of our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incurring significant losses.</w:t>
      </w:r>
    </w:p>
    <w:p>
      <w:pPr>
        <w:spacing w:after="0" w:line="15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addition, our agreements with our bank sponsors and our third-party payment processors (as well as payment network requirements) require us to take certain protective measures to ensure the confidentiality of merchant and consumer data. Any failure to adequately comply with these protective measures could result in fees, penalties, litigation or termination of our bank sponsor agreements.</w:t>
      </w:r>
    </w:p>
    <w:p>
      <w:pPr>
        <w:spacing w:after="0" w:line="173"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Any significant unauthorized disclosure of sensitive data entrusted to us would cause significant damage to our reputation and impair our ability to attract new integrated technology and referral partners, and may cause parties with whom we already have such agreements to terminate them.</w:t>
      </w:r>
    </w:p>
    <w:p>
      <w:pPr>
        <w:spacing w:after="0" w:line="159"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As a result of information security risks, we must continuously develop and enhance our controls, processes, and practices designed to protect our computer systems, software, data and networks from attack, damage, or unauthorized access. This continuous development and enhancement will require us to expend additional resources, including to investigate and remediate significant information security vulnerabilities detected. Despite our investments in security measures, we are unable to assure that any security measures will not be subject to system or human error.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breakdowns in our processing systems that could damage client relations and expose us to liability.</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core business depends heavily on the reliability of our processing systems. A system outage could have a material adverse effect on our business, financial condition, and results of operations. Not only would we suffer damage to our reputation in the event of a system outage, but we may also be liable to third parties. Many of our contractual agreements with clients require us to pay penalties if our systems do not meet certain operating standards. To successfully operate our business, we must be able to protect our processing and other systems from interruption, including from events that may be beyond our control. Events that could cause system interruptions include, but are not limited to, fire, natural disaster, unauthorized entry, power loss, telecommunications failure, computer viruses, terrorist acts, cyber-attacks, and war. Although we have taken steps to protect against data loss and system failures, there is still risk that we may lose critical data or experience system failures. To help protect against these events, we perform the vast majority of disaster recovery operations ourselves, but we also utilize select third parties for certain operations. To the extent we outsource our disaster recovery, we are at risk of the vendor’s unresponsiveness or other failures in the event of breakdowns in our systems. In addition, our property and business interruption insurance may not be adequate to compensate us for all losses or failures that may occur.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8" w:name="page19"/>
    <w:bookmarkEnd w:id="18"/>
    <w:p>
      <w:pPr>
        <w:ind w:right="360"/>
        <w:spacing w:after="0" w:line="288" w:lineRule="auto"/>
        <w:rPr>
          <w:sz w:val="20"/>
          <w:szCs w:val="20"/>
          <w:color w:val="auto"/>
        </w:rPr>
      </w:pPr>
      <w:r>
        <w:rPr>
          <w:rFonts w:ascii="Arial" w:cs="Arial" w:eastAsia="Arial" w:hAnsi="Arial"/>
          <w:sz w:val="17"/>
          <w:szCs w:val="17"/>
          <w:b w:val="1"/>
          <w:bCs w:val="1"/>
          <w:i w:val="1"/>
          <w:iCs w:val="1"/>
          <w:color w:val="auto"/>
        </w:rPr>
        <w:t>Governmental regulations designed to protect or limit access to or use of consumer information could adversely affect our ability to effectively provide our services to merchants.</w:t>
      </w:r>
    </w:p>
    <w:p>
      <w:pPr>
        <w:spacing w:after="0" w:line="159"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Governmental bodies in the United States have adopted, or are considering the adoption of, laws and regulations restricting the use, collection, storage, and transfer of, and requiring safeguarding of, non-public personal information. Our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54"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us to develop, implement and maintain a written, comprehensive information security program containing safeguards that are appropriate for our size and complexity, the nature and scope of our activities and the sensitivity of any customer information at issue. Our financial institution clients are subject to similar requirements under the guidelines issued by the federal banking regulators. As part of their compliance with these requirements, each of our financial institution clients is expected to have a program in place for responding to unauthorized access to, or use of, customer information that could result in substantial harm or inconvenience to customers and they are also responsible for our compliance efforts as a major service provider. In addition, regulators are proposing new laws or regulations which could require us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5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In connection with providing services to our merchants, we are required by regulations and contracts with our merchants and with our financial institution referral partners to provide assurances regarding the confidentiality and security of non-public consumer information. These contracts require periodic audits by independent companies regarding our compliance with industry standards and also allow for similar audits regarding best practices established by regulatory guidelines. The compliance standards relate to our infrastructure, components and operational procedures designed to safeguard the confidentiality and security of non-public consumer personal information shared by our merchants with it. Our ability to maintain compliance with these standards and satisfy these audits will affect our ability to attract, grow and maintain business in the future. If we fail to comply with the laws and regulations relating to the protection of data privacy, we could be exposed to suits for breach of contract or to governmental proceedings. In addition, our relationships and reputation could be harmed, which could inhibit our ability to retain existing merchants and distribution partners and obtain new merchants and distribution partners.</w:t>
      </w:r>
    </w:p>
    <w:p>
      <w:pPr>
        <w:spacing w:after="0" w:line="17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more restrictive privacy laws or rules are adopted by authorities in the future, our compliance costs may increase and our ability to perform due diligence on, and monitor the risk of, our current and potential merchants may decrease, which could create liability for it. Additionally, our opportunities for growth may be curtailed by our compliance capabilities or reputational harm, and our potential liability for security breaches may increase.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distribution partners and merchants may be reluctant to switch to a new merchant acquirer, which may adversely affect our growth.</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Many potential distribution partners and merchants worry about potential disadvantages associated with switching merchant acquirers, such as a loss of accustomed functionality, increased costs and business disruption. For our distribution partners, switching to us from another merchant acquirer or integrating with us may be perceived by them as a significant undertaking. As a result, many distribution partners and merchants often resist change. There can be no assurance that our strategies for overcoming potential reluctance to change vendors or initiate a relationship with us will be successful, and this resistance may adversely affect our growth and performance results.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Because we rely on third-party vendors to provide products and services, we could be adversely impacted if we fail to fulfill their obligations.</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business is dependent on third-party vendors to provide us with certain products and services. For example, we utilize First Data and TSYS to provide authorization and settlement services. Our current amended and restated processing agreement with First Data was entered into in December 2014 and will remain in effect through December 2019 and automatically renews for successive one year terms thereafter unless either party provides written notice of non-renewal to the other party. Our current processing agreement with TSYS was entered into in November 2014 and will remain in effect through December 2019 and automatically renews for successive one year terms thereafter unless either party provides written notice of non-renewal to the other party. In this regard, we have provided TSYS with a notice of our intent to terminate the agreement effective as of April 3, 2019, in connection with our intent to negotiate and enter into a new agreement with TSYS. There can be no assurance, however, that we will be successful in negotiating or entering into such a subsequent agreement with TSYS, and in the event we are unable to do so, we may determine to shift all or a portion of our current TSYS processing work to other providers.</w:t>
      </w:r>
    </w:p>
    <w:p>
      <w:pPr>
        <w:spacing w:after="0" w:line="172"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failure of these vendors, such as First Data and TSYS, to perform their obligations in a timely manner could adversely affect our operations and profitability. In addition, if we are unable to renew our existing contracts with our most significant vendors, such as First Data and TSYS, it might not be able to replace the related product or service at the same cost, which would negatively impact our profitability. Specifically, while we believe we would be able to locate alternative vendors to provide substantially similar services at comparable rates, or otherwise replicate such services internally, it is not assured that a change will not be disruptive to our business, which could potentially lead to a material adverse impact on our revenue and profitability until resolved.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card association and debit network fees or products could increase costs or otherwise limit our operations.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us absorbing a portion of such increases in the future, which would increase our operating costs, reduce our profit margin, and adversely affect our business, operating results, and financial condition. In addition, the various card associations and networks prescribe certain capital requirements. Any increase in the capital level required would further limit our use of capital for other purposes.</w:t>
      </w:r>
    </w:p>
    <w:p>
      <w:pPr>
        <w:spacing w:after="0" w:line="177"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b w:val="1"/>
          <w:bCs w:val="1"/>
          <w:i w:val="1"/>
          <w:iCs w:val="1"/>
          <w:color w:val="auto"/>
        </w:rPr>
        <w:t>We are subject to extensive government regulation, and any new laws and regulations, industry standards or revisions made to existing laws, regulations or industry standards affecting the electronic payments industry may have an unfavorable impact on our business, financial condition and results of operations.</w:t>
      </w:r>
    </w:p>
    <w:p>
      <w:pPr>
        <w:spacing w:after="0" w:line="11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We are subject to numerous regulations that affect electronic payments including, U.S. financial services regulations, consumer protection laws, escheat regulations, and privacy and information security regulations. Regulation and proposed regulation of our industry has increased significantly in recent years. Changes to statutes, regulations or industry standards, including interpretation and implementation of statutes, regulations or standards, could increase our cost of doing business or affect the competitive balance. For example, the Trump Administration has called for changes in existing regulatory requirements, including those applicable to financial services.</w:t>
      </w:r>
    </w:p>
    <w:p>
      <w:pPr>
        <w:spacing w:after="0" w:line="18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cannot predict the impact, if any, of such changes on our business. It is likely that some policies adopted by the new administration will benefit us, while others will negatively affect it. Until we know what changes are adopted, we will not know whether in total we benefit from, or are negatively affected by, the changes. Failure to comply with regulations may have an adverse effect on our business, including the limitation, suspension or termination of services provided to, or by, third parties, and the imposition of penalties or fines.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 w:name="page21"/>
    <w:bookmarkEnd w:id="20"/>
    <w:p>
      <w:pPr>
        <w:ind w:right="80"/>
        <w:spacing w:after="0" w:line="289" w:lineRule="auto"/>
        <w:rPr>
          <w:sz w:val="20"/>
          <w:szCs w:val="20"/>
          <w:color w:val="auto"/>
        </w:rPr>
      </w:pPr>
      <w:r>
        <w:rPr>
          <w:rFonts w:ascii="Arial" w:cs="Arial" w:eastAsia="Arial" w:hAnsi="Arial"/>
          <w:sz w:val="16"/>
          <w:szCs w:val="16"/>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60"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our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us within the definitional scope, should be supervised by the Board of Governors of the Federal Reserve System (the “Federal Reserve Board”), because it is systemically important to the United States financial system. Any such designation would result in increased regulatory burdens on our business, which increases our risk profile and may have an adverse impact on our business, financial condition and results of operations.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our merchants and, in some cases, may subject us, as the merchant’s electronic processor or provider of certain services, to investigations, fees, fines and disgorgement of funds if we were deemed to have improperly aided and abetted or otherwise provided the means and instrumentalities to facilitate the illegal or improper activities of the merchant through our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183"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Our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We could be liable if our practices under the FCRA are not in compliance with the FCRA or regulations under it.</w:t>
      </w:r>
    </w:p>
    <w:p>
      <w:pPr>
        <w:spacing w:after="0" w:line="173" w:lineRule="exact"/>
        <w:rPr>
          <w:sz w:val="20"/>
          <w:szCs w:val="20"/>
          <w:color w:val="auto"/>
        </w:rPr>
      </w:pPr>
    </w:p>
    <w:p>
      <w:pPr>
        <w:ind w:right="640"/>
        <w:spacing w:after="0" w:line="289" w:lineRule="auto"/>
        <w:rPr>
          <w:sz w:val="20"/>
          <w:szCs w:val="20"/>
          <w:color w:val="auto"/>
        </w:rPr>
      </w:pPr>
      <w:r>
        <w:rPr>
          <w:rFonts w:ascii="Arial" w:cs="Arial" w:eastAsia="Arial" w:hAnsi="Arial"/>
          <w:sz w:val="16"/>
          <w:szCs w:val="16"/>
          <w:color w:val="auto"/>
        </w:rPr>
        <w:t>Separately, the Housing Assistance Tax Act of 2008 included an amendment to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Transactions that are reportable pursuant to these rules are subject to backup withholding requirements. We could be liable for penalties if our information returns do not comply with these regulations.</w:t>
      </w:r>
    </w:p>
    <w:p>
      <w:pPr>
        <w:spacing w:after="0" w:line="16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These and other laws and regulations, even if not directed at us, may require us to make significant efforts to change our products and services and may require that we incur additional compliance costs and change how we price our services to merchants. Implementing new compliance efforts may be difficult because of the complexity of new regulatory requirements, and may cause us to devote significant resources to ensure compliance. Furthermore, regulatory actions may cause changes in business practices by us and other industry participants which could affect how we market, price and distribute our products and services, which could limit our ability to grow, reduce our revenues, or increase our costs. In addition, even an inadvertent failure to comply with laws and regulations, as well as rapidly evolving social expectations of corporate fairness, could damage our business or our reputation.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1" w:name="page22"/>
    <w:bookmarkEnd w:id="21"/>
    <w:p>
      <w:pPr>
        <w:ind w:right="720"/>
        <w:spacing w:after="0" w:line="321" w:lineRule="auto"/>
        <w:rPr>
          <w:sz w:val="20"/>
          <w:szCs w:val="20"/>
          <w:color w:val="auto"/>
        </w:rPr>
      </w:pPr>
      <w:r>
        <w:rPr>
          <w:rFonts w:ascii="Arial" w:cs="Arial" w:eastAsia="Arial" w:hAnsi="Arial"/>
          <w:sz w:val="16"/>
          <w:szCs w:val="16"/>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our registrations through our bank sponsors.</w:t>
      </w:r>
    </w:p>
    <w:p>
      <w:pPr>
        <w:spacing w:after="0" w:line="136"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In order to provide our merchant acquiring services, we are registered through our bank sponsors with the Visa and MasterCard networks as service providers for member institutions. More than $32 billion of our processing volume in the fiscal year ended December 31, 2017 was attributable to transactions processed on the Visa and MasterCard networks. As such, we and our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our third-party processing agreements may also impose requirements with respect to compliance with PCI DSS.</w:t>
      </w:r>
    </w:p>
    <w:p>
      <w:pPr>
        <w:spacing w:after="0" w:line="18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If we do not comply with the payment network requirements or standards governing our third-party processing agreements, our transaction processing capabilities could be delayed or otherwise disrupted, and recurring non-compliance could result in the payment networks or third-party processors seeking to fine it, the payment networks suspending or terminating our registrations which allow us to process transactions on their networks, which would make it impossible for us to conduct our business on our current scale.</w:t>
      </w:r>
    </w:p>
    <w:p>
      <w:pPr>
        <w:spacing w:after="0" w:line="177"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A card association has sent us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our merchants use.</w:t>
      </w:r>
    </w:p>
    <w:p>
      <w:pPr>
        <w:spacing w:after="0" w:line="15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As a result of these and other findings, we took certain corrective actions, after reviewing these merchant accounts for violations of card association rules and our terms of service, including opening duplicate or multiple accounts to avoid compliance with our chargeback limitations. The corrective actions increase the costs of our compliance program which were passed along to resellers representing these merchants. As a result of some of these discrete corrective actions as well as standard risk assessment conducted through our risk management systems, we have terminated certain merchant accounts. We continue to evaluate additional existing and new merchant accounts for similar activity, and the number and type of merchants we will onboard in the future could potentially be affected. In addition, if we are in the future forced to close a material number of our merchant accounts as a result of separate inquiries from card associations of our own internal risk assessment process, such closures could have a material adverse effect on our business, financial condition, and results of operations. We have not been fined by the credit card association, however, had we not resolved the issues presented in such notices, we may be required to pay a fine. If in the future we are unable to recover fines from or pass-through costs to our merchants and/or resellers, or recover losses under insurance policies, we would experience a financial loss, and any such loss could be significant.</w:t>
      </w:r>
    </w:p>
    <w:p>
      <w:pPr>
        <w:spacing w:after="0" w:line="184"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As a result of the foregoing, we closed approximately 1,200 merchant accounts in 2018 in order to ensure compliance with MasterCard standards. In October of 2018, MasterCard issued guidance and revised standards for the boarding of merchants in this channel. This new guidance from MasterCard will allow us to resume the boarding of merchants in this e-commerce channel in compliance with new standards, but the success rate or financial impact of the new boarding of the e-commerce channel is not quantifiable.</w:t>
      </w:r>
    </w:p>
    <w:p>
      <w:pPr>
        <w:spacing w:after="0" w:line="17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The termination of our registration with the payment networks, or any changes in payment network or issuer rules that limit our ability to provide merchant acquiring services, could have an adverse effect on our payment processing volumes, revenues and operating costs. If an audit or self-assessment under PCI DSS identifies any deficiencies that we need to remediate, the remediation efforts may distract our management team and be expensive and time consuming.</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Changes in payment network rules or standards could adversely affect our business, financial condition and results of operations.</w:t>
      </w:r>
    </w:p>
    <w:p>
      <w:pPr>
        <w:spacing w:after="0" w:line="223"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us to quickly implement changes to our systems which increases the risk of non-compliance with new standards. In addition, the payment networks could make changes to interchange or other elements of the pricing structure of the merchant acquiring industry that would have a negative impact on our results of operations.</w:t>
      </w:r>
    </w:p>
    <w:p>
      <w:pPr>
        <w:spacing w:after="0" w:line="181"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b w:val="1"/>
          <w:bCs w:val="1"/>
          <w:i w:val="1"/>
          <w:iCs w:val="1"/>
          <w:color w:val="auto"/>
        </w:rPr>
        <w:t>There may be a decline in the use of electronic payments as a payment mechanism for consumers or adverse developments with respect to the electronic payments industry in general which could adversely affect our business, financial condition and operating results.</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Maintaining or increasing our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us, our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In order to remain competitive and to continue to increase our revenues and earnings, we must continually update our products and services, a process which could result in increased costs and the loss of revenues, earnings, merchants and distribution partners if the new products and services do not perform as intended or are not accepted in the marketplace.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electronic payments industry in which we compete is subject to rapid technological changes and is characterized by new technology, product and service introductions, evolving industry standards, changing merchant needs and the entrance of non-traditional competitors. We are subject to the risk that our existing products and services become obsolete, and that we are unable to develop new products and services in response to industry demands. Our future success will depend in part on our ability to develop or adapt to technological changes and the evolving needs of our resellers, merchants and the industry at large. We are continually involved in many business and technology projects, such as Commercial Payments Exchange (“CPX”), MX Connect and MX Merchant. MX Connect and MX Merchant provide resellers and merchant clients, a flexible and customizable set of business applications that help better manage critical business work functions and revenue performance using core payment processing as our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our software and errors or delays in our processing of electronic transactions could result in additional development costs, diversion of technical and other resources from our other development efforts, loss of credibility with current or potential distribution partners and merchants, harm to our reputation, fines imposed by card networks, or exposure to liability claims. Any delay in the delivery of new products or services or the failure to differentiate our products and services could render them less desirable, or possibly even obsolete, to our merchants. Additionally, the market for alternative payment processing products and services is evolving, and we may develop too rapidly or not rapidly enough for us to recover the costs we have incurred in developing new products and services.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may not be able to continue to expand our share of the existing electronic payments industry or expand into new markets, which would inhibit our ability to grow and increase our profitability.</w:t>
      </w:r>
    </w:p>
    <w:p>
      <w:pPr>
        <w:spacing w:after="0" w:line="15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growth and profitability depend, in part, upon our continued expansion within the markets in which we currently operate, the emergence of other markets for electronic payments and our ability to penetrate these markets and our current distribution partners’ merchant base. Future growth and profitability of our business may depend upon our ability to penetrate new industries and markets for electronic payments.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3" w:name="page24"/>
    <w:bookmarkEnd w:id="23"/>
    <w:p>
      <w:pPr>
        <w:ind w:right="120"/>
        <w:spacing w:after="0" w:line="264" w:lineRule="auto"/>
        <w:rPr>
          <w:sz w:val="20"/>
          <w:szCs w:val="20"/>
          <w:color w:val="auto"/>
        </w:rPr>
      </w:pPr>
      <w:r>
        <w:rPr>
          <w:rFonts w:ascii="Arial" w:cs="Arial" w:eastAsia="Arial" w:hAnsi="Arial"/>
          <w:sz w:val="17"/>
          <w:szCs w:val="17"/>
          <w:color w:val="auto"/>
        </w:rPr>
        <w:t>Our ability to expand into new industries and markets also depends upon our ability to adapt our existing technology or to develop new technologies to meet the particular needs of each new industry or market. We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we may anticipate. If we fail to expand into new and existing electronic payments industries and markets, we may not be able to continue to grow our revenues and earnings.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acquisitions subject us to a variety of risks that could harm our business.</w:t>
      </w:r>
    </w:p>
    <w:p>
      <w:pPr>
        <w:spacing w:after="0" w:line="22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We review and complete selective acquisition opportunities as part of our growth strategy. There can be no assurances that we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us to a variety of other risks:</w:t>
      </w:r>
    </w:p>
    <w:p>
      <w:pPr>
        <w:spacing w:after="0" w:line="177" w:lineRule="exact"/>
        <w:rPr>
          <w:sz w:val="20"/>
          <w:szCs w:val="20"/>
          <w:color w:val="auto"/>
        </w:rPr>
      </w:pPr>
    </w:p>
    <w:p>
      <w:pPr>
        <w:ind w:left="640" w:right="500" w:hanging="321"/>
        <w:spacing w:after="0" w:line="28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58"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acquisitions may have a material adverse effect on our business relationships with existing or future merchants or distribution partners, in particular, to the extent we consummate acquisitions that increase our sales and distribution capabilities;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assume substantial actual or contingent liabilities, known and unknown;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acquisitions may not meet our expectations of future financial performance;</w:t>
      </w:r>
    </w:p>
    <w:p>
      <w:pPr>
        <w:spacing w:after="0" w:line="223" w:lineRule="exact"/>
        <w:rPr>
          <w:rFonts w:ascii="Arial" w:cs="Arial" w:eastAsia="Arial" w:hAnsi="Arial"/>
          <w:sz w:val="17"/>
          <w:szCs w:val="17"/>
          <w:color w:val="auto"/>
        </w:rPr>
      </w:pPr>
    </w:p>
    <w:p>
      <w:pPr>
        <w:ind w:left="640" w:right="80" w:hanging="321"/>
        <w:spacing w:after="0" w:line="28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experience delays or reductions in realizing expected synergies or benefits;</w:t>
      </w:r>
    </w:p>
    <w:p>
      <w:pPr>
        <w:spacing w:after="0" w:line="223" w:lineRule="exact"/>
        <w:rPr>
          <w:rFonts w:ascii="Arial" w:cs="Arial" w:eastAsia="Arial" w:hAnsi="Arial"/>
          <w:sz w:val="17"/>
          <w:szCs w:val="17"/>
          <w:color w:val="auto"/>
        </w:rPr>
      </w:pPr>
    </w:p>
    <w:p>
      <w:pPr>
        <w:ind w:left="640" w:right="180" w:hanging="321"/>
        <w:spacing w:after="0" w:line="28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incur substantial unanticipated costs or encounter other problems associated with acquired businesses or devote time and capital investigating a potential acquisition and not complete the transaction;</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unable to achieve our intended objectives for the transaction;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able to retain the key personnel, customers and suppliers of the acquired business.</w:t>
      </w:r>
    </w:p>
    <w:p>
      <w:pPr>
        <w:spacing w:after="0" w:line="22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Additionally, we may be unable to maintain uniform standards, controls, procedures and policies as we attempt to integrate the acquired businesses, and this may lead to operational inefficiencies. These factors related to our acquisition strategy, among others, could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Potential changes in the competitive landscape, including disintermediation from other participants in the payments value chain, could harm our business.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competitive landscape will continue to change, including the following developments:</w:t>
      </w:r>
    </w:p>
    <w:p>
      <w:pPr>
        <w:spacing w:after="0" w:line="223" w:lineRule="exact"/>
        <w:rPr>
          <w:sz w:val="20"/>
          <w:szCs w:val="20"/>
          <w:color w:val="auto"/>
        </w:rPr>
      </w:pPr>
    </w:p>
    <w:p>
      <w:pPr>
        <w:ind w:left="640" w:right="360" w:hanging="321"/>
        <w:spacing w:after="0" w:line="32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rapid and significant changes in technology may result in technology-led marketing that is focused on business solutions rather than pricing, new and innovative payment methods and programs that could place us at a competitive disadvantage and reduce the use of our services;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24" w:name="page25"/>
    <w:bookmarkEnd w:id="24"/>
    <w:p>
      <w:pPr>
        <w:ind w:left="640" w:right="540" w:hanging="321"/>
        <w:spacing w:after="0" w:line="28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competitors, distribution partners, and other industry participants may develop products that compete with or replace our value-added products and services;</w:t>
      </w:r>
    </w:p>
    <w:p>
      <w:pPr>
        <w:spacing w:after="0" w:line="158" w:lineRule="exact"/>
        <w:rPr>
          <w:rFonts w:ascii="Arial" w:cs="Arial" w:eastAsia="Arial" w:hAnsi="Arial"/>
          <w:sz w:val="17"/>
          <w:szCs w:val="17"/>
          <w:color w:val="auto"/>
        </w:rPr>
      </w:pPr>
    </w:p>
    <w:p>
      <w:pPr>
        <w:ind w:left="640" w:right="140" w:hanging="321"/>
        <w:spacing w:after="0" w:line="28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participants in the financial services, payments and technology industries may merge, create joint ventures or form other business combinations that may strengthen their existing business services or create new payment services that compete with us; and</w:t>
      </w:r>
    </w:p>
    <w:p>
      <w:pPr>
        <w:spacing w:after="0" w:line="158"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new services and technologies that we develop may be impacted by industry-wide solutions and standards related to migration to EMV chip technology, tokenization or other security-related technologies.</w:t>
      </w:r>
    </w:p>
    <w:p>
      <w:pPr>
        <w:spacing w:after="0" w:line="159" w:lineRule="exact"/>
        <w:rPr>
          <w:sz w:val="20"/>
          <w:szCs w:val="20"/>
          <w:color w:val="auto"/>
        </w:rPr>
      </w:pPr>
    </w:p>
    <w:p>
      <w:pPr>
        <w:ind w:right="460"/>
        <w:spacing w:after="0" w:line="288" w:lineRule="auto"/>
        <w:rPr>
          <w:sz w:val="20"/>
          <w:szCs w:val="20"/>
          <w:color w:val="auto"/>
        </w:rPr>
      </w:pPr>
      <w:r>
        <w:rPr>
          <w:rFonts w:ascii="Arial" w:cs="Arial" w:eastAsia="Arial" w:hAnsi="Arial"/>
          <w:sz w:val="17"/>
          <w:szCs w:val="17"/>
          <w:color w:val="auto"/>
        </w:rPr>
        <w:t>Failure to compete effectively against any of these competitive threats could have a material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manage our intellectual property and may be subject to infringement claims.</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rely on a combination of contractual rights and copyright, trademark, patent and trade secret laws to establish and protect our proprietary technology. Third parties may challenge,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service offerings or other competitive harm. Others, including our competitors, may independently develop similar technology, duplicate our services or design around our intellectual property and, in such cases, we could not assert our intellectual property rights against such parties. 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and know-how, which is expensive, could cause a diversion of resources and may not prove successful.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or the inability to license or otherwise use third-party intellectual property could harm our business and ability to compete.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may also be subject to costly litigation if our services and technology are alleged to infringe upon or otherwise violate a third-party’s proprietary rights. Third parties may have, or may eventually be issued, patents that could be infringed by our products, services or technology. Any of these third parties could make a claim of infringement against us with respect to our products, services or technology. We may also be subject to claims by third parties for patent, copyright or trademark infringement, breach of license or violation of other third-party intellectual property rights. Any claim from third parties may result in a limitation on our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Claims of intellectual property infringement or violation also might require us to redesign affected products or services, enter into costly settlement or license agreements, pay costly damage awards, or face a temporary or permanent injunction prohibiting us from marketing or selling certain of our products or services. Even if we have an agreement for indemnification against such costs, the indemnifying party, if any in such circumstances, may be unable to uphold our contractual obligations. If we cannot or do not license the infringed technology on reasonable terms or substitute similar technology from another source, our revenue and earnings could be adversely impacted.</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25" w:name="page26"/>
    <w:bookmarkEnd w:id="25"/>
    <w:p>
      <w:pPr>
        <w:spacing w:after="0" w:line="288" w:lineRule="auto"/>
        <w:rPr>
          <w:sz w:val="20"/>
          <w:szCs w:val="20"/>
          <w:color w:val="auto"/>
        </w:rPr>
      </w:pPr>
      <w:r>
        <w:rPr>
          <w:rFonts w:ascii="Arial" w:cs="Arial" w:eastAsia="Arial" w:hAnsi="Arial"/>
          <w:sz w:val="17"/>
          <w:szCs w:val="17"/>
          <w:b w:val="1"/>
          <w:bCs w:val="1"/>
          <w:i w:val="1"/>
          <w:iCs w:val="1"/>
          <w:color w:val="auto"/>
        </w:rPr>
        <w:t>We are subject to economic and political risk, the business cycles of our merchants and distribution partners and the overall level of consumer and commercial spending, which could negatively impact our business, financial condition and results of operations.</w:t>
      </w:r>
    </w:p>
    <w:p>
      <w:pPr>
        <w:spacing w:after="0" w:line="15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The electronic payments industry depends heavily on the overall level of consumer, commercial and government spending. We are exposed to general economic conditions that affect consumer confidence, consumer spending, consumer discretionary income and changes in consumer purchasing habits. A sustained deterioration in general economic conditions or increases in interest rates could adversely affect our financial performance by reducing the number or aggregate dollar volume of transactions made using electronic payments. If our merchants make fewer sales of their products and services using electronic payments, or consumers spend less money through electronic payments, we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we process. We also have material fixed and semi-fixed costs, including rent, debt service, contractual minimums and salaries, which could limit our ability to quickly adjust costs and respond to changes in our business and the economy.</w:t>
      </w:r>
    </w:p>
    <w:p>
      <w:pPr>
        <w:spacing w:after="0" w:line="172"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Global economic, political and market conditions affecting the U.S. markets may adversely affect our business, results of operations and financial condition, including our revenue growth and profitability.</w:t>
      </w:r>
    </w:p>
    <w:p>
      <w:pPr>
        <w:spacing w:after="0" w:line="15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81" w:lineRule="exact"/>
        <w:rPr>
          <w:sz w:val="20"/>
          <w:szCs w:val="20"/>
          <w:color w:val="auto"/>
        </w:rPr>
      </w:pPr>
    </w:p>
    <w:p>
      <w:pPr>
        <w:jc w:val="both"/>
        <w:ind w:right="60"/>
        <w:spacing w:after="0" w:line="296" w:lineRule="auto"/>
        <w:rPr>
          <w:sz w:val="20"/>
          <w:szCs w:val="20"/>
          <w:color w:val="auto"/>
        </w:rPr>
      </w:pPr>
      <w:r>
        <w:rPr>
          <w:rFonts w:ascii="Arial" w:cs="Arial" w:eastAsia="Arial" w:hAnsi="Arial"/>
          <w:sz w:val="15"/>
          <w:szCs w:val="15"/>
          <w:color w:val="auto"/>
        </w:rPr>
        <w:t>Any new legislation that may be adopted in the United States could significantly affect the regulation of U.S. financial markets. Areas subject to potential change, amendment or repeal include the Dodd-Frank Act and the authority of the Federal Reserve Board and the Financial Stability Oversight Council. The United States may also potentially withdraw from or renegotiate various trade agreements and take other actions that would change current trade policies of the United States.</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We cannot predict which, if any, of these actions will be taken or, if taken, their effect on the financial stability of the United States. Such actions could have a significant adverse effect on our business, financial condition and results of operations, particularly in view of the regulatory oversight we presently face. We cannot predict the effects of these or similar events in the future on the U.S. economy in general, or specifically on our business model or growth strategy, which typically involves the use of debt financing. To the extent a downturn in the U.S. economy impacts our merchant accounts, regulatory changes increase the burden we face in operating our business, or disruptions in the credit markets prevent us from using debt to finance future acquisitions, our financial condition and results of operations may be materially and adversely impacted.</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A substantial portion of all of our merchants are small- and medium-sized businesses, which may increase the impact of economic fluctuations and merchant attrition on it.</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We market and sell our solutions primarily to SMB merchants. SMB merchants are typically more susceptible to the adverse effects of economic fluctuations than larger businesses. We experience attrition in merchants and merchant charge volume in the ordinary course of business resulting from several factors, including business closures, transfers of merchants’ accounts to our competitors and account closures that we initiate due to heightened credit risks relating to, or contract breaches by, a merchant. Adverse changes in the economic environment or business failures of our SMB merchants may have a greater impact on us than on our competitors who do not focus on SMB merchants to the extent that we do. We cannot accurately predict the level of SMB merchant attrition in the future. If we are unable to establish accounts with new merchants or otherwise increase our payment processing volume in order to counter the effect of this attrition, our revenues will decline.</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26" w:name="page27"/>
    <w:bookmarkEnd w:id="26"/>
    <w:p>
      <w:pPr>
        <w:ind w:right="140"/>
        <w:spacing w:after="0" w:line="288" w:lineRule="auto"/>
        <w:rPr>
          <w:sz w:val="20"/>
          <w:szCs w:val="20"/>
          <w:color w:val="auto"/>
        </w:rPr>
      </w:pPr>
      <w:r>
        <w:rPr>
          <w:rFonts w:ascii="Arial" w:cs="Arial" w:eastAsia="Arial" w:hAnsi="Arial"/>
          <w:sz w:val="17"/>
          <w:szCs w:val="17"/>
          <w:b w:val="1"/>
          <w:bCs w:val="1"/>
          <w:i w:val="1"/>
          <w:iCs w:val="1"/>
          <w:color w:val="auto"/>
        </w:rPr>
        <w:t>Our systems and our third-party providers’ systems may fail due to factors beyond our control, which could interrupt our service, resulting in our inability to process, cause us to lose business, increase our costs and expose us to liability.</w:t>
      </w:r>
    </w:p>
    <w:p>
      <w:pPr>
        <w:spacing w:after="0" w:line="159"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We depend on the efficient and uninterrupted operation of numerous systems, including our computer network systems, software, data centers and telecommunication networks, as well as the systems and services of our bank sponsors, the payment networks, third-party providers of processing services and other third parties. Our systems and operations or those of our third-party providers, such as our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Our property and business interruption insurance may not be adequate to compensate us for all losses or failures that may occur. At present, our critical operational systems, such as our payment gateway, are fully redundant, while certain of our less critical systems are not. Therefore, certain aspects of our operations may be subject to interruption. Also, while we have disaster recovery policies and arrangements in place, they have not been tested under actual disasters or similar events.</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Defects in our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our business or reputation, exposure to fraud losses or other liabilities and fines and other sanctions imposed by payment networks.</w:t>
      </w:r>
    </w:p>
    <w:p>
      <w:pPr>
        <w:spacing w:after="0" w:line="177" w:lineRule="exact"/>
        <w:rPr>
          <w:sz w:val="20"/>
          <w:szCs w:val="20"/>
          <w:color w:val="auto"/>
        </w:rPr>
      </w:pPr>
    </w:p>
    <w:p>
      <w:pPr>
        <w:spacing w:after="0" w:line="359" w:lineRule="auto"/>
        <w:rPr>
          <w:sz w:val="20"/>
          <w:szCs w:val="20"/>
          <w:color w:val="auto"/>
        </w:rPr>
      </w:pPr>
      <w:r>
        <w:rPr>
          <w:rFonts w:ascii="Arial" w:cs="Arial" w:eastAsia="Arial" w:hAnsi="Arial"/>
          <w:sz w:val="15"/>
          <w:szCs w:val="15"/>
          <w:b w:val="1"/>
          <w:bCs w:val="1"/>
          <w:i w:val="1"/>
          <w:iCs w:val="1"/>
          <w:color w:val="auto"/>
        </w:rPr>
        <w:t>We rely on other service and technology providers. If they fail or discontinue providing their services or technology generally or to us specifically, our ability to provide services to merchants may be interrupted, and, as a result, our business, financial condition and results of operations could be adversely impacted.</w:t>
      </w:r>
    </w:p>
    <w:p>
      <w:pPr>
        <w:spacing w:after="0" w:line="11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We rely on third parties to provide or supplement bankcard processing services and for infrastructure hosting services. We also rely on third parties for specific software and hardware used in providing our products and services. The termination by our service or technology providers of their arrangements with us or their failure to perform their services efficiently and effectively may adversely affect our relationships with our merchants and, if we cannot find alternate providers quickly, may cause those merchants to terminate their relationship with it.</w:t>
      </w:r>
    </w:p>
    <w:p>
      <w:pPr>
        <w:spacing w:after="0" w:line="17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We also rely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our products and services could result in delays in introducing new products or services, or delays in resolving any issues with existing products or services for which third-party providers provide ongoing support.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Fraud by merchants or others could cause us to incur losses.</w:t>
      </w:r>
    </w:p>
    <w:p>
      <w:pPr>
        <w:spacing w:after="0" w:line="223"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We face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we have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We have established systems and procedures to detect and reduce the impact of merchant fraud, but we cannot be sure that these measures are or will be effective. Failure to effectively manage risk and prevent fraud could increase our chargeback or other liability.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27" w:name="page28"/>
    <w:bookmarkEnd w:id="27"/>
    <w:p>
      <w:pPr>
        <w:ind w:right="40"/>
        <w:spacing w:after="0" w:line="262" w:lineRule="auto"/>
        <w:rPr>
          <w:sz w:val="20"/>
          <w:szCs w:val="20"/>
          <w:color w:val="auto"/>
        </w:rPr>
      </w:pPr>
      <w:r>
        <w:rPr>
          <w:rFonts w:ascii="Arial" w:cs="Arial" w:eastAsia="Arial" w:hAnsi="Arial"/>
          <w:sz w:val="17"/>
          <w:szCs w:val="17"/>
          <w:color w:val="auto"/>
        </w:rPr>
        <w:t>We also have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we serve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incur liability when our merchants refuse or cannot reimburse us for chargebacks resolved in favor of their customers.</w:t>
      </w:r>
    </w:p>
    <w:p>
      <w:pPr>
        <w:spacing w:after="0" w:line="223"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have potential liability for chargebacks associated with the transactions we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we or our bank sponsors are unable to collect the chargeback from the merchant’s account or reserve account (if applicable), or if the merchant refuses or is financially unable (due to bankruptcy or other reasons) to reimburse the merchant’s bank for the chargeback, we may bear the loss for the amount of the refund paid to the cardholder. Any increase in chargebacks not paid by our merchants could increase our costs and decrease our revenues. We have policies to manage merchant-related credit risk and often mitigate such risk by requiring collateral and monitoring transaction activity. Notwithstanding our programs and policies for managing credit risk, it is possible that a default on such obligations by one or more of our merchants could have a material adverse effect on our business.</w:t>
      </w:r>
    </w:p>
    <w:p>
      <w:pPr>
        <w:spacing w:after="0" w:line="187" w:lineRule="exact"/>
        <w:rPr>
          <w:sz w:val="20"/>
          <w:szCs w:val="20"/>
          <w:color w:val="auto"/>
        </w:rPr>
      </w:pPr>
    </w:p>
    <w:p>
      <w:pPr>
        <w:ind w:right="140"/>
        <w:spacing w:after="0" w:line="359" w:lineRule="auto"/>
        <w:rPr>
          <w:sz w:val="20"/>
          <w:szCs w:val="20"/>
          <w:color w:val="auto"/>
        </w:rPr>
      </w:pPr>
      <w:r>
        <w:rPr>
          <w:rFonts w:ascii="Arial" w:cs="Arial" w:eastAsia="Arial" w:hAnsi="Arial"/>
          <w:sz w:val="15"/>
          <w:szCs w:val="15"/>
          <w:b w:val="1"/>
          <w:bCs w:val="1"/>
          <w:i w:val="1"/>
          <w:iCs w:val="1"/>
          <w:color w:val="auto"/>
        </w:rPr>
        <w:t>We rely on bank sponsors, which have substantial discretion with respect to certain elements of our business practices, in order to process electronic payment transactions. If these sponsorships are terminated and we are not able to secure new bank sponsors, we will not be able to conduct our business.</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Because we are not a bank, we are not eligible for membership in the Visa, MasterCard and other payment networks. These networks’ operating regulations require us to be sponsored by a member bank in order to process Electronic Payment transactions. We are currently registered with Visa and MasterCard through Citizens Bank, Wells Fargo and Synovus Bank. We are also subject to network operating rules promulgated by the National Automated Clearing House Association relating to payment transactions processed by us using the Automated Clearing House Network. For ACH payments, our ACH network (ACH.com) is sponsored by Atlantic Capital Bank, BB&amp;T Bank and MB Financial Bank. From time to time, we may enter into other sponsorship relationships as well.</w:t>
      </w:r>
    </w:p>
    <w:p>
      <w:pPr>
        <w:spacing w:after="0" w:line="16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us from performing services under the agreement. If these sponsorships are terminated and we are unable to secure a replacement bank sponsor within the applicable wind down period, we will not be able to process electronic payment transactions.</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Furthermore, our agreements with our bank sponsors provide the bank sponsors with substantial discretion in approving certain elements of our business practices, including our solicitation, application and underwriting procedures for merchants. We cannot guarantee that our bank sponsors’ actions under these agreements will not be detrimental to it, nor can we provide assurance that any of our bank sponsors will not terminate their sponsorship of us in the future. Our bank sponsors have broad discretion to impose new business or operational requirements on us, which may materially adversely affect our business. If our sponsorship agreements are terminated and we are unable to secure another bank sponsor, we will not be able to offer Visa or MasterCard transactions or settle transactions which would likely cause us to terminate our operations.</w:t>
      </w:r>
    </w:p>
    <w:p>
      <w:pPr>
        <w:spacing w:after="0" w:line="1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bank sponsors also provide or supplement authorization, funding and settlement services in connection with our bankcard processing services. If our sponsorships agreements are terminated and we are unable to secure another bank sponsor, we will not be able to process Visa and MasterCard transactions which would have a material adverse effect on our business, financial condition and results of operations.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8" w:name="page29"/>
    <w:bookmarkEnd w:id="28"/>
    <w:p>
      <w:pPr>
        <w:spacing w:after="0" w:line="264" w:lineRule="auto"/>
        <w:rPr>
          <w:sz w:val="20"/>
          <w:szCs w:val="20"/>
          <w:color w:val="auto"/>
        </w:rPr>
      </w:pPr>
      <w:r>
        <w:rPr>
          <w:rFonts w:ascii="Arial" w:cs="Arial" w:eastAsia="Arial" w:hAnsi="Arial"/>
          <w:sz w:val="17"/>
          <w:szCs w:val="17"/>
          <w:color w:val="auto"/>
        </w:rPr>
        <w:t>In July 2018, the Office of the Comptroller of the Currency (“OCC”) announced that it will begin accepting special purpose national bank charter applications from financial technology companies (“FinTech Charter”). No applications for a FinTech Charter have been submitted to date, and we cannot predict which, if any, of our current or future competitors would take advantage of the charter. However, such a development could increase the competitive risks discussed above or create new competitive risks, such as our nonbank competitors being able to more easily access the payment networks without the requirement of a bank sponsor, which could provide them with a competitive advantage.</w:t>
      </w:r>
    </w:p>
    <w:p>
      <w:pPr>
        <w:spacing w:after="0" w:line="181"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Our risk management policies and procedures may not be fully effective in mitigating our risk exposure in all market environments or against all types of risks.</w:t>
      </w:r>
    </w:p>
    <w:p>
      <w:pPr>
        <w:spacing w:after="0" w:line="15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We operate in a rapidly changing industry. Accordingly, our risk management policies and procedures may not be fully effective to identify, monitor, manage and remediate our risks. Some of our risk evaluation methods depend upon information provided by others and public information regarding markets, merchants or other matters that are otherwise inaccessible by us. In some cases, that information may not be accurate, complete or up-to-date. Additionally, our risk detection system is subject to a high degree of “false positive” risks being detected, which makes it difficult for us to identify real risks in a timely manner. If our policies and procedures are not fully effective or we are not always successful in capturing all risks to which we are or may be exposed, we may suffer harm to our reputation or be subject to litigation or regulatory actions that materially increase our costs and subject us to reputational damage that could limit our ability to grow and cause us to lose existing merchant clients.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 could have a material adverse effect on our business, financial condition or results of operations.</w:t>
      </w:r>
    </w:p>
    <w:p>
      <w:pPr>
        <w:spacing w:after="0" w:line="22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In the ordinary course of business, we may become involved in various litigation matters, including but not limited to commercial disputes and employee claims, and from time to time may be involved in governmental or regulatory investigations or similar matters arising out of our current or future business. Any claims asserted against us, regardless of merit or eventual outcome, could harm our reputation and have an adverse impact on our relationship with our merchants, distribution partners and other third parties and could lead to additional related claims. Certain claims may seek injunctive relief, which could disrupt the ordinary conduct of our business and operations or increase our cost of doing business. Our insurance or indemnities may not cover all claims that may be asserted against us, and any claims asserted against it, regardless of merit or eventual outcome, may harm our reputation and cause us to expend resources in our defense. Furthermore, there is no guarantee that we will be successful in defending ourselves in future litigation. Should the ultimate judgments or settlements in any pending litigation or future litigation or investigation significantly exceed our insurance coverage, they could have a material adverse effect on our business, financial condition and results of operations.</w:t>
      </w:r>
    </w:p>
    <w:p>
      <w:pPr>
        <w:spacing w:after="0" w:line="187" w:lineRule="exact"/>
        <w:rPr>
          <w:sz w:val="20"/>
          <w:szCs w:val="20"/>
          <w:color w:val="auto"/>
        </w:rPr>
      </w:pPr>
    </w:p>
    <w:p>
      <w:pPr>
        <w:ind w:right="320"/>
        <w:spacing w:after="0" w:line="288" w:lineRule="auto"/>
        <w:rPr>
          <w:sz w:val="20"/>
          <w:szCs w:val="20"/>
          <w:color w:val="auto"/>
        </w:rPr>
      </w:pPr>
      <w:r>
        <w:rPr>
          <w:rFonts w:ascii="Arial" w:cs="Arial" w:eastAsia="Arial" w:hAnsi="Arial"/>
          <w:sz w:val="17"/>
          <w:szCs w:val="17"/>
          <w:b w:val="1"/>
          <w:bCs w:val="1"/>
          <w:i w:val="1"/>
          <w:iCs w:val="1"/>
          <w:color w:val="auto"/>
        </w:rPr>
        <w:t>Our President, Chief Executive Officer and Chairman, Thomas Priore, is presently subject to an SEC civil order pertaining to his prior involvement with a registered investment adviser, which could heighten the regulatory scrutiny on us.</w:t>
      </w:r>
    </w:p>
    <w:p>
      <w:pPr>
        <w:spacing w:after="0" w:line="159"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us, or his service as President, Chief Executive Officer and Chairman. During such time that the SEC bar remains in effect, we will be required to monitor if any future offerings of our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our current business.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9" w:name="page30"/>
    <w:bookmarkEnd w:id="29"/>
    <w:p>
      <w:pPr>
        <w:spacing w:after="0" w:line="288" w:lineRule="auto"/>
        <w:rPr>
          <w:sz w:val="20"/>
          <w:szCs w:val="20"/>
          <w:color w:val="auto"/>
        </w:rPr>
      </w:pPr>
      <w:r>
        <w:rPr>
          <w:rFonts w:ascii="Arial" w:cs="Arial" w:eastAsia="Arial" w:hAnsi="Arial"/>
          <w:sz w:val="17"/>
          <w:szCs w:val="17"/>
          <w:b w:val="1"/>
          <w:bCs w:val="1"/>
          <w:i w:val="1"/>
          <w:iCs w:val="1"/>
          <w:color w:val="auto"/>
        </w:rPr>
        <w:t>The loss of, for example, key personnel or of our ability to attract, recruit, retain and develop qualified employees could adversely affect our business, financial condition and results of operations.</w:t>
      </w:r>
    </w:p>
    <w:p>
      <w:pPr>
        <w:spacing w:after="0" w:line="15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Our success depends upon the continued services of our senior management and other key personnel who have substantial experience in the electronic payments industry and the markets in which we offer our services. In addition, our success depends in large part upon the reputation within the industry of our senior managers who have developed relationships with our distribution partners, payment networks and other payment processing and service providers. Further, in order for us to continue to successfully compete and grow, we must attract, recruit, develop and retain personnel who will provide us with expertise across the entire spectrum of our intellectual capital needs. Our success is also dependent on the skill and experience of our sales force, which we must continuously work to maintain. While we have many key personnel who have substantial experience with our operations, we must also develop our personnel to provide succession plans capable of maintaining the continuity of our operations. The market for qualified personnel is competitive, and we may not succeed in recruiting additional personnel or may fail to effectively replace current personnel who depart with qualified or effective successors.</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addition, we rely heavily on several senior key directors and executive officers, including Thomas Priore, who is our President, Chief Executive Officer and Chairman and who helped found Priority. Our future success will continue to depend on the diligence, skill, network of business contacts and continued service of Thomas Priore, together with members of our senior management team. We cannot assure you that unforeseen business, medical, personal or other circumstances would not lead any such individual to terminate his relationship with us. The loss of Thomas Priore, or any of the members of our senior management team, could have a material adverse effect on our ability to achieve our growth strategy as well as on our future financial condition and results of operations. Failure to retain or attract key personnel could impede our ability to grow and could result in our inability to operate our business profitably. In addition, contractual obligations related to confidentiality, assignment of intellectual property rights, and non-solicitation may be ineffective or unenforceable and departing employees may share our proprietary information with competitors in ways that could adversely impact us or seek to solicit our distribution partners or merchants or recruit our key personnel to competing businesses.</w:t>
      </w:r>
    </w:p>
    <w:p>
      <w:pPr>
        <w:spacing w:after="0" w:line="187"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b w:val="1"/>
          <w:bCs w:val="1"/>
          <w:i w:val="1"/>
          <w:iCs w:val="1"/>
          <w:color w:val="auto"/>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5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our stock price or other reasons may in the future cause us to become the target of securities litigation or stockholder activism. Securities litigation and stockholder activism, including potential proxy contests, could result in substantial costs and divert our management’s and the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i w:val="1"/>
          <w:iCs w:val="1"/>
          <w:color w:val="auto"/>
        </w:rPr>
        <w:t>Changes in tax laws and regulations could adversely affect our results of operations and cash flows from operations.</w:t>
      </w:r>
    </w:p>
    <w:p>
      <w:pPr>
        <w:spacing w:after="0" w:line="223"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Our operations are subject to tax by U.S. federal, state, local, and non-U.S. taxing jurisdictions. Changes in tax laws in our significant tax jurisdictions could materially increase the amount of taxes we owe, thereby negatively impacting our results of operations as well as our cash flows from operations. For example, restrictions on the deductibility of interest expense in a U.S. jurisdiction without a corresponding reduction in statutory tax rates could negatively impact our effective tax rate, financial position, results of operations, and cash flows in the period that such a change occurs and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U.S. GAAP.</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U.S. GAAP is subject to interpretation by the Financial Accounting Standards Board (“FASB”), the American Institute of Certified Public Accountants, the SEC and various bodies formed to promulgate and interpret appropriate accounting principles. A change in these principles or interpretations, including changes related to revenue recognition, could have a significant effect on our reported financial results, and could affect the reporting of transactions completed before the announcement of a change.</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may make our securities less attractive to investors.</w:t>
      </w:r>
    </w:p>
    <w:p>
      <w:pPr>
        <w:spacing w:after="0" w:line="15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are an “emerging growth company,” as defined in the JOBS Act. We may remain an “emerging growth company” until the fiscal year ended December 31, 2021. However, if our non-convertible debt issued within a three-year period or revenues exceeds $1.07 billion, or the market value of our Common Stock that are held by non-affiliates exceeds $700 million on the last day of the second fiscal quarter of any given fiscal year, we would cease to be an emerging growth company as of the following fiscal year. As an emerging growth company, we are not required to comply with the auditor attestation requirements of section 404 of the Sarbanes-Oxley Act, has reduced disclosure obligations regarding executive compensation in our periodic reports and proxy statements, and is exempt from the requirements of holding a nonbinding advisory vote on executive compensation and stockholder approval of any golden parachute payments not previously approved. Additionally, as an emerging growth company, we have elected to delay the adoption of new or revised accounting standards that have different effective dates for public and private companies until those standards apply to private companies. As such, our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face risks related to our substantial indebtedness.</w:t>
      </w:r>
    </w:p>
    <w:p>
      <w:pPr>
        <w:spacing w:after="0" w:line="223"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As of September 30, 2018, we had outstanding long-term debt of $352.2 million (compared to $283.1 million at December 31, 2017), an increase of $69.1 million, consisting of outstanding debt of $263.5 million under a credit facility with SunTrust Bank (including $2.7 million in current portion of long-term debt) and $88.7 million under a subordinated term loan (including accrued payment-in-kind (“PIK”) interest through September 30, 2018). On December 24, 2018, the credit facility with SunTrust Bank was amended to immediately increase the amount of the term loan by $60.0 million and to allow us to borrow an additional $70.0 million on a delayed basis. We have a $25.0 million revolving credit facility with SunTrust Bank, which was undrawn as of September 30, 2018 and December 31, 2017. In October 2018, we drew $8.0 million of the $25.0 million revolving credit facility with SunTrust Bank to partially finance a merchant portfolio acquisition. Our total interest expense was $23.8 million, $4.1 million and $3.5 million in 2017, 2016 and 2015, respectively. In the future, we may elect to use additional forms of indebtedness, including publicly or privately offered notes, which may further increase our levels of indebtedness. See “Management’s Discussion and Analysis of Financial Condition and Results of Operations — Liquidity and Capital Resources” for a description of our existing credit facilities.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Our current and future levels of indebtedness could have important consequences to us, including, but not limited to:</w:t>
      </w:r>
    </w:p>
    <w:p>
      <w:pPr>
        <w:spacing w:after="0" w:line="223"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our vulnerability to, and reducing our flexibility to respond to, general adverse economic and industry conditions;</w:t>
      </w:r>
    </w:p>
    <w:p>
      <w:pPr>
        <w:spacing w:after="0" w:line="223" w:lineRule="exact"/>
        <w:rPr>
          <w:rFonts w:ascii="Arial" w:cs="Arial" w:eastAsia="Arial" w:hAnsi="Arial"/>
          <w:sz w:val="17"/>
          <w:szCs w:val="17"/>
          <w:color w:val="auto"/>
        </w:rPr>
      </w:pPr>
    </w:p>
    <w:p>
      <w:pPr>
        <w:ind w:left="640" w:right="40" w:hanging="321"/>
        <w:spacing w:after="0" w:line="359" w:lineRule="auto"/>
        <w:tabs>
          <w:tab w:leader="none" w:pos="6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requiring the dedication of a substantial portion of our cash flow from operations to the payment of principal of, and interest on, our indebtedness, thereby reducing the availability of such cash flow to fund working capital, capital expenditures, acquisitions, joint ventures or other general corporate purposes;</w:t>
      </w:r>
    </w:p>
    <w:p>
      <w:pPr>
        <w:spacing w:after="0" w:line="111" w:lineRule="exact"/>
        <w:rPr>
          <w:rFonts w:ascii="Arial" w:cs="Arial" w:eastAsia="Arial" w:hAnsi="Arial"/>
          <w:sz w:val="15"/>
          <w:szCs w:val="15"/>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and the competitive environment;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limiting our ability to borrow additional funds and increasing the cost of any such borrowing.</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Substantially all of our indebtedness is floating rate debt. As a result, an increase in interest rates generally, such as those we have recently experienced, would adversely affect our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will be able to incur substantial additional indebtedness in the future. Although the agreements governing our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Upon the occurrence of an event of default under the credit agreements relating to our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73"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auto"/>
        </w:rPr>
        <w:t>Under the terms of our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4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our existing credit facilities, including those breach or defaults with respect to any of our other outstanding debt instruments. Our existing credit facilities are secured by a pledge of substantially all of our assets and any indebtedness we incur in the future may also be secured.</w:t>
      </w:r>
    </w:p>
    <w:p>
      <w:pPr>
        <w:spacing w:after="0" w:line="154"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b w:val="1"/>
          <w:bCs w:val="1"/>
          <w:i w:val="1"/>
          <w:iCs w:val="1"/>
          <w:color w:val="auto"/>
        </w:rPr>
        <w:t>The credit agreements governing our existing credit facilities and any other debt instruments we may issue in the future will contain restrictive covenants that may impair our ability to conduct business.</w:t>
      </w:r>
    </w:p>
    <w:p>
      <w:pPr>
        <w:spacing w:after="0" w:line="159"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credit agreements governing our existing credit facilities contain operating covenants and financial covenants that may limit management’s discretion with respect to certain business matters. In addition, any debt instruments we may issue in the future will likely contain similar operating and financial covenants restricting our business. Among other things, these covenants will restrict our ability to:</w:t>
      </w:r>
    </w:p>
    <w:p>
      <w:pPr>
        <w:spacing w:after="0" w:line="173"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pay dividends, or redeem or purchase equity interests;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incur additional debt;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incur liens;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2" w:name="page33"/>
    <w:bookmarkEnd w:id="32"/>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 the nature of our business;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sell or otherwise dispose of assets;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make acquisitions or other investments;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merge or consolidate with other entities.</w:t>
      </w:r>
    </w:p>
    <w:p>
      <w:pPr>
        <w:spacing w:after="0" w:line="2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addition, we will be required to comply with certain restrictions on the ratio of our indebtedness to our Earnout Adjusted EBITDA (as defined in the credit agreements governing our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“Management’s Discussion and Analysis of Financial Condition and Results of Operations — Liquidity and Capital Resources” for a description of our existing credit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Factors Related to Our Common Stock</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Our stock price may change significantly following the exchange, and you may not be able to resell shares of our Common Stock at or above the price you paid or at all, and you could lose all or part of your investment as a result.</w:t>
      </w:r>
    </w:p>
    <w:p>
      <w:pPr>
        <w:spacing w:after="0" w:line="159"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Factors Related to our Business” and the following:</w:t>
      </w:r>
    </w:p>
    <w:p>
      <w:pPr>
        <w:spacing w:after="0" w:line="173"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223"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declines in the market prices of stocks generally;</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223" w:lineRule="exact"/>
        <w:rPr>
          <w:rFonts w:ascii="Arial" w:cs="Arial" w:eastAsia="Arial" w:hAnsi="Arial"/>
          <w:sz w:val="17"/>
          <w:szCs w:val="17"/>
          <w:color w:val="auto"/>
        </w:rPr>
      </w:pPr>
    </w:p>
    <w:p>
      <w:pPr>
        <w:ind w:left="640" w:right="160" w:hanging="321"/>
        <w:spacing w:after="0" w:line="28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new products, acquisitions, joint marketing relationships, joint ventures, other strategic relationships, or capital commitments;</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markets;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investor perceptions or the investment opportunity associated with our Common Stock relative to other investment alternatives;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33" w:name="page34"/>
    <w:bookmarkEnd w:id="33"/>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announcements relating to litigation;</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occurrences of extreme or inclement weather;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natural disasters, war, acts of terrorism, or responses to these events.</w:t>
      </w:r>
    </w:p>
    <w:p>
      <w:pPr>
        <w:spacing w:after="0" w:line="223"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5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36"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55"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Common Stock or our sector, our stock price and trading volume could decline.</w:t>
      </w:r>
    </w:p>
    <w:p>
      <w:pPr>
        <w:spacing w:after="0" w:line="159"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Common Stock or our industry, or the stock of any of our competitors, or publish inaccurate or unfavorable research about our business, the price of our Common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223"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40"/>
          </w:cols>
          <w:pgMar w:left="240" w:top="807" w:right="31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t>These provisions provide for, among other things:</w:t>
      </w:r>
    </w:p>
    <w:p>
      <w:pPr>
        <w:spacing w:after="0" w:line="223"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223" w:lineRule="exact"/>
        <w:rPr>
          <w:rFonts w:ascii="Arial" w:cs="Arial" w:eastAsia="Arial" w:hAnsi="Arial"/>
          <w:sz w:val="17"/>
          <w:szCs w:val="17"/>
          <w:color w:val="auto"/>
        </w:rPr>
      </w:pPr>
    </w:p>
    <w:p>
      <w:pPr>
        <w:ind w:left="640" w:right="80" w:hanging="321"/>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holders of at least 66 2⁄3% of the shares of Common Stock entitled to vote generally in the election of directors if the Sellers and their affiliates (collectively, the “Priority Holders”) hold less than 40% of our outstanding shares of Common Stock; and</w:t>
      </w:r>
    </w:p>
    <w:p>
      <w:pPr>
        <w:spacing w:after="0" w:line="172" w:lineRule="exact"/>
        <w:rPr>
          <w:rFonts w:ascii="Arial" w:cs="Arial" w:eastAsia="Arial" w:hAnsi="Arial"/>
          <w:sz w:val="17"/>
          <w:szCs w:val="17"/>
          <w:color w:val="auto"/>
        </w:rPr>
      </w:pPr>
    </w:p>
    <w:p>
      <w:pPr>
        <w:ind w:left="640" w:right="240" w:hanging="321"/>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59"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gives the Priority Holders significant influence over the vote on these items even after the Priority Holders own less than a majority of our outstanding shares of Common Stock.</w:t>
      </w:r>
    </w:p>
    <w:p>
      <w:pPr>
        <w:spacing w:after="0" w:line="136"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w:t>
      </w:r>
    </w:p>
    <w:p>
      <w:pPr>
        <w:spacing w:after="0" w:line="159"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Court of Chancery of the State of Delaware will be the sole and exclusive forum for any (i) derivative action or proceeding brought on behalf of our Company, (ii) action asserting a claim of breach of a fiduciary duty owed by any of our directors, officers or stockholders to us or our stockholders, (iii) action asserting a claim against us or any of our directors, officers or stockholders arising pursuant to any provision of the Delaware General Corporation Law (“DGCL”) or our Amended and Restated Certificate of Incorporation or our Amended and Restated Bylaws, or (iv) action asserting a claim against us or any of our directors, officers or stockholders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us and our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we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6"/>
          <w:szCs w:val="16"/>
          <w:i w:val="1"/>
          <w:iCs w:val="1"/>
          <w:color w:val="auto"/>
        </w:rPr>
        <w:t>Boilermakers Local 154 Retirement Fund v. Chevron Corp., et al.</w:t>
      </w:r>
      <w:r>
        <w:rPr>
          <w:rFonts w:ascii="Arial" w:cs="Arial" w:eastAsia="Arial" w:hAnsi="Arial"/>
          <w:sz w:val="16"/>
          <w:szCs w:val="16"/>
          <w:color w:val="auto"/>
        </w:rPr>
        <w:t xml:space="preserve"> and </w:t>
      </w:r>
      <w:r>
        <w:rPr>
          <w:rFonts w:ascii="Arial" w:cs="Arial" w:eastAsia="Arial" w:hAnsi="Arial"/>
          <w:sz w:val="16"/>
          <w:szCs w:val="16"/>
          <w:i w:val="1"/>
          <w:iCs w:val="1"/>
          <w:color w:val="auto"/>
        </w:rPr>
        <w:t>IClub Investment Partnership v. FedEx Corp., et al.</w:t>
      </w:r>
      <w:r>
        <w:rPr>
          <w:rFonts w:ascii="Arial" w:cs="Arial" w:eastAsia="Arial" w:hAnsi="Arial"/>
          <w:sz w:val="16"/>
          <w:szCs w:val="16"/>
          <w:color w:val="auto"/>
        </w:rPr>
        <w:t>, we believe that the Court of Chancery of the State of Delaware would find our exclusive forum provisions to be enforceable as well.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Thomas Priore, our President, Chief Executive Officer and Chairman, controls the Company, and his interests may conflict with ours or yours in the future.</w:t>
      </w:r>
    </w:p>
    <w:p>
      <w:pPr>
        <w:spacing w:after="0" w:line="24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Thomas Priore and his affiliates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Amended and Restated Certificate of Incorporation and our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Amended and Restated Certificate of Incorporation provides that neither he nor any of his affiliates, or any director who is not employed by us (including any non-employee director who serves as one of our officers in both his director and officer capacities)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Thomas Priore and his respective affiliates collectively own at least 50% of all outstanding shares of our Common Stock entitled to vote generally in the election of directors, they will be able to appoint individuals to our board of directors. In addition, given his level of control, Thomas Priore will be able to determine the outcome of all matters requiring stockholder approval and will be able to cause or prevent a change of control of the Company or a change in the composition of our board of directors and could preclude any unsolicited acquisition of the Company. The concentration of ownership could deprive you of an opportunity to receive a premium for your shares of Common Stock as part of a sale of the Company and ultimately might affect the market price of our Common Stock.</w:t>
      </w:r>
    </w:p>
    <w:p>
      <w:pPr>
        <w:spacing w:after="0" w:line="184"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b w:val="1"/>
          <w:bCs w:val="1"/>
          <w:i w:val="1"/>
          <w:iCs w:val="1"/>
          <w:color w:val="auto"/>
        </w:rPr>
        <w:t>We are a “controlled company” within the meaning of NASDAQ rules and, as a result, qualify for, and rely on, exemptions from certain corporate governance requirements. You will not have the same protections as those afforded to stockholders of companies that are subject to such governance requirements.</w:t>
      </w:r>
    </w:p>
    <w:p>
      <w:pPr>
        <w:spacing w:after="0" w:line="112"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Thomas Priore controls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54"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w:t>
      </w:r>
    </w:p>
    <w:p>
      <w:pPr>
        <w:spacing w:after="0" w:line="223" w:lineRule="exact"/>
        <w:rPr>
          <w:rFonts w:ascii="Arial" w:cs="Arial" w:eastAsia="Arial" w:hAnsi="Arial"/>
          <w:sz w:val="17"/>
          <w:szCs w:val="17"/>
          <w:color w:val="auto"/>
        </w:rPr>
      </w:pPr>
    </w:p>
    <w:p>
      <w:pPr>
        <w:ind w:left="640" w:right="240" w:hanging="321"/>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that we have a Nominating/Corporate Governance Committee that is composed entirely of independent directors with a written charter addressing the Committee’s purpose and responsibilities; and</w:t>
      </w:r>
    </w:p>
    <w:p>
      <w:pPr>
        <w:spacing w:after="0" w:line="158" w:lineRule="exact"/>
        <w:rPr>
          <w:rFonts w:ascii="Arial" w:cs="Arial" w:eastAsia="Arial" w:hAnsi="Arial"/>
          <w:sz w:val="17"/>
          <w:szCs w:val="17"/>
          <w:color w:val="auto"/>
        </w:rPr>
      </w:pPr>
    </w:p>
    <w:p>
      <w:pPr>
        <w:ind w:left="640" w:right="660" w:hanging="321"/>
        <w:spacing w:after="0" w:line="288"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6" w:name="page37"/>
    <w:bookmarkEnd w:id="36"/>
    <w:p>
      <w:pPr>
        <w:ind w:right="200"/>
        <w:spacing w:after="0" w:line="272" w:lineRule="auto"/>
        <w:rPr>
          <w:sz w:val="20"/>
          <w:szCs w:val="20"/>
          <w:color w:val="auto"/>
        </w:rPr>
      </w:pPr>
      <w:r>
        <w:rPr>
          <w:rFonts w:ascii="Arial" w:cs="Arial" w:eastAsia="Arial" w:hAnsi="Arial"/>
          <w:sz w:val="17"/>
          <w:szCs w:val="17"/>
          <w:color w:val="auto"/>
        </w:rPr>
        <w:t>We utilize and intend to continue to utilize these exemptions. As a result, we will not have a majority of independent directors and our Compensation Committee and Nominating/Corporate Governance Committee does not consist entirely of independent directors. Accordingly, our stockholders do not have the same protections afforded to stockholders of companies that are subject to all of the corporate governance requirements of NASDAQ.</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Related to Our Warrants and the Offer to Exchange and Consent Solicitation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have the ability to redeem outstanding Warrants (other than the private Warrants) at any time after they become exercisable and prior to their expiration, at $0.01 per warrant, if the last reported sales price (or the closing bid price of our Common Stock in the event the Common Stock is not traded on any specific trading day) of the Common Stock equals or exceeds $16.00 per share for any 20 trading days within a 30-trading day period ending on the third business day prior to the date we send proper notice of such redemption, provided that on the date we give notice of redemption and during the entire period thereafter until the time we redeem the Warrants, we have an effective registration statement under the Securities Act covering the Common Stock issuable upon exercise of the Warrants and a current prospectus relating to them is available or cashless exercise is exempt from the registration requirements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Warrants and pay the exercise price therefore at a time when it may be disadvantageous for you to do so, (ii) to sell Warrants at the then-current market price when you might otherwise wish to hold your Warrants or (iii) to accept the nominal redemption price which, at the time the outstanding Warrants are called for redemption, may be substantially less than the market value of your Warrants.</w:t>
      </w:r>
    </w:p>
    <w:p>
      <w:pPr>
        <w:spacing w:after="0" w:line="175"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b w:val="1"/>
          <w:bCs w:val="1"/>
          <w:i w:val="1"/>
          <w:iCs w:val="1"/>
          <w:color w:val="auto"/>
        </w:rPr>
        <w:t>The Warrant Amendment, if approved, will allow us to require that all outstanding Warrants be exchanged for shares of Common Stock at a ratio 10% lower than the ratio applicable to the Offer.</w:t>
      </w:r>
    </w:p>
    <w:p>
      <w:pPr>
        <w:spacing w:after="0" w:line="15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If we complete the Offer and Consent Solicitation and obtain the requisite approval of the Warrant Amendment by holders of the Warrants, we will have the right to require holders of all Warrants that remain outstanding after the expiration of the Offer to exchange each of their Warrants for 0.1728 shares of Common Stock. This represents a ratio of shares per Warrant that is 10% less than the ratio applicable to the Offer. Although we intend to require an exchange of all remaining outstanding Warrants as a result of the approval of the Warrant Amendment, we would not be required to effect such an exchange and may defer doing so, if ever, until most economically advantageous to us.</w:t>
      </w:r>
    </w:p>
    <w:p>
      <w:pPr>
        <w:spacing w:after="0" w:line="181" w:lineRule="exact"/>
        <w:rPr>
          <w:sz w:val="20"/>
          <w:szCs w:val="20"/>
          <w:color w:val="auto"/>
        </w:rPr>
      </w:pPr>
    </w:p>
    <w:p>
      <w:pPr>
        <w:ind w:right="260"/>
        <w:spacing w:after="0" w:line="263" w:lineRule="auto"/>
        <w:rPr>
          <w:sz w:val="20"/>
          <w:szCs w:val="20"/>
          <w:color w:val="auto"/>
        </w:rPr>
      </w:pPr>
      <w:r>
        <w:rPr>
          <w:rFonts w:ascii="Arial" w:cs="Arial" w:eastAsia="Arial" w:hAnsi="Arial"/>
          <w:sz w:val="17"/>
          <w:szCs w:val="17"/>
          <w:color w:val="auto"/>
        </w:rPr>
        <w:t>Pursuant to the terms of the Warrant Agreement, the consent of holders of at least the majority of the outstanding Warrants is required to approve the Warrant Amendment. Therefore, one of the conditions to the adoption of the Warrant Amendment is the receipt of the consent of holders of at least the majority of the outstanding Warrants. See the section of this Prospectus/Offer to Exchange entitled “The Offer and Consent Solicitation—Transactions and Agreements Concerning Our Securities.” If adopted, we currently intend to require the conversion of all outstanding Warrants to shares of Common Stock as provided in the Warrant Amendment, which would result in the holders of any remaining outstanding Warrants receiving approximately 10% fewer shares than if they had tendered their Warrants in the Offer.</w:t>
      </w:r>
    </w:p>
    <w:p>
      <w:pPr>
        <w:spacing w:after="0" w:line="18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b w:val="1"/>
          <w:bCs w:val="1"/>
          <w:i w:val="1"/>
          <w:iCs w:val="1"/>
          <w:color w:val="auto"/>
        </w:rPr>
        <w:t>Our Warrants may be exchanged for shares of Common Stock pursuant to the Offer, which will increase the number of shares eligible for future resale in the public market and result in dilution to our stockholders.</w:t>
      </w:r>
    </w:p>
    <w:p>
      <w:pPr>
        <w:spacing w:after="0" w:line="15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exchange of the Warrants will result in the issuance of additional shares of Common Stock, although there can be no assurance that such warrant exchange will be completed or that all of the holders of the Warrants will elect to participate in the Offer. Any Warrants remaining outstanding after the exchange likely will be exercised only if the $11.50 per share exercise price is below the market price of our Common Stock. We also intend to require an exchange of all remaining outstanding Warrants assuming the approval of the Warrant Amendment. To the extent such Warrants are exchanged following the approval of the Warrant Amendment or exercised, additional shares of Common Stock will be issued. These issuances of Common Stock will result in dilution to our stockholders and increase the number of shares eligible for resale in the public market.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We have not obtained a third-party determination that the Offer or the Consent Solicitation is fair to Warrant holders.</w:t>
      </w:r>
    </w:p>
    <w:p>
      <w:pPr>
        <w:spacing w:after="0" w:line="22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None of us, our affiliates, the dealer managers, the exchange agent or the information agent makes any recommendation as to whether you should exchange some or all of your Warrants or consent to the Warrant Amendment. We have not retained, and do not intend to retain, any unaffiliated representative to act on behalf of the Warrant holders for purposes of negotiating the Offer or Consent Solicitation or preparing a report concerning the fairness of the Offer or the Consent Solicitation. You must make your own independent decision regarding your participation in the Offer and the Consent Solicitation.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guarantee that tendering your Warrants in the offer will put you in a better future economic position.</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can give no assurance as to the market price of our Common Stock in the future. If you choose to tender some or all of your Warrants in the Offer, future events may cause an increase in the market price of our Common Stock and Warrants, which may result in a lower value realized by participating in the Offer than you might have realized if you did not exchange your Warrants. Similarly, if you do not tender your Warrants in the Offer, there can be no assurance that you can sell your Warrants (or exercise them for Common Stock) in the future at a higher value than would have been obtained by participating in the Offer. In addition, if the Warrant Amendment is adopted, you may receive fewer shares than if you had tendered your Warrants in the Offer. See “—The Warrant Amendment, if approved, will allow us to require that all outstanding Warrants be exchanged for Common Stock at a ratio 10% lower than the ratio applicable to the Offer.” You should consult your own individual tax and/or financial advisor for assistance on how this may affect your individual situation.</w:t>
      </w:r>
    </w:p>
    <w:p>
      <w:pPr>
        <w:spacing w:after="0" w:line="16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b w:val="1"/>
          <w:bCs w:val="1"/>
          <w:i w:val="1"/>
          <w:iCs w:val="1"/>
          <w:color w:val="auto"/>
        </w:rPr>
        <w:t>The number of shares of Common Stock offered in the Offer is fixed and will not be adjusted. The market price of our Common Stock may fluctuate, and the market price of Common Stock when we deliver the shares of Common Stock in exchange for your Warrants could be less than the market price at the time you tender your Warrants.</w:t>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number of shares of Common Stock for each Warrant accepted for exchange is fixed at the number of shares specified on the cover of this Prospectus/Offer to Exchange and will fluctuate in value if there is any increase or decrease in the market price of our Common Stock or the Warrants after the date of this Prospectus/Offer to Exchange. Therefore, the market price of our Common Stock when we deliver shares in exchange for your Warrants could be less than the market price at the time you tender your Warrants. The market price of our Common Stock could continue to fluctuate and be subject to volatility during the period of time between when we accept Warrants for exchange in the Offer and when we deliver shares in exchange for Warrants, or during any extension of the Offer Period.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liquidity of the Warrants that are not exchanged may be reduced.</w:t>
      </w:r>
    </w:p>
    <w:p>
      <w:pPr>
        <w:spacing w:after="0" w:line="223"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If the Warrant Amendment is approved, it is unlikely that any Warrants will remain outstanding following the completion of the Offer and Consent Solicitation. See “—The Warrant Amendment, if approved, will allow us to require that all outstanding Warrants be exchanged for shares of Common Stock at a ratio 10% lower than the ratio applicable to the Offer.” However, if any unexchanged Warrants remain outstanding, then the ability to sell such Warrants may become more limited due to the reduction in the number of Warrants outstanding upon completion of the Offer and Consent Solicitation. A more limited trading market might adversely affect the liquidity, market price and price volatility of unexchanged Warrants. In addition, as discussed below, our Public Warrants may be removed from quotation on NASDAQ. As a result, investors in our Public Warrants may find it more difficult to dispose of or obtain accurate quotations as to the market value of our Warrants, and the ability of our stockholders to sell our Public Warrants in the secondary market may be materially limited. If there continues to be a market for our unexchanged Warrants, these securities may trade at a discount to the price at which the securities would trade if the number outstanding were not reduced, depending on the market for similar securities and other factors.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NASDAQ may delist our Warrants from trading on its exchange, which could limit Warrant holders’ ability to make transactions in our Warrants.</w:t>
      </w:r>
    </w:p>
    <w:p>
      <w:pPr>
        <w:spacing w:after="0" w:line="23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If the Warrant Amendment is approved, it is unlikely that any Warrants will remain outstanding. See “—The Warrant Amendment, if approved, will allow us to require that all outstanding Warrants be exchanged for shares of Common Stock at a ratio that is 10% lower than the ratio applicable to the Offer.” However, if any unexchanged Warrants remain outstanding following the completion of the Offer and Consent Solicitation, we cannot assure you that our Warrants will continue to be listed on NASDAQ in the future. NASDAQ has informed us that it intends to delist the Warrants if any Warrants remain outstanding after February 27, 2019 because the Warrants do not have a sufficient number of round-lot holders.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8" w:name="page39"/>
    <w:bookmarkEnd w:id="38"/>
    <w:p>
      <w:pPr>
        <w:spacing w:after="0" w:line="272" w:lineRule="auto"/>
        <w:rPr>
          <w:sz w:val="20"/>
          <w:szCs w:val="20"/>
          <w:color w:val="auto"/>
        </w:rPr>
      </w:pPr>
      <w:r>
        <w:rPr>
          <w:rFonts w:ascii="Arial" w:cs="Arial" w:eastAsia="Arial" w:hAnsi="Arial"/>
          <w:sz w:val="17"/>
          <w:szCs w:val="17"/>
          <w:color w:val="auto"/>
        </w:rPr>
        <w:t>If NASDAQ delists our Warrants from trading on NASDAQ and we are not able to list the Warrants on another national securities exchange, our Warrants could be quoted on an over-the-counter market. However, if the Warrants are delisted, whether or not they are quoted on an over-the-counter market, holders of Warrants could face significant material adverse consequences, including:</w:t>
      </w:r>
    </w:p>
    <w:p>
      <w:pPr>
        <w:spacing w:after="0" w:line="173"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limited availability of market quotations for the Warrants;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reduced liquidity for the Warrants;</w:t>
      </w:r>
    </w:p>
    <w:p>
      <w:pPr>
        <w:spacing w:after="0" w:line="223" w:lineRule="exact"/>
        <w:rPr>
          <w:rFonts w:ascii="Arial" w:cs="Arial" w:eastAsia="Arial" w:hAnsi="Arial"/>
          <w:sz w:val="17"/>
          <w:szCs w:val="17"/>
          <w:color w:val="auto"/>
        </w:rPr>
      </w:pPr>
    </w:p>
    <w:p>
      <w:pPr>
        <w:ind w:left="640" w:right="260" w:hanging="321"/>
        <w:spacing w:after="0" w:line="288"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determination that our Warrants are a “penny stock” which will require brokers trading in our Warrants to adhere to more stringent rules and possibly result in a reduced level of trading activity in the secondary trading market for our Warrants; and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that any market makers that make a market in our unexchanged Warrants would eventually cease to do so.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weaknesses have been identified in our internal control over financial reporting.</w:t>
      </w:r>
    </w:p>
    <w:p>
      <w:pPr>
        <w:spacing w:after="0" w:line="223"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have identified material weaknesses in internal controls over our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73" w:lineRule="exact"/>
        <w:rPr>
          <w:sz w:val="20"/>
          <w:szCs w:val="20"/>
          <w:color w:val="auto"/>
        </w:rPr>
      </w:pPr>
    </w:p>
    <w:p>
      <w:pPr>
        <w:ind w:right="160"/>
        <w:spacing w:after="0" w:line="325" w:lineRule="auto"/>
        <w:rPr>
          <w:sz w:val="20"/>
          <w:szCs w:val="20"/>
          <w:color w:val="auto"/>
        </w:rPr>
      </w:pPr>
      <w:r>
        <w:rPr>
          <w:rFonts w:ascii="Arial" w:cs="Arial" w:eastAsia="Arial" w:hAnsi="Arial"/>
          <w:sz w:val="15"/>
          <w:szCs w:val="15"/>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36" w:lineRule="exact"/>
        <w:rPr>
          <w:sz w:val="20"/>
          <w:szCs w:val="20"/>
          <w:color w:val="auto"/>
        </w:rPr>
      </w:pPr>
    </w:p>
    <w:p>
      <w:pPr>
        <w:jc w:val="both"/>
        <w:ind w:right="100"/>
        <w:spacing w:after="0" w:line="297" w:lineRule="auto"/>
        <w:rPr>
          <w:sz w:val="20"/>
          <w:szCs w:val="20"/>
          <w:color w:val="auto"/>
        </w:rPr>
      </w:pPr>
      <w:r>
        <w:rPr>
          <w:rFonts w:ascii="Arial" w:cs="Arial" w:eastAsia="Arial" w:hAnsi="Arial"/>
          <w:sz w:val="16"/>
          <w:szCs w:val="16"/>
          <w:color w:val="auto"/>
        </w:rPr>
        <w:t>We were not required to perform an evaluation of internal control over financial reporting as of December 31, 2017 and 2016 in accordance with the provisions of the Sarbanes-Oxley Act as we were a private company prior to July 2018. Had such an evaluation been performed, additional control deficiencies may have been identified by our management, and those control deficiencies could have also represented one or more material weaknesses.</w:t>
      </w:r>
    </w:p>
    <w:p>
      <w:pPr>
        <w:spacing w:after="0" w:line="154"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We have taken steps to enhance our internal control environment and plans to take additional steps to remediate the material weaknesses. Although we plan to complete this remediation process as quickly as possible, we cannot at this time estimate how long it will take.</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THE OFFER AND CONSENT SOLICITATION</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Participation in the Offer and Consent Solicitation involves a number of risks, including, but not limited to, the risks identified in the section entitled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Warrant holders should carefully consider these risks and are urged to speak with their personal legal, financial, investment and/or tax advisor as necessary before deciding whether or not to participate in the Offer and Consent Solicitation. In addition, we strongly encourage you to read this Prospectus/Offer to Exchange in its entirety, and the publicly-filed information about us, before making a decision regarding the Offer and Consent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Terms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Until the Expiration Date, we are offering to holders of our Warrants the opportunity to receive 0.1920 shares of Common Stock in exchange for each Warrant they hold. Holders of the Warrants tendered for exchange will not have to pay any of the exercise price for the tendered Warrants in order to receive Common Stock in the exchange. Our obligation to complete the Offer is not conditioned on the receipt of a minimum number of tendered Warrants.</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5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As part of the Offer, we are also soliciting from the holders of the Warrants their consent to the amendment of the Warrant Agreement. If approved, the Warrant Amendment would permit the Company to require that all outstanding Warrants be converted into shares of Common Stock at a ratio of 0.1728 shares of Common Stock per Warrant, which is a ratio 10% less than the ratio applicable to the Offer, which would permit us to eliminate all of the Warrants that remain outstanding after the Offer expires. A copy of the Warrant Amendment is attached hereto as Annex A. We urge that you carefully read the Warrant Amendment in its entirety. Pursuant to the terms of the Warrant Agreement, the consent of holders of at least a majority of the outstanding Warrants is required to approve the Warrant Amendment.</w:t>
      </w:r>
    </w:p>
    <w:p>
      <w:pPr>
        <w:spacing w:after="0" w:line="18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Holders who tender Warrants in the Offer will automatically be deemed, without any further action, to have given their consent to approval of the Warrant Amendment (effective upon our acceptance of the Warrants tendered). The consent to the Warrant Amendment is a part of the Letter of Transmittal and Consent relating to the Warrants.</w:t>
      </w:r>
    </w:p>
    <w:p>
      <w:pPr>
        <w:spacing w:after="0" w:line="173"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You cannot tender any Warrants in the Offer without giving your consent to the Warrant Amendment. Thus, before deciding whether to tender any Warrants, you should be aware that a tender of Warrants may result in the approval of the Warrant Amendment.</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The Offer and Consent Solicitation is subject to the terms and conditions contained in this Prospectus/Offer to Exchange and the Letter of Transmittal and Consent.</w:t>
      </w:r>
    </w:p>
    <w:p>
      <w:pPr>
        <w:spacing w:after="0" w:line="246" w:lineRule="exact"/>
        <w:rPr>
          <w:sz w:val="20"/>
          <w:szCs w:val="20"/>
          <w:color w:val="auto"/>
        </w:rPr>
      </w:pPr>
    </w:p>
    <w:p>
      <w:pPr>
        <w:ind w:right="340"/>
        <w:spacing w:after="0" w:line="288" w:lineRule="auto"/>
        <w:rPr>
          <w:sz w:val="20"/>
          <w:szCs w:val="20"/>
          <w:color w:val="auto"/>
        </w:rPr>
      </w:pPr>
      <w:r>
        <w:rPr>
          <w:rFonts w:ascii="Arial" w:cs="Arial" w:eastAsia="Arial" w:hAnsi="Arial"/>
          <w:sz w:val="17"/>
          <w:szCs w:val="17"/>
          <w:color w:val="auto"/>
        </w:rPr>
        <w:t>You may tender some or all of your Warrants into the Offer. If you elect to tender Warrants in response to the Offer and Consent Solicitation, please follow the instructions in this Prospectus/Offer to Exchange and the related documents, including the Letter of Transmittal and Consent.</w:t>
      </w:r>
    </w:p>
    <w:p>
      <w:pPr>
        <w:spacing w:after="0" w:line="159"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If you tender Warrants, you may withdraw your tendered Warrants at any time before the Expiration Date and retain them on their current terms or amended terms if the Warrant Amendment is approved, by following the instructions herein. In addition, Warrants that are not accepted by us for exchange by February 25, 2019 may thereafter be withdrawn by you until such time as the Warrants are accepted by us for exchange.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Information</w:t>
      </w:r>
    </w:p>
    <w:p>
      <w:pPr>
        <w:spacing w:after="0" w:line="2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The Company was incorporated on April 23, 2015 under the laws of the state of Delaware. On July 25, 2018, the Company completed its acquisition of 100% of the issued and outstanding equity securities of Priority Holdings, LLC, which resulted in Priority Holdings, LLC becoming a wholly-owned subsidiary of the Company. On July 25, 2018, the Company changed its name to Priority Technology Holdings, Inc.</w:t>
      </w:r>
    </w:p>
    <w:p>
      <w:pPr>
        <w:spacing w:after="0" w:line="1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Our principal executive offices are located at 2001 Westside Parkway, Alpharetta, GA 30004, and our telephone number is (800) 935-5961. Our website address is </w:t>
      </w:r>
      <w:r>
        <w:rPr>
          <w:rFonts w:ascii="Arial" w:cs="Arial" w:eastAsia="Arial" w:hAnsi="Arial"/>
          <w:sz w:val="16"/>
          <w:szCs w:val="16"/>
          <w:i w:val="1"/>
          <w:iCs w:val="1"/>
          <w:color w:val="auto"/>
        </w:rPr>
        <w:t>www.prth.com</w:t>
      </w:r>
      <w:r>
        <w:rPr>
          <w:rFonts w:ascii="Arial" w:cs="Arial" w:eastAsia="Arial" w:hAnsi="Arial"/>
          <w:sz w:val="16"/>
          <w:szCs w:val="16"/>
          <w:color w:val="auto"/>
        </w:rPr>
        <w:t>. We had approximately 553 employees as of September 30, 2018. Information contained on our website is not a part of this Prospectus/Offer to</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Our Common Stock is listed on NASDAQ under the symbol “PRTH,” and our Public Warrants are listed on NASDAQ under the symbol “PRTHW.” Units, each consisting of one share of Common Stock and one Public Warrant, are listed on NASDAQ under the symbol “PRTHU.”</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Warrants Subject to the Offer</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Public Warrants were issued in connection with the M I IPO. Each Public Warrant entitles the holder to purchase one share of Common Stock for a purchase price of $11.50, subject to adjustments pursuant to the Warrant Agreement. The Public Warrants are listed on NASDAQ under the symbol “PRTHW.” As of January 17, 2019, 5,310,109 Public Warrants were outstanding. Pursuant to the Offer, we are offering up to an aggregate of 1,019,541 shares of our Common Stock in exchange for the Public Warrants.</w:t>
      </w:r>
    </w:p>
    <w:p>
      <w:pPr>
        <w:spacing w:after="0" w:line="17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Private Warrants were issued concurrently with the M I IPO. Each Private Warrant entitles the holder to purchase one share of Common Stock for a purchase price of $11.50, subject to adjustments pursuant to the Warrant Agreement. As of January 17, 2019, 421,107 Private Warrants were outstanding. Pursuant to the Offer, we are offering up to an aggregate of 80,852 shares of our Common Stock in exchange for the Private Warrants.</w:t>
      </w:r>
    </w:p>
    <w:p>
      <w:pPr>
        <w:spacing w:after="0" w:line="17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terms of the Private Warrants are identical to the Public Warrants, except that such Private Warrants are exercisable on a cashless basis and are not redeemable by us, in each case so long as they are still held by the initial holders or their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 Period</w:t>
      </w:r>
    </w:p>
    <w:p>
      <w:pPr>
        <w:spacing w:after="0" w:line="22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Offer and Consent Solicitation will expire on the Expiration Date, which is 11:59 p.m., Eastern Standard Time, on February 12, 2019, or such later time and date to which we may extend. We expressly reserve the right, in our sole discretion, at any time or from time to time, to extend the period of time during which the Offer and Consent Solicitation is open. There can be no assurance that we will exercise our right to extend the Offer Period. During any extension, all Warrant holders who previously tendered Warrants will have a right to withdraw such previously tendered Warrants until the Expiration Date, as extended. If we extend the Offer Period, we will make a public announcement of such extension by no later than 9:00 a.m., Eastern Standard Time, on the next business day following the Expiration Date as in effect immediately prior to such extension.</w:t>
      </w:r>
    </w:p>
    <w:p>
      <w:pPr>
        <w:spacing w:after="0" w:line="1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may withdraw the Offer and Consent Solicitation only if the conditions to the Offer and Consent Solicitation are not satisfied or waived prior to the Expiration Date. Upon any such withdrawal, we are required by Rule 13e-4(f)(5) under the Exchange Act to promptly return the tendered Warrants. We will announce our decision to withdraw the Offer and Consent Solicitation by disseminating notice by public announcement or otherwise as permitted by applicable law.</w:t>
      </w:r>
    </w:p>
    <w:p>
      <w:pPr>
        <w:spacing w:after="0" w:line="154"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At the expiration of the Offer Period, the current terms of the Warrants will continue to apply to any unexchanged Warrants, or the amended terms if the Warrant Amendment is approved, until the Warrants expire by their terms on September 19,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to the Offer and Consent Solicitation</w:t>
      </w:r>
    </w:p>
    <w:p>
      <w:pPr>
        <w:spacing w:after="0" w:line="223"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We reserve the right at any time or from time to time, to amend the Offer and Consent Solicitation, including by increasing or (if the conditions to the Offer are not satisfied) decreasing the exchange ratio of Common Stock issued for every Warrant exchanged or by changing the terms of the Warrant Amendment.</w:t>
      </w:r>
    </w:p>
    <w:p>
      <w:pPr>
        <w:spacing w:after="0" w:line="13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If we make a material change in the terms of the Offer and Consent Solicitation or the information concerning the Offer and Consent Solicitation, or if we waive a material condition of the Offer and Consent Solicitation, we will extend the Offer and Consent Solicitation to the extent required by Rules 13e-4(d)(2) and 13e-4(e)</w:t>
      </w:r>
    </w:p>
    <w:p>
      <w:pPr>
        <w:spacing w:after="0" w:line="1" w:lineRule="exact"/>
        <w:rPr>
          <w:sz w:val="20"/>
          <w:szCs w:val="20"/>
          <w:color w:val="auto"/>
        </w:rPr>
      </w:pPr>
    </w:p>
    <w:p>
      <w:pPr>
        <w:ind w:right="160" w:firstLine="5"/>
        <w:spacing w:after="0" w:line="265" w:lineRule="auto"/>
        <w:tabs>
          <w:tab w:leader="none" w:pos="247"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 the Exchange Act. These rules require that the minimum period during which an offer must remain open after material changes in the terms of the offer or information concerning the offer, other than a change in price or a change in percentage of securities sought, will depend upon the facts and circumstances, including the relative materiality of the changed terms or information.</w:t>
      </w:r>
    </w:p>
    <w:p>
      <w:pPr>
        <w:spacing w:after="0" w:line="17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If we increase or decrease the exchange ratio of the Common Stock issuable upon exchange of a Warrant, the amount of Warrants sought for tender or the dealer manager’s soliciting fee, and the Offer and Consent Solicitation is scheduled to expire at any time earlier than the end of the tenth business day from the date that we first publish, send or give notice of such an increase or decrease, then we will extend the Offer and Consent Solicitation until the expiration of that ten business day period.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41" w:name="page42"/>
    <w:bookmarkEnd w:id="41"/>
    <w:p>
      <w:pPr>
        <w:ind w:right="40"/>
        <w:spacing w:after="0" w:line="272" w:lineRule="auto"/>
        <w:rPr>
          <w:sz w:val="20"/>
          <w:szCs w:val="20"/>
          <w:color w:val="auto"/>
        </w:rPr>
      </w:pPr>
      <w:r>
        <w:rPr>
          <w:rFonts w:ascii="Arial" w:cs="Arial" w:eastAsia="Arial" w:hAnsi="Arial"/>
          <w:sz w:val="17"/>
          <w:szCs w:val="17"/>
          <w:color w:val="auto"/>
        </w:rPr>
        <w:t>Other material amendments to the Offer and Consent Solicitation may require us to extend the Offer and Consent Solicitation for a minimum of five business days, and we will need to amend this Registration Statement on Form S-4 of which this Prospectus/Offer to Exchange forms a part for any material changes in the facts set forth in this Registration Statement on Form S-4.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Partial Exchange Permitted</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Our obligation to complete the Offer is not conditioned on the receipt of a minimum number of tendered Warrants. If you choose to participate in the Offer, you may tender less than all of your Warrants pursuant to the terms of the Offer. No fractional shares will be issued pursuant to the Offer. In lieu of issuing fractional shares, any holder of Warrants who would otherwise have been entitled to receive fractional shares pursuant to the Offer will, after aggregating all such fractional shares of such holder, be paid cash (without interest) in an amount equal to such fractional part of a share multiplied by the last sale price of our Common Stock on NASDAQ on the last trading day of the Offer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Conditions to the Offer and Consent Solicitation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Offer and Consent Solicitation are conditioned upon the following:</w:t>
      </w:r>
    </w:p>
    <w:p>
      <w:pPr>
        <w:spacing w:after="0" w:line="223" w:lineRule="exact"/>
        <w:rPr>
          <w:sz w:val="20"/>
          <w:szCs w:val="20"/>
          <w:color w:val="auto"/>
        </w:rPr>
      </w:pPr>
    </w:p>
    <w:p>
      <w:pPr>
        <w:ind w:left="640" w:right="160" w:hanging="321"/>
        <w:spacing w:after="0" w:line="288"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registration statement, of which this document is a part, shall have become effective under the Securities Act, and shall not be the subject of any stop order or proceeding seeking a stop order;</w:t>
      </w:r>
    </w:p>
    <w:p>
      <w:pPr>
        <w:spacing w:after="0" w:line="158" w:lineRule="exact"/>
        <w:rPr>
          <w:rFonts w:ascii="Arial" w:cs="Arial" w:eastAsia="Arial" w:hAnsi="Arial"/>
          <w:sz w:val="17"/>
          <w:szCs w:val="17"/>
          <w:color w:val="auto"/>
        </w:rPr>
      </w:pPr>
    </w:p>
    <w:p>
      <w:pPr>
        <w:ind w:left="640" w:hanging="321"/>
        <w:spacing w:after="0" w:line="297"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action or proceeding by any government or governmental, regulatory or administrative agency, authority or tribunal or any other person, domestic or foreign, shall have been threatened, instituted or pending before any court, authority, agency or tribunal that directly or indirectly challenges the making of the Offer, the tender of some or all of the Warrants pursuant to the Offer or otherwise relates in any manner to the Offer;</w:t>
      </w:r>
    </w:p>
    <w:p>
      <w:pPr>
        <w:spacing w:after="0" w:line="154" w:lineRule="exact"/>
        <w:rPr>
          <w:rFonts w:ascii="Arial" w:cs="Arial" w:eastAsia="Arial" w:hAnsi="Arial"/>
          <w:sz w:val="16"/>
          <w:szCs w:val="16"/>
          <w:color w:val="auto"/>
        </w:rPr>
      </w:pPr>
    </w:p>
    <w:p>
      <w:pPr>
        <w:ind w:left="640" w:hanging="321"/>
        <w:spacing w:after="0" w:line="285"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shall not have been any action threatened, instituted, pending or taken, or approval withheld, or any statute, rule, regulation, judgment, order or injunction threatened, proposed, sought, promulgated, enacted, entered, amended, enforced or deemed to be applicable to the Offer or Consent Solicitation or us, by any court or any authority, agency or tribunal that, in our reasonable judgment, would or might, directly or indirectly, (i) make the acceptance for exchange of, or exchange for, some or all of the Warrants illegal or otherwise restrict or prohibit completion of the Offer or Consent Solicitation, or (ii) delay or restrict our ability, or render us unable, to accept for exchange or exchange some or all of the Warrants; and</w:t>
      </w:r>
    </w:p>
    <w:p>
      <w:pPr>
        <w:spacing w:after="0" w:line="163" w:lineRule="exact"/>
        <w:rPr>
          <w:rFonts w:ascii="Arial" w:cs="Arial" w:eastAsia="Arial" w:hAnsi="Arial"/>
          <w:sz w:val="16"/>
          <w:szCs w:val="16"/>
          <w:color w:val="auto"/>
        </w:rPr>
      </w:pPr>
    </w:p>
    <w:p>
      <w:pPr>
        <w:ind w:left="640" w:right="20" w:hanging="321"/>
        <w:spacing w:after="0" w:line="263"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shall not have occurred any general suspension of, or limitation on prices for, trading in securities in U.S. securities or financial markets; a declaration of a banking moratorium or any suspension of payments in respect to banks in the United States; any limitation (whether or not mandatory) by any government or governmental, regulatory or administrative authority, agency or instrumentality, domestic or foreign, or other event that, in our reasonable judgment, would or would be reasonably likely to affect the extension of credit by banks or other lending institutions; or a commencement or significant worsening of a war or armed hostilities or other national or international calamity, including but not limited to, catastrophic terrorist attacks against the United States or its citizens.</w:t>
      </w:r>
    </w:p>
    <w:p>
      <w:pPr>
        <w:spacing w:after="0" w:line="180"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color w:val="auto"/>
        </w:rPr>
        <w:t>The Consent Solicitation is conditioned on our receiving the consent of holders of at least a majority of the outstanding Warrants (which is the minimum number required to amend the Warrant Agreement).</w:t>
      </w:r>
    </w:p>
    <w:p>
      <w:pPr>
        <w:spacing w:after="0" w:line="15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We will not complete the Offer and Consent Solicitation unless and until the registration statement described above is declared effective by the SEC. If the registration statement is not effective at the Expiration Date, we may, in our discretion, extend, suspend or cancel the Offer and Consent Solicitation, and will inform Warrant holders of such event. If we extend the Offer Period, we will make a public announcement of such extension and the new Expiration Date by no later than 9:00 a.m., Eastern Standard Time, on the next business day following the Expiration Date as in effect immediately prior to such extension.</w:t>
      </w:r>
    </w:p>
    <w:p>
      <w:pPr>
        <w:spacing w:after="0" w:line="160"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addition, as to any Warrant holder, the Offer and Consent Solicitation is conditioned upon such Warrant holder desiring to tender Warrants in the Offer delivering to the exchange agent in a timely manner the holder’s Warrants to be tendered and any other required paperwork, all in accordance with the applicable procedures described in this Prospectus/Offer to Exchange and set forth in the Letter of Transmittal and Consent.</w:t>
      </w:r>
    </w:p>
    <w:p>
      <w:pPr>
        <w:spacing w:after="0" w:line="17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foregoing conditions are solely for our benefit, and we may assert one or more of the conditions regardless of the circumstances giving rise to any such conditions. We may also, in our sole and absolute discretion, waive these conditions in whole or in part, subject to the potential requirement to disseminate additional information and extend the Offer Period. The determination by us as to whether any condition has been satisfied shall be conclusive and binding on all parties. The failure by us at any time to exercise any of the foregoing rights shall not be deemed a waiver of any such right, and each such right shall be deemed a continuing right which may be asserted at any time and from time to time prior to the Expiration Date.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2" w:name="page43"/>
    <w:bookmarkEnd w:id="42"/>
    <w:p>
      <w:pPr>
        <w:ind w:right="40"/>
        <w:spacing w:after="0" w:line="267" w:lineRule="auto"/>
        <w:rPr>
          <w:sz w:val="20"/>
          <w:szCs w:val="20"/>
          <w:color w:val="auto"/>
        </w:rPr>
      </w:pPr>
      <w:r>
        <w:rPr>
          <w:rFonts w:ascii="Arial" w:cs="Arial" w:eastAsia="Arial" w:hAnsi="Arial"/>
          <w:sz w:val="17"/>
          <w:szCs w:val="17"/>
          <w:color w:val="auto"/>
        </w:rPr>
        <w:t>We may withdraw the Offer and Consent Solicitation only if the conditions of the Offer and Consent Solicitation are not satisfied or waived prior to the Expiration Date. Promptly upon any such withdrawal, we will return the tendered Warrants (and the related consent to the Warrant Amendment will be revoked). We will announce our decision to withdraw the Offer and Consent Solicitation by disseminating notice by public announcement or otherwise as permitted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Recommendation; Warrant Holder’s Own Decision</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None of Priority, our affiliates, directors, officers or employees, or the information agent, the exchange agent or the dealer manager for the Offer and Consent Solicitation, is making any recommendations to any Warrant holder as to whether to exchange their Warrants and deliver their consent to the Warrant Amendment. Each Warrant holder must make its own decision as to whether to tender Warrants for exchange pursuant to the Offer and consent to the amendment of the Warrant Agreement pursuant to the Consent Solicitation.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 for Tendering Warrants for Exchange and Consenting to the Warrant Amendment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Issuance of Common Stock upon exchange of Warrants pursuant to the Offer and acceptance by us of Warrants for exchange pursuant to the Offer and providing your consent to the Warrant Amendment will be made only if Warrants are properly tendered pursuant to the procedures described below and set forth in the Letter of Transmittal and Consent. A tender of Warrants pursuant to such procedures, if and when accepted by us, will constitute a binding agreement between the tendering holder of Warrants and us upon the terms and subject to the conditions of the Offer and Consent Solicitation. The proper tender of your Warrants will constitute a consent to the Warrant Amendment with respect to each Warrant tendered.</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 tender of Warrants made pursuant to any method of delivery set forth herein will also constitute an agreement and acknowledgement by the tendering Warrant holder that, among other things: (i) the Warrant holder agrees to exchange the tendered Warrants on the terms and conditions set forth in this Prospectus/Offer to Exchange and Letter of Transmittal and Consent, in each case as may be amended or supplemented prior to the Expiration Date; (ii) the Warrant holder consents to the Warrant Agreement; (iii) the Offer is discretionary and may be extended, modified, suspended or terminated by us as provided herein; (iv) such Warrant holder is voluntarily participating in the Offer; (v) the future value of our Warrants is unknown and cannot be predicted with certainty; and (vi) such Warrant holder has read this Prospectus/Offer to Exchange, Letter of Transmittal and Consent and Warrant Amendment.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Registered Holders of Warrants; Beneficial Owners of Warrants</w:t>
      </w:r>
    </w:p>
    <w:p>
      <w:pPr>
        <w:spacing w:after="0" w:line="22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For purposes of the tender procedures set forth below, the term “registered holder” means any person in whose name Warrants are registered on our books or who is listed as a participant in a clearing agency’s security position listing with respect to the Warrants.</w:t>
      </w:r>
    </w:p>
    <w:p>
      <w:pPr>
        <w:spacing w:after="0" w:line="159" w:lineRule="exact"/>
        <w:rPr>
          <w:sz w:val="20"/>
          <w:szCs w:val="20"/>
          <w:color w:val="auto"/>
        </w:rPr>
      </w:pPr>
    </w:p>
    <w:p>
      <w:pPr>
        <w:ind w:right="180"/>
        <w:spacing w:after="0" w:line="313" w:lineRule="auto"/>
        <w:rPr>
          <w:sz w:val="20"/>
          <w:szCs w:val="20"/>
          <w:color w:val="auto"/>
        </w:rPr>
      </w:pPr>
      <w:r>
        <w:rPr>
          <w:rFonts w:ascii="Arial" w:cs="Arial" w:eastAsia="Arial" w:hAnsi="Arial"/>
          <w:sz w:val="15"/>
          <w:szCs w:val="15"/>
          <w:color w:val="auto"/>
        </w:rPr>
        <w:t>Persons whose Warrants are held through a direct or indirect participant of The Depository Trust Company (“DTC”), such as a broker, dealer, commercial bank, trust company or other financial intermediary, are not considered registered holders of those Warrants but are “beneficial owners.” Beneficial owners cannot directly tender Warrants for exchange pursuant to the Offer. Instead, a beneficial owner must instruct its broker, dealer, commercial bank, trust company or other financial intermediary to tender Warrants for exchange on behalf of the beneficial owner. See “—Required Communications by Beneficial Owners.”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Tendering Warrants Using Letter of Transmittal and Consent</w:t>
      </w: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 registered holder of Warrants may tender Warrants for exchange using a Letter of Transmittal and Consent in the form provided by us with this Prospectus/Offer to Exchange. A Letter of Transmittal is to be used only if delivery of Warrants is to be made by book-entry transfer to the exchange agent’s account at DTC pursuant to the procedures set forth in “—Tendering Warrants Using Book-Entry Transfer;” provided, however, that it is not necessary to execute and deliver a Letter of Transmittal and Consent if instructions with respect to the tender of such Warrants are transmitted through DTC’s Automated Tender Offer Program (“ATOP”). If you are a registered holder of Warrants, unless you intend to tender those Warrants through ATOP, you should complete, execute and deliver a Letter of Transmittal and Consent to indicate the action you desire to take with respect to the Offer and Consent Solicitation.</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43" w:name="page44"/>
    <w:bookmarkEnd w:id="43"/>
    <w:p>
      <w:pPr>
        <w:spacing w:after="0" w:line="289" w:lineRule="auto"/>
        <w:rPr>
          <w:sz w:val="20"/>
          <w:szCs w:val="20"/>
          <w:color w:val="auto"/>
        </w:rPr>
      </w:pPr>
      <w:r>
        <w:rPr>
          <w:rFonts w:ascii="Arial" w:cs="Arial" w:eastAsia="Arial" w:hAnsi="Arial"/>
          <w:sz w:val="16"/>
          <w:szCs w:val="16"/>
          <w:color w:val="auto"/>
        </w:rPr>
        <w:t>In order for Warrants to be properly tendered for exchange pursuant to the Offer using a Letter of Transmittal and Consent, the registered holder of the Warrants being tendered must ensure that the exchange agent receives the following: (i) a properly completed and duly executed Letter of Transmittal and Consent, in accordance with the instructions of the Letter of Transmittal and Consent (including any required signature guarantees); (ii) delivery of the Warrants by book-entry transfer to the exchange agent’s account at DTC; and (iii) any other documents required by the Letter of Transmittal and Consent.</w:t>
      </w:r>
    </w:p>
    <w:p>
      <w:pPr>
        <w:spacing w:after="0" w:line="160"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In the Letter of Transmittal and Consent, the tendering registered Warrant holder must set forth: (i) its name and address; (ii) the number of Warrants being tendered by the holder for exchange; and (iii) certain other information specified in the form of Letter of Transmittal and Consent.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In certain cases, all signatures on the Letter of Transmittal and Consent must be guaranteed by an “Eligible Institution.” See “—Signature Guarantees.”</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If the Letter of Transmittal and Consent is signed by someone other than the registered holder of the tendered Warrants (for example, if the registered holder has assigned the Warrants to a third party), or if the Common Stock to be issued upon exchange of the tendered Warrants are to be issued in a name other than that of the registered holder of the tendered Warrants, the tendered Warrants must be properly accompanied by appropriate assignment documents, in either case signed exactly as the name(s) of the registered holder(s) appear on the Warrants, with the signature(s) on the Warrants or assignment documents guaranteed by an Eligible Institution.</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Any Warrants duly tendered and delivered as described above shall be automatically cancelled upon the issuance of Common Stock in exchange for such Warrants as part of the completion of the Offer.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Signature Guarantees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certain cases, all signatures on the Letter of Transmittal and Consent must be guaranteed by an “Eligible Institution.” An “Eligible Institution” is a bank, broker-dealer, credit union, savings association or other entity that is a member in good standing of the Securities Transfer Agents Medallion Program or a bank, broker, dealer, credit union, savings association or other entity which is an “eligible guarantor institution,” as that term is defined in Rule 17Ad-15 promulgated under the Exchange Act.</w:t>
      </w:r>
    </w:p>
    <w:p>
      <w:pPr>
        <w:spacing w:after="0" w:line="177"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Signatures on the Letter of Transmittal and Consent need not be guaranteed by an Eligible Institution if (i) the Letter of Transmittal and Consent is signed by the registered holder of the Warrants tendered therewith exactly as the name of the registered holder appears on such Warrants and such holder has not completed the box entitled “Special Issuance Instructions” or the box entitled “Special Delivery Instructions” in the Letter of Transmittal and Consent; or (ii) such Warrants are tendered for the account of an Eligible Institution.</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color w:val="auto"/>
        </w:rPr>
        <w:t>In all other cases, an Eligible Institution must guarantee all signatures on the Letter of Transmittal and Consent by completing and signing the table in the Letter of Transmittal and Consent entitled “Guarantee of Signature(s).”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Required Communications by Beneficial Owners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Persons whose Warrants are held through a direct or indirect DTC participant, such as a broker, dealer, commercial bank, trust company or other financial intermediary, are not considered registered holders of those Warrants, but are “beneficial owners,” and must instruct the broker, dealer, commercial bank, trust company or other financial intermediary to tender Warrants on their behalf. Your broker, dealer, commercial bank, trust company or other financial intermediary should have provided you with an “Instructions Form” with this Prospectus/Offer to Exchange. The Instructions Form is included with the Letter to Clients of Brokers, Dealers, Commercial Banks, Trust Companies and Other Nominees, which is filed as an exhibit to the registration statement of which this Prospectus/Offer to Exchange forms a part. The Instructions Form may be used by you to instruct your broker or other custodian to tender and deliver Warrants on your behalf.</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Tendering Warrants Using Book-Entry Transfer</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exchange agent has established an account for the Warrants at DTC for purposes of the Offer and Consent Solicitation. Any financial institution that is a participant in DTC’s system may make book-entry delivery of Warrants by causing DTC to transfer such Warrants into the exchange agent’s account in accordance with ATOP. However, even though delivery of Warrants may be effected through book-entry transfer into the exchange agent’s account at DTC, a properly completed and duly executed Letter of Transmittal and Consent (with any required signature guarantees), or an “Agent’s Message” as described in the next paragraph, and any other required documentation, must in any case also be transmitted to and received by the exchange agent at its address set forth in this Prospectus/Offer to Exchange prior to the Expiration Date, or the guaranteed delivery procedures described under “—Guaranteed Delivery Procedures” must be followed.</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44" w:name="page45"/>
    <w:bookmarkEnd w:id="44"/>
    <w:p>
      <w:pPr>
        <w:ind w:right="60"/>
        <w:spacing w:after="0" w:line="279" w:lineRule="auto"/>
        <w:rPr>
          <w:sz w:val="20"/>
          <w:szCs w:val="20"/>
          <w:color w:val="auto"/>
        </w:rPr>
      </w:pPr>
      <w:r>
        <w:rPr>
          <w:rFonts w:ascii="Arial" w:cs="Arial" w:eastAsia="Arial" w:hAnsi="Arial"/>
          <w:sz w:val="16"/>
          <w:szCs w:val="16"/>
          <w:color w:val="auto"/>
        </w:rPr>
        <w:t>DTC participants desiring to tender Warrants for exchange pursuant to the Offer may do so through ATOP, and in that case the participant need not complete, execute and deliver a Letter of Transmittal and Consent. DTC will verify the acceptance and execute a book-entry delivery of the tendered Warrants to the exchange agent’s account at DTC. DTC will then send an “Agent’s Message” to the exchange agent for acceptance. Delivery of the Agent’s Message by DTC will satisfy the terms of the Offer and Consent Solicitation as to execution and delivery of a Letter of Transmittal and Consent by the DTC participant identified in the Agent’s Message. The term “Agent’s Message” means a message, transmitted by DTC to, and received by, the exchange agent and forming a part of a Book-Entry Confirmation, which states that DTC has received an express acknowledgment from the participant in DTC tendering the Warrants for exchange that such participant has received and agrees to be bound by the terms of the Letter of Transmittal and Consent and that our company may enforce such agreement against the participant. Any DTC participant tendering by book-entry transfer must expressly acknowledge that it has received and agrees to be bound by the Letter of Transmittal and Consent and that the Letter of Transmittal and Consent may be enforced against it.</w:t>
      </w:r>
    </w:p>
    <w:p>
      <w:pPr>
        <w:spacing w:after="0" w:line="168"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Any Warrants duly tendered and delivered as described above shall be automatically cancelled upon the issuance of shares of Common Stock in exchange for such Warrants as part of the completion of the Offer.</w:t>
      </w:r>
    </w:p>
    <w:p>
      <w:pPr>
        <w:spacing w:after="0" w:line="159"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b w:val="1"/>
          <w:bCs w:val="1"/>
          <w:i w:val="1"/>
          <w:iCs w:val="1"/>
          <w:color w:val="auto"/>
        </w:rPr>
        <w:t>Delivery of a Letter of Transmittal and Consent or any other required documentation to DTC does not constitute delivery to the exchange agent. See “— Timing and Manner of Deliveries.”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Guaranteed Delivery Procedures</w:t>
      </w:r>
    </w:p>
    <w:p>
      <w:pPr>
        <w:spacing w:after="0" w:line="22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If a registered holder of Warrants desires to tender its Warrants for exchange pursuant to the Offer, but (i) the procedure for book-entry transfer cannot be completed on a timely basis, or (ii) time will not permit all required documents to reach the exchange agent prior to the Expiration Date, the holder can still tender its Warrants if all the following conditions are met:</w:t>
      </w:r>
    </w:p>
    <w:p>
      <w:pPr>
        <w:spacing w:after="0" w:line="173" w:lineRule="exact"/>
        <w:rPr>
          <w:sz w:val="20"/>
          <w:szCs w:val="20"/>
          <w:color w:val="auto"/>
        </w:rPr>
      </w:pPr>
    </w:p>
    <w:p>
      <w:pPr>
        <w:ind w:left="640" w:hanging="321"/>
        <w:spacing w:after="0"/>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tender is made by or through an Eligible Institution;</w:t>
      </w:r>
    </w:p>
    <w:p>
      <w:pPr>
        <w:spacing w:after="0" w:line="223" w:lineRule="exact"/>
        <w:rPr>
          <w:rFonts w:ascii="Arial" w:cs="Arial" w:eastAsia="Arial" w:hAnsi="Arial"/>
          <w:sz w:val="17"/>
          <w:szCs w:val="17"/>
          <w:color w:val="auto"/>
        </w:rPr>
      </w:pPr>
    </w:p>
    <w:p>
      <w:pPr>
        <w:ind w:left="640" w:right="100" w:hanging="321"/>
        <w:spacing w:after="0" w:line="272"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exchange agent receives by hand, mail, overnight courier or facsimile transmission, prior to the Expiration Date, a properly completed and duly executed Notice of Guaranteed Delivery in the form we have provided with this Prospectus/Offer to Exchange, with signatures guaranteed by an Eligible Institution; and</w:t>
      </w:r>
    </w:p>
    <w:p>
      <w:pPr>
        <w:spacing w:after="0" w:line="172" w:lineRule="exact"/>
        <w:rPr>
          <w:rFonts w:ascii="Arial" w:cs="Arial" w:eastAsia="Arial" w:hAnsi="Arial"/>
          <w:sz w:val="17"/>
          <w:szCs w:val="17"/>
          <w:color w:val="auto"/>
        </w:rPr>
      </w:pPr>
    </w:p>
    <w:p>
      <w:pPr>
        <w:ind w:left="640" w:hanging="321"/>
        <w:spacing w:after="0" w:line="289"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confirmation of a book-entry transfer into the exchange agent’s account at DTC of all Warrants delivered electronically, together with a properly completed and duly executed Letter of Transmittal and Consent with any required signature guarantees (or, in the case of a book-entry transfer, an Agent’s Message in accordance with ATOP), and any other documents required by the Letter of Transmittal and Consent, must be received by the exchange agent within two days that NASDAQ is open for trading after the date the exchange agent receives such Notice of Guaranteed Delivery.</w:t>
      </w:r>
    </w:p>
    <w:p>
      <w:pPr>
        <w:spacing w:after="0" w:line="16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any case where the guaranteed delivery procedure is utilized for the tender of Warrants pursuant to the Offer, the issuance of Common Stock for those Warrants tendered for exchange pursuant to the Offer and accepted pursuant to the Offer will be made only if the exchange agent has timely received the applicable foregoing items.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and Manner of Deliveries</w:t>
      </w:r>
    </w:p>
    <w:p>
      <w:pPr>
        <w:spacing w:after="0" w:line="2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UNLESS THE GUARANTEED DELIVERY PROCEDURES DESCRIBED ABOVE ARE FOLLOWED, WARRANTS WILL BE PROPERLY TENDERED ONLY IF, BY THE EXPIRATION DATE, THE EXCHANGE AGENT RECEIVES SUCH WARRANTS BY BOOK-ENTRY TRANSFER, TOGETHER WITH A PROPERLY COMPLETED AND DULY EXECUTED LETTER OF TRANSMITTAL AND CONSENT OR AN AGENT’S MESSAGE.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color w:val="auto"/>
        </w:rPr>
        <w:t>ALL DELIVERIES IN CONNECTION WITH THE OFFER AND CONSENT SOLICITATION, INCLUDING ANY LETTER OF TRANSMITTAL AND CONSENT AND THE TENDERED WARRANTS, MUST BE MADE TO THE EXCHANGE AGENT. NO DELIVERIES SHOULD BE MADE TO US. ANY DOCUMENTS DELIVERED TO US WILL NOT BE FORWARDED TO THE EXCHANGE AGENT AND THEREFORE WILL NOT BE DEEMED TO BE PROPERLY TENDERED. THE METHOD OF DELIVERY OF ALL REQUIRED DOCUMENTS IS AT THE OPTION AND RISK OF THE TENDERING WARRANT HOLDERS. IF DELIVERY IS BY MAIL, WE RECOMMEND REGISTERED MAIL WITH RETURN RECEIPT REQUESTED (PROPERLY INSURED). IN ALL CASES, SUFFICIENT TIME SHOULD BE ALLOWED TO ENSURE TIMELY DELIVERY.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Determination of Validity</w:t>
      </w:r>
    </w:p>
    <w:p>
      <w:pPr>
        <w:spacing w:after="0" w:line="22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All questions as to the form of documents and the validity, eligibility (including time of receipt) and acceptance for exchange of any tender of Warrants will be determined by us, in our sole discretion, and our determination will be final and binding. We reserve the absolute right to reject any or all tenders of Warrants that we determine are not in proper form or reject tenders of Warrants that may, in the opinion of our counsel, be unlawful. We also reserve the absolute right to waive any defect or irregularity in any tender of any particular Warrant, whether or not similar defects or irregularities are waived in the case of other tendered Warrants. Neither we nor any other person will be under any duty to give notice of any defect or irregularity in tenders, nor shall any of us or them incur any liability for failure to give any such notice.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Fees and Commissions</w:t>
      </w:r>
    </w:p>
    <w:p>
      <w:pPr>
        <w:spacing w:after="0" w:line="223"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Tendering Warrant holders who tender Warrants directly to the exchange agent will not be obligated to pay any charges or expenses of the exchange agent, the dealer manager or any brokerage commissions. Beneficial owners who hold Warrants through a broker or bank should consult that institution as to whether or not such institution will charge the owner any service fees in connection with tendering Warrants on behalf of the owner pursuant to the Offer and Consent Solicitation.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Transfer Taxes</w:t>
      </w:r>
    </w:p>
    <w:p>
      <w:pPr>
        <w:spacing w:after="0" w:line="22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We will pay all transfer taxes, if any, applicable to the transfer of Warrants to us in the Offer. If transfer taxes are imposed for any other reason, the amount of those transfer taxes, whether imposed on the registered holder or any other persons, will be payable by the tendering holder. Other reasons transfer taxes could be imposed include (i) if our Common Stock is to be registered or issued in the name of any person other than the person signing the Letter of Transmittal and Consent, or (ii) if tendered Warrants are registered in the name of any person other than the person signing the Letter of Transmittal and Consent. If satisfactory evidence of payment of or exemption from those transfer taxes is not submitted with the Letter of Transmittal and Consent, the amount of those transfer taxes will be billed directly to the tendering holder and/or withheld from any payment due with respect to the Warrants tendered by such holder.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Rights</w:t>
      </w:r>
    </w:p>
    <w:p>
      <w:pPr>
        <w:spacing w:after="0" w:line="22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By tendering Warrants for exchange, a holder will be deemed to have validly delivered its consent to the Warrant Amendment. Tenders of Warrants made pursuant to the Offer may be withdrawn at any time prior to the Expiration Date. Consents to the Warrant Amendment in connection with the Consent Solicitation may be revoked at any time before the Expiration Date by withdrawing the tender of your Warrants. A valid withdrawal of tendered Warrants before the Expiration Date will be deemed to be a concurrent revocation of the related consent to the Warrant Amendment. Tenders of Warrants and consent to the Warrant Amendment may not be withdrawn after the Expiration Date. If the Offer Period is extended, you may withdraw your tendered Warrants at any time until the expiration of such extended Offer Period. After the Offer Period expires, such tenders are irrevocable, provided, however, that Warrants that are not accepted by us for exchange on or prior to February 25, 2019 may thereafter be withdrawn by you until such time as the Warrants are accepted by us for exchange.</w:t>
      </w:r>
    </w:p>
    <w:p>
      <w:pPr>
        <w:spacing w:after="0" w:line="166"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To be effective, a written notice of withdrawal must be timely received by the exchange agent at its address identified in this Prospectus/Offer to Exchange. Any notice of withdrawal must specify the name of the person who tendered the Warrants for which tenders are to be withdrawn and the number of Warrants to be withdrawn. If the Warrants to be withdrawn have been delivered to the exchange agent, a signed notice of withdrawal must be submitted prior to release of such Warrants. In addition, such notice must specify the name of the registered holder (if different from that of the tendering Warrant holder). A withdrawal may not be cancelled, and Warrants for which tenders are withdrawn will thereafter be deemed not validly tendered for purposes of the Offer and Consent Solicitation. However, Warrants for which tenders are withdrawn may be tendered again by following one of the procedures described above in the section entitled “— Procedure for Tendering Warrants for Exchange” at any time prior to the Expiration Date.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6" w:name="page47"/>
    <w:bookmarkEnd w:id="46"/>
    <w:p>
      <w:pPr>
        <w:ind w:right="60"/>
        <w:spacing w:after="0" w:line="281" w:lineRule="auto"/>
        <w:rPr>
          <w:sz w:val="20"/>
          <w:szCs w:val="20"/>
          <w:color w:val="auto"/>
        </w:rPr>
      </w:pPr>
      <w:r>
        <w:rPr>
          <w:rFonts w:ascii="Arial" w:cs="Arial" w:eastAsia="Arial" w:hAnsi="Arial"/>
          <w:sz w:val="16"/>
          <w:szCs w:val="16"/>
          <w:color w:val="auto"/>
        </w:rPr>
        <w:t>A beneficial owner of Warrants desiring to withdraw tendered Warrants previously delivered through DTC should contact the DTC participant through which such owner holds its Warrants. In order to withdraw Warrants previously tendered, a DTC participant may, prior to the Expiration Date, withdraw its instruction by (i) withdrawing its acceptance through DTC’s Participant Tender Offer Program (“PTOP”) function, or (ii) delivering to the exchange agent by mail, hand delivery or facsimile transmission, notice of withdrawal of such instruction. The notice of withdrawal must contain the name and number of the DTC participant. A withdrawal of an instruction must be executed by a DTC participant as such DTC participant’s name appears on its transmission through the PTOP function to which such withdrawal relates. If the tender being withdrawn was made through ATOP, it may only be withdrawn through PTOP, and not by hard copy delivery of withdrawal instructions. A DTC participant may withdraw a tendered Warrant only if such withdrawal complies with the provisions described in this paragraph.</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A holder who tendered its Warrants other than through DTC should send written notice of withdrawal to the exchange agent specifying the name of the Warrant holder who tendered the Warrants being withdrawn. All signatures on a notice of withdrawal must be guaranteed by an Eligible Institution, as described above in the section entitled “—Procedure for Tendering Warrants for Exchange—Signature Guarantees;” provided, however, that signatures on the notice of withdrawal need not be guaranteed if the Warrants being withdrawn are held for the account of an Eligible Institution. Withdrawal of a prior Warrant tender will be effective upon receipt of the notice of withdrawal by the exchange agent. Selection of the method of notification is at the risk of the Warrant holder, and notice of withdrawal must be timely received by the exchange agent.</w:t>
      </w:r>
    </w:p>
    <w:p>
      <w:pPr>
        <w:spacing w:after="0" w:line="18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All questions as to the form and validity (including time of receipt) of any notice of withdrawal will be determined by us, in our sole discretion, which determination shall be final and binding. Neither we nor any other person will be under any duty to give notification of any defect or irregularity in any notice of withdrawal or incur any liability for failure to give any such notification.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Acceptance for Issuance of Shares</w:t>
      </w:r>
    </w:p>
    <w:p>
      <w:pPr>
        <w:spacing w:after="0" w:line="22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Upon the terms and subject to the conditions of the Offer and Consent Solicitation, we will accept for exchange Warrants validly tendered until the Expiration Date, which is 11:59 p.m., Eastern Standard Time, on February 12, 2019, or such later time and date to which we may extend. The Common Stock to be issued upon exchange of Warrants pursuant to the Offer, along with written notice from the exchange agent confirming the balance of any Warrants not exchanged, will be delivered promptly following the Expiration Date. In all cases, Warrants will only be accepted for exchange pursuant to the Offer after timely receipt by the exchange agent of (i) book-entry delivery of the tendered Warrants, (ii) a properly completed and duly executed Letter of Transmittal and Consent, or compliance with ATOP where applicable, (iii) any other documentation required by the Letter of Transmittal and Consent, and (iv) any required signature guarantees.</w:t>
      </w:r>
    </w:p>
    <w:p>
      <w:pPr>
        <w:spacing w:after="0" w:line="168"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For purposes of the Offer and Consent Solicitation, we will be deemed to have accepted for exchange Warrants that are validly tendered and for which tenders are not withdrawn, unless we give written notice to the Warrant holder of our non-acceptance.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Announcement of Results of the Offer and Consent Solicitation</w:t>
      </w:r>
    </w:p>
    <w:p>
      <w:pPr>
        <w:spacing w:after="0" w:line="229"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We will announce the final results of the Offer and Consent Solicitation, including whether all of the conditions to the Offer and Consent Solicitation have been satisfied or waived and whether we will accept the tendered Warrants for exchange, as promptly as practicable following the end of the Offer Period. The announcement will be made by a press release and by amendment to the Schedule TO we file with the SEC in connection with the Offer and Consent Solicitation.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Purpose of the Offer and Consent Solicitation</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board of directors approved the Offer and Consent Solicitation on December 20, 2018. The purpose of the Offer and Consent Solicitation is to attempt to simplify our corporate structure and reduce the potential dilutive impact of the Warrants, thereby providing us with more flexibility for financing our operations in the future. The Warrants that are tendered for exchange pursuant to the Offer will be retired and cancelled automatically upon the issuance of the Common Stock in exchange for such Warrants pursuant to the Offer.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Agreements, Regulatory Requirements and Legal Proceedings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Other than as set forth under the sections entitled “The Offer and Consent Solicitation—Interests of Directors, Executive Officers and Others,” “The Offer and Consent Solicitation—Transactions and Agreements Concerning Our Securities” and “Certain Relationships and Related Person Transactions,” there are no present or proposed agreements, arrangements, understandings or relationships between us, and any of our directors, executive officers, affiliates or any other person relating, directly or indirectly, to the Offer and Consent Solicitation or to our securities that are the subject of the Offer and Consent Solicitation.</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Except for the requirements of applicable federal and state securities laws, we know of no federal or state regulatory requirements to be complied with or federal or state regulatory approvals to be obtained by us in connection with the Offer and Consent Solicitation. There are no antitrust laws applicable to the Offer and Consent Solicitation. The margin requirements under Section 7 of the Exchange Act, and the related regulations thereunder, are inapplicable to the Offer and Consent Solicitation.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There are no pending legal proceedings relating to the Offer and Consent Solicitation.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Executive Officers and Others</w:t>
      </w:r>
    </w:p>
    <w:p>
      <w:pPr>
        <w:spacing w:after="0" w:line="229" w:lineRule="exact"/>
        <w:rPr>
          <w:sz w:val="20"/>
          <w:szCs w:val="20"/>
          <w:color w:val="auto"/>
        </w:rPr>
      </w:pPr>
    </w:p>
    <w:p>
      <w:pPr>
        <w:ind w:right="180"/>
        <w:spacing w:after="0" w:line="288" w:lineRule="auto"/>
        <w:rPr>
          <w:sz w:val="20"/>
          <w:szCs w:val="20"/>
          <w:color w:val="auto"/>
        </w:rPr>
      </w:pPr>
      <w:r>
        <w:rPr>
          <w:rFonts w:ascii="Arial" w:cs="Arial" w:eastAsia="Arial" w:hAnsi="Arial"/>
          <w:sz w:val="17"/>
          <w:szCs w:val="17"/>
          <w:color w:val="auto"/>
        </w:rPr>
        <w:t>We do not beneficially own any of the Warrants. The following table lists the Warrants beneficially owned by our directors, executive officers and other affiliates or related persons as of January 17,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Aggregate</w:t>
            </w:r>
          </w:p>
        </w:tc>
        <w:tc>
          <w:tcPr>
            <w:tcW w:w="14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0" w:type="dxa"/>
            <w:vAlign w:val="bottom"/>
          </w:tcPr>
          <w:p>
            <w:pPr>
              <w:spacing w:after="0"/>
              <w:rPr>
                <w:sz w:val="1"/>
                <w:szCs w:val="1"/>
                <w:color w:val="auto"/>
              </w:rPr>
            </w:pPr>
          </w:p>
        </w:tc>
      </w:t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Arial" w:cs="Arial" w:eastAsia="Arial" w:hAnsi="Arial"/>
                <w:sz w:val="17"/>
                <w:szCs w:val="17"/>
                <w:b w:val="1"/>
                <w:bCs w:val="1"/>
                <w:color w:val="auto"/>
                <w:w w:val="94"/>
              </w:rPr>
              <w:t>Number of</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Warrants</w:t>
            </w: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5"/>
              </w:rPr>
              <w:t>of Warrants</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Beneficially</w:t>
            </w: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0"/>
              </w:rPr>
              <w:t>Beneficially</w:t>
            </w:r>
          </w:p>
        </w:tc>
        <w:tc>
          <w:tcPr>
            <w:tcW w:w="0" w:type="dxa"/>
            <w:vAlign w:val="bottom"/>
          </w:tcPr>
          <w:p>
            <w:pPr>
              <w:spacing w:after="0"/>
              <w:rPr>
                <w:sz w:val="1"/>
                <w:szCs w:val="1"/>
                <w:color w:val="auto"/>
              </w:rPr>
            </w:pPr>
          </w:p>
        </w:tc>
      </w:tr>
      <w:tr>
        <w:trPr>
          <w:trHeight w:val="262"/>
        </w:trPr>
        <w:tc>
          <w:tcPr>
            <w:tcW w:w="85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4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Owned</w:t>
            </w:r>
          </w:p>
        </w:tc>
        <w:tc>
          <w:tcPr>
            <w:tcW w:w="1420" w:type="dxa"/>
            <w:vAlign w:val="bottom"/>
          </w:tcPr>
          <w:p>
            <w:pPr>
              <w:jc w:val="center"/>
              <w:spacing w:after="0" w:line="262" w:lineRule="exact"/>
              <w:rPr>
                <w:sz w:val="20"/>
                <w:szCs w:val="20"/>
                <w:color w:val="auto"/>
              </w:rPr>
            </w:pPr>
            <w:r>
              <w:rPr>
                <w:rFonts w:ascii="Arial" w:cs="Arial" w:eastAsia="Arial" w:hAnsi="Arial"/>
                <w:sz w:val="17"/>
                <w:szCs w:val="17"/>
                <w:b w:val="1"/>
                <w:bCs w:val="1"/>
                <w:color w:val="auto"/>
                <w:w w:val="87"/>
              </w:rPr>
              <w:t>Owned</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Thomas C. Priore</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339,490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John V. Priore</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64,322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McMiller</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2,206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Sean Kiewiet</w:t>
            </w:r>
          </w:p>
        </w:tc>
        <w:tc>
          <w:tcPr>
            <w:tcW w:w="1360" w:type="dxa"/>
            <w:vAlign w:val="bottom"/>
          </w:tcPr>
          <w:p>
            <w:pPr>
              <w:jc w:val="right"/>
              <w:ind w:right="33"/>
              <w:spacing w:after="0"/>
              <w:rPr>
                <w:sz w:val="20"/>
                <w:szCs w:val="20"/>
                <w:color w:val="auto"/>
              </w:rPr>
            </w:pPr>
            <w:r>
              <w:rPr>
                <w:rFonts w:ascii="Arial" w:cs="Arial" w:eastAsia="Arial" w:hAnsi="Arial"/>
                <w:sz w:val="17"/>
                <w:szCs w:val="17"/>
                <w:color w:val="auto"/>
              </w:rPr>
              <w:t>12,115</w:t>
            </w:r>
          </w:p>
        </w:tc>
        <w:tc>
          <w:tcPr>
            <w:tcW w:w="100" w:type="dxa"/>
            <w:vAlign w:val="bottom"/>
          </w:tcPr>
          <w:p>
            <w:pPr>
              <w:spacing w:after="0"/>
              <w:rPr>
                <w:sz w:val="18"/>
                <w:szCs w:val="18"/>
                <w:color w:val="auto"/>
              </w:rPr>
            </w:pPr>
          </w:p>
        </w:tc>
        <w:tc>
          <w:tcPr>
            <w:tcW w:w="14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Bruce E. Mattox</w:t>
            </w:r>
          </w:p>
        </w:tc>
        <w:tc>
          <w:tcPr>
            <w:tcW w:w="13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2,156</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Michael Vollkommer</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Timothy Schneible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Cindy O’Neill</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Afshin Yazdian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Chris Prince</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 Manuel</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tcPr>
          <w:p>
            <w:pPr>
              <w:spacing w:after="0"/>
              <w:rPr>
                <w:sz w:val="20"/>
                <w:szCs w:val="20"/>
                <w:color w:val="auto"/>
              </w:rPr>
            </w:pPr>
            <w:r>
              <w:rPr>
                <w:rFonts w:ascii="Arial" w:cs="Arial" w:eastAsia="Arial" w:hAnsi="Arial"/>
                <w:sz w:val="17"/>
                <w:szCs w:val="17"/>
                <w:color w:val="auto"/>
              </w:rPr>
              <w:t>William Gahan</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Matthew Kearney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1453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349" w:lineRule="exact"/>
        <w:rPr>
          <w:sz w:val="20"/>
          <w:szCs w:val="20"/>
          <w:color w:val="auto"/>
        </w:rPr>
      </w:pPr>
    </w:p>
    <w:p>
      <w:pPr>
        <w:ind w:right="300" w:firstLine="5"/>
        <w:spacing w:after="0" w:line="578" w:lineRule="auto"/>
        <w:tabs>
          <w:tab w:leader="none" w:pos="628"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Determined based on 5,731,216 Warrants, representing 5,310,109 Public Warrants and 421,107 Private Warrants outstanding as of January 17, 2019. Our affiliates who own Private Warrants are under no contractual obligation to tender such Private Warrants, and there can be no assurance that they will do so.</w:t>
      </w:r>
    </w:p>
    <w:p>
      <w:pPr>
        <w:spacing w:after="0"/>
        <w:rPr>
          <w:sz w:val="20"/>
          <w:szCs w:val="20"/>
          <w:color w:val="auto"/>
        </w:rPr>
      </w:pPr>
      <w:r>
        <w:rPr>
          <w:rFonts w:ascii="Arial" w:cs="Arial" w:eastAsia="Arial" w:hAnsi="Arial"/>
          <w:sz w:val="17"/>
          <w:szCs w:val="17"/>
          <w:b w:val="1"/>
          <w:bCs w:val="1"/>
          <w:color w:val="auto"/>
        </w:rPr>
        <w:t>Market Price, Dividends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Price of Common Stock and Warrants</w:t>
      </w:r>
    </w:p>
    <w:p>
      <w:pPr>
        <w:spacing w:after="0" w:line="223"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color w:val="auto"/>
        </w:rPr>
        <w:t>M I’s units commenced public trading upon consummation of the M I IPO on September 14, 2016, and its common stock and warrants commenced separate trading on November 14, 2016. Prior to the separation of M I’s units, there was no public market for its common stock.</w:t>
      </w:r>
    </w:p>
    <w:p>
      <w:pPr>
        <w:spacing w:after="0" w:line="159"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Prior to the consummation of the Business Combination on July 25, 2018, M I’s common stock, warrants and units were each listed on The NASDAQ Capital Market under the symbols “MACQ,” “MACQW” and “MACQU,” respectively. Upon the consummation of the Business Combination and the change of the Company’s name to Priority Technology Holdings, Inc., our Common Stock, Public Warrants and units commenced trading on NASDAQ under the symbols “PRTH,” “PRTHW” and “PRTHU,” respectively.</w:t>
      </w:r>
    </w:p>
    <w:p>
      <w:pPr>
        <w:spacing w:after="0" w:line="17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The following table shows the high and low sale prices per share of our Common Stock, Public Warrants and units as reported on The NASDAQ Capital Market and The NASDAQ Global Market, as applicable, for the periods indicated.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21"/>
        </w:trPr>
        <w:tc>
          <w:tcPr>
            <w:tcW w:w="3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7"/>
                <w:szCs w:val="17"/>
                <w:color w:val="auto"/>
              </w:rPr>
              <w:t>Common Stock</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7"/>
                <w:szCs w:val="17"/>
                <w:color w:val="auto"/>
              </w:rPr>
              <w:t>Public Warrants</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7"/>
                <w:szCs w:val="17"/>
                <w:color w:val="auto"/>
              </w:rPr>
              <w:t>Units</w:t>
            </w:r>
          </w:p>
        </w:tc>
        <w:tc>
          <w:tcPr>
            <w:tcW w:w="940" w:type="dxa"/>
            <w:vAlign w:val="bottom"/>
            <w:tcBorders>
              <w:bottom w:val="single" w:sz="8" w:color="auto"/>
            </w:tcBorders>
          </w:tcPr>
          <w:p>
            <w:pPr>
              <w:spacing w:after="0"/>
              <w:rPr>
                <w:sz w:val="19"/>
                <w:szCs w:val="19"/>
                <w:color w:val="auto"/>
              </w:rPr>
            </w:pPr>
          </w:p>
        </w:tc>
      </w:tr>
      <w:tr>
        <w:trPr>
          <w:trHeight w:val="203"/>
        </w:trPr>
        <w:tc>
          <w:tcPr>
            <w:tcW w:w="3320" w:type="dxa"/>
            <w:vAlign w:val="bottom"/>
          </w:tcPr>
          <w:p>
            <w:pPr>
              <w:spacing w:after="0"/>
              <w:rPr>
                <w:sz w:val="20"/>
                <w:szCs w:val="20"/>
                <w:color w:val="auto"/>
              </w:rPr>
            </w:pPr>
            <w:r>
              <w:rPr>
                <w:rFonts w:ascii="Arial" w:cs="Arial" w:eastAsia="Arial" w:hAnsi="Arial"/>
                <w:sz w:val="17"/>
                <w:szCs w:val="17"/>
                <w:color w:val="auto"/>
              </w:rPr>
              <w:t>Quarter ended:</w:t>
            </w:r>
          </w:p>
        </w:tc>
        <w:tc>
          <w:tcPr>
            <w:tcW w:w="280" w:type="dxa"/>
            <w:vAlign w:val="bottom"/>
          </w:tcPr>
          <w:p>
            <w:pPr>
              <w:spacing w:after="0"/>
              <w:rPr>
                <w:sz w:val="17"/>
                <w:szCs w:val="17"/>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color w:val="auto"/>
              </w:rPr>
              <w:t>High</w:t>
            </w:r>
          </w:p>
        </w:tc>
        <w:tc>
          <w:tcPr>
            <w:tcW w:w="400" w:type="dxa"/>
            <w:vAlign w:val="bottom"/>
          </w:tcPr>
          <w:p>
            <w:pPr>
              <w:spacing w:after="0"/>
              <w:rPr>
                <w:sz w:val="17"/>
                <w:szCs w:val="17"/>
                <w:color w:val="auto"/>
              </w:rPr>
            </w:pPr>
          </w:p>
        </w:tc>
        <w:tc>
          <w:tcPr>
            <w:tcW w:w="980" w:type="dxa"/>
            <w:vAlign w:val="bottom"/>
          </w:tcPr>
          <w:p>
            <w:pPr>
              <w:jc w:val="right"/>
              <w:ind w:right="393"/>
              <w:spacing w:after="0"/>
              <w:rPr>
                <w:sz w:val="20"/>
                <w:szCs w:val="20"/>
                <w:color w:val="auto"/>
              </w:rPr>
            </w:pPr>
            <w:r>
              <w:rPr>
                <w:rFonts w:ascii="Arial" w:cs="Arial" w:eastAsia="Arial" w:hAnsi="Arial"/>
                <w:sz w:val="17"/>
                <w:szCs w:val="17"/>
                <w:color w:val="auto"/>
              </w:rPr>
              <w:t>Low</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color w:val="auto"/>
              </w:rPr>
              <w:t>High</w:t>
            </w:r>
          </w:p>
        </w:tc>
        <w:tc>
          <w:tcPr>
            <w:tcW w:w="940" w:type="dxa"/>
            <w:vAlign w:val="bottom"/>
          </w:tcPr>
          <w:p>
            <w:pPr>
              <w:jc w:val="right"/>
              <w:spacing w:after="0"/>
              <w:rPr>
                <w:sz w:val="20"/>
                <w:szCs w:val="20"/>
                <w:color w:val="auto"/>
              </w:rPr>
            </w:pPr>
            <w:r>
              <w:rPr>
                <w:rFonts w:ascii="Arial" w:cs="Arial" w:eastAsia="Arial" w:hAnsi="Arial"/>
                <w:sz w:val="17"/>
                <w:szCs w:val="17"/>
                <w:color w:val="auto"/>
              </w:rPr>
              <w:t>Low</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53"/>
              <w:spacing w:after="0"/>
              <w:rPr>
                <w:sz w:val="20"/>
                <w:szCs w:val="20"/>
                <w:color w:val="auto"/>
              </w:rPr>
            </w:pPr>
            <w:r>
              <w:rPr>
                <w:rFonts w:ascii="Arial" w:cs="Arial" w:eastAsia="Arial" w:hAnsi="Arial"/>
                <w:sz w:val="17"/>
                <w:szCs w:val="17"/>
                <w:color w:val="auto"/>
              </w:rPr>
              <w:t>High</w:t>
            </w:r>
          </w:p>
        </w:tc>
        <w:tc>
          <w:tcPr>
            <w:tcW w:w="400" w:type="dxa"/>
            <w:vAlign w:val="bottom"/>
          </w:tcPr>
          <w:p>
            <w:pPr>
              <w:spacing w:after="0"/>
              <w:rPr>
                <w:sz w:val="17"/>
                <w:szCs w:val="17"/>
                <w:color w:val="auto"/>
              </w:rPr>
            </w:pPr>
          </w:p>
        </w:tc>
        <w:tc>
          <w:tcPr>
            <w:tcW w:w="940" w:type="dxa"/>
            <w:vAlign w:val="bottom"/>
          </w:tcPr>
          <w:p>
            <w:pPr>
              <w:jc w:val="right"/>
              <w:ind w:right="373"/>
              <w:spacing w:after="0"/>
              <w:rPr>
                <w:sz w:val="20"/>
                <w:szCs w:val="20"/>
                <w:color w:val="auto"/>
              </w:rPr>
            </w:pPr>
            <w:r>
              <w:rPr>
                <w:rFonts w:ascii="Arial" w:cs="Arial" w:eastAsia="Arial" w:hAnsi="Arial"/>
                <w:sz w:val="17"/>
                <w:szCs w:val="17"/>
                <w:color w:val="auto"/>
              </w:rPr>
              <w:t>Low</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March 31, 2019 (through January 17, 2019)</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7.50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6.50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1.30</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1.12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8.00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8.00</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December 31, 2018</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10.96</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6.00</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1.70</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0.22</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12.80</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8.00</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12.99</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9.39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1.93</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13.32</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12.50</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June 30, 2018</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10.75</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10.04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1.90</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0.72</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13.26</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10.72</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March 31, 2018</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11.41</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8.34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0.95</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0.31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12.95</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10.61</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December 31, 2017</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10.30</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10.11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0.48</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0.30</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11.65</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10.33</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2017</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10.20</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0.35</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10.49</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10.21</w:t>
            </w:r>
          </w:p>
        </w:tc>
      </w:tr>
      <w:tr>
        <w:trPr>
          <w:trHeight w:val="209"/>
        </w:trPr>
        <w:tc>
          <w:tcPr>
            <w:tcW w:w="3320" w:type="dxa"/>
            <w:vAlign w:val="bottom"/>
          </w:tcPr>
          <w:p>
            <w:pPr>
              <w:spacing w:after="0"/>
              <w:rPr>
                <w:sz w:val="20"/>
                <w:szCs w:val="20"/>
                <w:color w:val="auto"/>
              </w:rPr>
            </w:pPr>
            <w:r>
              <w:rPr>
                <w:rFonts w:ascii="Arial" w:cs="Arial" w:eastAsia="Arial" w:hAnsi="Arial"/>
                <w:sz w:val="17"/>
                <w:szCs w:val="17"/>
                <w:color w:val="auto"/>
              </w:rPr>
              <w:t>June 30, 2017</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10.24</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10.01</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0.35</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0.28</w:t>
            </w:r>
          </w:p>
        </w:tc>
        <w:tc>
          <w:tcPr>
            <w:tcW w:w="1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10.50</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10.17</w:t>
            </w: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March 31, 2017</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10.25</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9.93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0.48</w:t>
            </w:r>
          </w:p>
        </w:tc>
        <w:tc>
          <w:tcPr>
            <w:tcW w:w="940" w:type="dxa"/>
            <w:vAlign w:val="bottom"/>
            <w:shd w:val="clear" w:color="auto" w:fill="CCEEFF"/>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96"/>
              </w:rPr>
              <w:t>0.20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10.28</w:t>
            </w:r>
          </w:p>
        </w:tc>
        <w:tc>
          <w:tcPr>
            <w:tcW w:w="4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10.15</w:t>
            </w:r>
          </w:p>
        </w:tc>
      </w:tr>
      <w:tr>
        <w:trPr>
          <w:trHeight w:val="221"/>
        </w:trPr>
        <w:tc>
          <w:tcPr>
            <w:tcW w:w="3320" w:type="dxa"/>
            <w:vAlign w:val="bottom"/>
          </w:tcPr>
          <w:p>
            <w:pPr>
              <w:spacing w:after="0"/>
              <w:rPr>
                <w:sz w:val="20"/>
                <w:szCs w:val="20"/>
                <w:color w:val="auto"/>
              </w:rPr>
            </w:pPr>
            <w:r>
              <w:rPr>
                <w:rFonts w:ascii="Arial" w:cs="Arial" w:eastAsia="Arial" w:hAnsi="Arial"/>
                <w:sz w:val="17"/>
                <w:szCs w:val="17"/>
                <w:color w:val="auto"/>
              </w:rPr>
              <w:t>December 31, 2016*</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33"/>
              <w:spacing w:after="0"/>
              <w:rPr>
                <w:sz w:val="20"/>
                <w:szCs w:val="20"/>
                <w:color w:val="auto"/>
              </w:rPr>
            </w:pPr>
            <w:r>
              <w:rPr>
                <w:rFonts w:ascii="Arial" w:cs="Arial" w:eastAsia="Arial" w:hAnsi="Arial"/>
                <w:sz w:val="17"/>
                <w:szCs w:val="17"/>
                <w:color w:val="auto"/>
              </w:rPr>
              <w:t>10.04</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3"/>
              <w:spacing w:after="0"/>
              <w:rPr>
                <w:sz w:val="20"/>
                <w:szCs w:val="20"/>
                <w:color w:val="auto"/>
              </w:rPr>
            </w:pPr>
            <w:r>
              <w:rPr>
                <w:rFonts w:ascii="Arial" w:cs="Arial" w:eastAsia="Arial" w:hAnsi="Arial"/>
                <w:sz w:val="17"/>
                <w:szCs w:val="17"/>
                <w:color w:val="auto"/>
              </w:rPr>
              <w:t>10.00</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0.29</w:t>
            </w:r>
          </w:p>
        </w:tc>
        <w:tc>
          <w:tcPr>
            <w:tcW w:w="940" w:type="dxa"/>
            <w:vAlign w:val="bottom"/>
          </w:tcPr>
          <w:p>
            <w:pPr>
              <w:jc w:val="right"/>
              <w:ind w:right="633"/>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33"/>
              <w:spacing w:after="0"/>
              <w:rPr>
                <w:sz w:val="20"/>
                <w:szCs w:val="20"/>
                <w:color w:val="auto"/>
              </w:rPr>
            </w:pPr>
            <w:r>
              <w:rPr>
                <w:rFonts w:ascii="Arial" w:cs="Arial" w:eastAsia="Arial" w:hAnsi="Arial"/>
                <w:sz w:val="17"/>
                <w:szCs w:val="17"/>
                <w:color w:val="auto"/>
                <w:w w:val="96"/>
              </w:rPr>
              <w:t>0.17</w:t>
            </w:r>
          </w:p>
        </w:tc>
        <w:tc>
          <w:tcPr>
            <w:tcW w:w="10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3"/>
              <w:spacing w:after="0"/>
              <w:rPr>
                <w:sz w:val="20"/>
                <w:szCs w:val="20"/>
                <w:color w:val="auto"/>
              </w:rPr>
            </w:pPr>
            <w:r>
              <w:rPr>
                <w:rFonts w:ascii="Arial" w:cs="Arial" w:eastAsia="Arial" w:hAnsi="Arial"/>
                <w:sz w:val="17"/>
                <w:szCs w:val="17"/>
                <w:color w:val="auto"/>
              </w:rPr>
              <w:t>10.21</w:t>
            </w:r>
          </w:p>
        </w:tc>
        <w:tc>
          <w:tcPr>
            <w:tcW w:w="40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10.02</w:t>
            </w:r>
          </w:p>
        </w:tc>
      </w:tr>
    </w:tbl>
    <w:p>
      <w:pPr>
        <w:spacing w:after="0" w:line="185" w:lineRule="exact"/>
        <w:rPr>
          <w:sz w:val="20"/>
          <w:szCs w:val="20"/>
          <w:color w:val="auto"/>
        </w:rPr>
      </w:pPr>
    </w:p>
    <w:p>
      <w:pPr>
        <w:ind w:left="320" w:right="340" w:hanging="315"/>
        <w:spacing w:after="0" w:line="288"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period from November 14, 2016 (the date on which our Common Stock and Public Warrants were first quoted on The NASDAQ Capital Market) through December 31, 2016.</w:t>
      </w:r>
    </w:p>
    <w:p>
      <w:pPr>
        <w:spacing w:after="0" w:line="15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As of January 17, 2019, we had approximately thirty-four holders of record of our Common Stock, one holder of record of our Public Warrants and eight holders of record of our Private Warrants. These figures do not include the number of persons whose securities are held in nominee or “street” name accounts through brokers.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never declared or paid, and do not anticipate declaring or paying, any cash dividends on our Common Stock in the foreseeable future. In addition, the terms of our credit facilities will include restrictions on our ability to issue dividends. See “Management’s discussion and analysis of financial condition and results of operations — Liquidity and capital resources” for a discussion of our credit facilities’ restrictions on our subsidiaries’ ability to pay dividends or other payments to us.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 and Amount of Funds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Because this transaction is an offer to holders to exchange their existing Warrants for our Common Stock, there is no source of funds or other cash consideration being paid by us to, or to us from, those tendering Warrant holders pursuant to the Offer, other than the amount of cash paid in lieu of a fractional share in the Offer. We estimate that the total amount of cash required to complete the transactions contemplated by the Offer and Consent Solicitation, including the payment of any fees, expenses and other related amounts incurred in connection with the transactions and the payment of cash in lieu of fractional shares will be approximately $1,000. We expect to have sufficient funds to complete the transactions contemplated by the Offer and Consent Solicitation and to pay fees, expenses and other related amounts from our cash on hand.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American Stock Transfer &amp; Trust Company, LLC has been appointed the exchange agent for the Offer and Consent Solicitation. The Letter of Transmittal and Consent and all correspondence in connection with the Offer should be sent or delivered by each holder of the Warrants, or a beneficial owner’s custodian bank, depositary, broker, trust company or other nominee, to the exchange agent at the address and telephone numbers set forth on the back cover page of this Prospectus/Offer to Exchange. We will pay the exchange agent reasonable and customary fees for its services and will reimburse it for its reasonable, out-of-pocket expenses in connection therewith.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Agent</w:t>
      </w:r>
    </w:p>
    <w:p>
      <w:pPr>
        <w:spacing w:after="0" w:line="229" w:lineRule="exact"/>
        <w:rPr>
          <w:sz w:val="20"/>
          <w:szCs w:val="20"/>
          <w:color w:val="auto"/>
        </w:rPr>
      </w:pPr>
    </w:p>
    <w:p>
      <w:pPr>
        <w:jc w:val="both"/>
        <w:ind w:right="20"/>
        <w:spacing w:after="0" w:line="325" w:lineRule="auto"/>
        <w:rPr>
          <w:sz w:val="20"/>
          <w:szCs w:val="20"/>
          <w:color w:val="auto"/>
        </w:rPr>
      </w:pPr>
      <w:r>
        <w:rPr>
          <w:rFonts w:ascii="Arial" w:cs="Arial" w:eastAsia="Arial" w:hAnsi="Arial"/>
          <w:sz w:val="15"/>
          <w:szCs w:val="15"/>
          <w:color w:val="auto"/>
        </w:rPr>
        <w:t>D.F. King &amp; Co., Inc. has been appointed as the information agent for the Offer and Consent Solicitation, and will receive customary compensation for its services. Questions concerning tender procedures and requests for additional copies of this Prospectus/Offer to Exchange or the Letter of Transmittal and Consent should be directed to the information agent at the address and telephone numbers set forth on the back cover page of this Prospectus/Offer to Exchange.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Dealer Manager</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We have retained Cowen and Company, LLC to act as dealer manager in connection with the Offer and Consent Solicitation and will pay the dealer manager a customary fee as compensation for its services. We will also reimburse the dealer manager for certain expenses. The obligations of the dealer manager to perform this function are subject to certain conditions. We have agreed to indemnify the dealer manager against certain liabilities, including liabilities under the federal securities laws. Questions about the terms of the Offer or Consent Solicitation may be directed to the dealer manager at its address and telephone number set forth on the back cover page of this Prospectus/Offer to Exchange.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94" w:right="239" w:bottom="1440" w:gutter="0" w:footer="0" w:header="0"/>
        </w:sectPr>
      </w:pPr>
    </w:p>
    <w:bookmarkStart w:id="49" w:name="page50"/>
    <w:bookmarkEnd w:id="49"/>
    <w:p>
      <w:pPr>
        <w:spacing w:after="0" w:line="267" w:lineRule="auto"/>
        <w:rPr>
          <w:sz w:val="20"/>
          <w:szCs w:val="20"/>
          <w:color w:val="auto"/>
        </w:rPr>
      </w:pPr>
      <w:r>
        <w:rPr>
          <w:rFonts w:ascii="Arial" w:cs="Arial" w:eastAsia="Arial" w:hAnsi="Arial"/>
          <w:sz w:val="17"/>
          <w:szCs w:val="17"/>
          <w:color w:val="auto"/>
        </w:rPr>
        <w:t>The dealer manager and its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dealer manager and its affiliates have provided, and may in the future provide, a variety of these services to us and to persons and entities with relationships with us, for which they have received or will receive customary fees and expenses.</w:t>
      </w:r>
    </w:p>
    <w:p>
      <w:pPr>
        <w:spacing w:after="0" w:line="17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the ordinary course of their various business activities, the dealer manager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dealer manager and its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ordinary course of its business, the dealer manager or its affiliates may at any time hold long or short positions, and may trade for their own accounts or the accounts of customers, in securities of Priority, including Warrants, and, to the extent that the dealer manager or its affiliates own Warrants during the Offer and Consent Solicitation, they may tender such Warrants under the terms of the Offer and Consent Solicitation.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Fees and Expenses</w:t>
      </w:r>
    </w:p>
    <w:p>
      <w:pPr>
        <w:spacing w:after="0" w:line="229"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expenses of soliciting tenders of the Warrants and the Consent Solicitation will be borne by us. The principal solicitations are being made by mail; however, additional solicitations may be made by facsimile transmission, telephone or in person by the dealer manager and the information agent, as well as by our officers and other employees and affiliates.</w:t>
      </w:r>
    </w:p>
    <w:p>
      <w:pPr>
        <w:spacing w:after="0" w:line="173"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You will not be required to pay any fees or commissions to us, the dealer manager, the exchange agent or the information agent in connection with the Offer and Consent Solicitation. If your Warrants are held through a broker, dealer, commercial bank, trust company or other nominee that tenders your Warrants on your behalf, your broker or other nominee may charge you a commission or service fee for doing so. You should consult your broker, dealer, commercial bank, trust company or other nominee to determine whether any charges will apply.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Transactions and Agreements Concerning Our Securities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Other than as set forth below and in the sections of this Prospectus/Offer to Exchange entitled “Certain Relationships and Related Person Transactions” and “Description of Capital Stock” there are no agreements, arrangements or understandings between the Company, or any of our directors or executive officers, and any other person with respect to our securities that are the subject of the Offer and Consent Solicitation.</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owners of the Private Warrants are under no contractual obligation to tender such Private Warrants, and there can be no assurance that they will do so. None of the holders of Private Warrants will receive any benefit by virtue of participation in the Offer that is not shared on a pro rata basis with holders of the Public Warrants exchanged pursuant to the Offer.</w:t>
      </w:r>
    </w:p>
    <w:p>
      <w:pPr>
        <w:spacing w:after="0" w:line="173"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Except as set forth in the section of this Prospectus/Offer to Exchange entitled “Certain Relationships and Related Person Transactions,” neither we, nor any of our directors, executive officers or controlling persons, or any executive officers, directors, managers or partners of any of our controlling persons, has engaged in any transactions in our Warrants in the last 60 days.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Plans</w:t>
      </w:r>
    </w:p>
    <w:p>
      <w:pPr>
        <w:spacing w:after="0" w:line="22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Except as described in the sections of this Prospectus/Offer to Exchange entitled “Risk Factors” and “The Offer and Consent Solicitation,” neither the Company, nor any of its directors, executive officers, or controlling persons, or any executive officers, directors, managers or partners of its controlling persons, has any plans, proposals or negotiations that relate to or would result in:</w:t>
      </w:r>
    </w:p>
    <w:p>
      <w:pPr>
        <w:spacing w:after="0" w:line="173"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extraordinary transaction, such as a merger, reorganization or liquidation, involving us or any of our subsidiaries;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purchase, sale or transfer of a material amount of assets of us or any of our subsidiaries;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material change in our present dividend rate or policy, or our indebtedness or capitalization;</w:t>
      </w:r>
    </w:p>
    <w:p>
      <w:pPr>
        <w:spacing w:after="0" w:line="223" w:lineRule="exact"/>
        <w:rPr>
          <w:rFonts w:ascii="Arial" w:cs="Arial" w:eastAsia="Arial" w:hAnsi="Arial"/>
          <w:sz w:val="17"/>
          <w:szCs w:val="17"/>
          <w:color w:val="auto"/>
        </w:rPr>
      </w:pPr>
    </w:p>
    <w:p>
      <w:pPr>
        <w:ind w:left="640" w:right="20" w:hanging="321"/>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except as described below, any change in our present board of directors or management, including, but not limited to, any plans or proposals to change the number or the term of directors or to fill any existing vacancies on the board or to change any material term of the employment contract of any executive officer;</w:t>
      </w:r>
    </w:p>
    <w:p>
      <w:pPr>
        <w:spacing w:after="0" w:line="172"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other material change in our corporate structure or business;</w:t>
      </w:r>
    </w:p>
    <w:p>
      <w:pPr>
        <w:spacing w:after="0" w:line="223" w:lineRule="exact"/>
        <w:rPr>
          <w:rFonts w:ascii="Arial" w:cs="Arial" w:eastAsia="Arial" w:hAnsi="Arial"/>
          <w:sz w:val="17"/>
          <w:szCs w:val="17"/>
          <w:color w:val="auto"/>
        </w:rPr>
      </w:pPr>
    </w:p>
    <w:p>
      <w:pPr>
        <w:ind w:left="640" w:right="40" w:hanging="321"/>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class of our equity securities to be delisted from NASDAQ (except to the extent the results of the Offer and Consent Solicitation impact the continued listing of the Public Warrants);</w:t>
      </w:r>
    </w:p>
    <w:p>
      <w:pPr>
        <w:spacing w:after="0" w:line="158"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class of our equity securities becoming eligible for termination of registration under section 12(g)(4) of the Exchange Act (although NASDAQ intends to delist our Warrants from trading on its exchange, which could would limit, for anyone holding Warrants after the completion of the Offer and Consent Solicitation and such delisting, the Warrant holders’ ability to make engage in transactions in our Warrants);</w:t>
      </w:r>
    </w:p>
    <w:p>
      <w:pPr>
        <w:spacing w:after="0" w:line="172"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suspension of our obligation to file reports under Section 15(d) of the Exchange Act;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acquisition or disposition by any person of our securities; or</w:t>
      </w:r>
    </w:p>
    <w:p>
      <w:pPr>
        <w:spacing w:after="0" w:line="223" w:lineRule="exact"/>
        <w:rPr>
          <w:rFonts w:ascii="Arial" w:cs="Arial" w:eastAsia="Arial" w:hAnsi="Arial"/>
          <w:sz w:val="17"/>
          <w:szCs w:val="17"/>
          <w:color w:val="auto"/>
        </w:rPr>
      </w:pPr>
    </w:p>
    <w:p>
      <w:pPr>
        <w:ind w:left="640" w:right="420" w:hanging="321"/>
        <w:spacing w:after="0" w:line="288"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changes in our Second Amended and Restated Certificate of Incorporation or other governing instruments or other actions that could impede the acquisition of control of our company.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Under The Exchange Act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Public Warrants currently are registered under the Exchange Act. This registration may be terminated upon application by us to the SEC if there are fewer than 300 record holders of the Public Warrants. We currently do not intend to deregister the Public Warrants, if any, that remain outstanding after completion of the Offer and Consent Solicitation. Notwithstanding any termination of the registration of our Public Warrants, we will continue to be subject to the reporting requirements under the Exchange Act as a result of the continuing registration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will account for the exchange of Warrants as a Common Stock issuance for no additional value. The par value of each share of Common Stock issued in the Offer will be recorded as a credit to Common Stock and a debit to additional paid-in capital. Any cash paid in lieu of fractional shares will be recorded as a credit to cash and a debit to additional paid-in capital. The Offer will not modify the current accounting treatment for the un-exchanged warrants.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Absence of Appraisal Or Dissenters’ Rights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Holders of the Warrants do not have any appraisal or dissenters’ rights under applicable law in connection with the Offer and Consent Solicitation.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Subject to the limitations and qualifications stated herein, this discussion sets forth a summary of certain material U.S. federal income tax consequences of the receipt of Common Stock in exchange for the Warrants pursuant to the Offer, the treatment of Warrants not exchanged for Common Stock in the Offer, but modified pursuant to the Warrant Amendment, and the ownership and disposition of Common Stock received in exchange for a Warrant. The discussion is based on the United States Internal Revenue Code of 1986, as amended (the “Code”), its legislative history, existing and proposed regulations thereunder, published rulings and court decisions, all as currently in effect and all subject to change at any time, possibly with retroactive effect. We cannot assure you that a change in law will not alter significantly the tax consequences described in this summary. We have not sought and do not expect to seek any rulings from the U.S. Internal Revenue Service (the “IRS”), regarding the matters discussed below, and as a result, there can be no assurance that the IRS or the courts will agree with any of the conclusions stated in this description. This description assumes that holders hold the Warrants, and will hold the shares of Common Stock received upon exchange of the Warrants, as capital assets (generally, property held for investment). This description does not address all of the tax consequences that might be relevant to a holder’s particular circumstances and does not address the tax consequences to any special class of holder, including without limitation, dealers in securities or currencies, banks, tax-exempt organizations, insurance companies, financial institutions, broker-dealers, regulated investment companies, real estate investment trusts, tax-exempt organizations, persons subject to Section 1061 of the Code, traders in securities that elect the mark-to-market method of accounting for their securities holdings, persons that hold shares of Common Stock or Warrants that are a hedge or that are hedged against currency or interest rate risks or that are part of a straddle, conversion or “integrated” transaction, persons holding Common Stock through a bank, financial institution or other entity, or a branch thereof, located, organized or resident outside the United States, certain U.S. expatriates, partnerships or other entities classified as partnerships for U.S. federal income tax purposes, persons holding 5% or more of our Common Stock, persons subject to special tax accounting rules as a result of any item of gross income with respect to shares of Common Stock being taken into account in an applicable financial statement, investment funds and their investors, and U.S. holders (as defined below) whose functional currency for U.S. federal income tax purposes is not the U.S. dollar.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24" w:gutter="0" w:footer="0" w:header="0"/>
        </w:sectPr>
      </w:pPr>
    </w:p>
    <w:bookmarkStart w:id="51" w:name="page52"/>
    <w:bookmarkEnd w:id="51"/>
    <w:p>
      <w:pPr>
        <w:ind w:right="20"/>
        <w:spacing w:after="0" w:line="264" w:lineRule="auto"/>
        <w:rPr>
          <w:sz w:val="20"/>
          <w:szCs w:val="20"/>
          <w:color w:val="auto"/>
        </w:rPr>
      </w:pPr>
      <w:r>
        <w:rPr>
          <w:rFonts w:ascii="Arial" w:cs="Arial" w:eastAsia="Arial" w:hAnsi="Arial"/>
          <w:sz w:val="17"/>
          <w:szCs w:val="17"/>
          <w:color w:val="auto"/>
        </w:rPr>
        <w:t>If a partnership (or any other entity treated as a partnership for U.S. federal income tax purposes) holds shares of Common Stock or Warrants, the tax treatment of the partnership and a partner in such partnership generally will depend on the status of the partner and the nature of the activities of the partnership. A holder that is a partnership, and the partners in such partnerships, should consult its tax advisors regarding the tax consequences of the receipt of shares of Common Stock in the exchange, the treatment of Warrants not exchanged for shares of Common Stock in the Offer, but modified pursuant to the Warrant Amendment, and the ownership and disposition of shares of Common Stock received in the exchange.</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description does not address the tax consequences arising under the laws of any U.S. state, local or non-U.S. tax jurisdiction. Moreover, except to the extent specifically set forth below, this description does not address the U.S. federal estate and gift tax, or alternative minimum tax, or other non-income tax consequences of the ownership and disposition of shares of Common Stock received upon exchange of the Warrants.</w:t>
      </w:r>
    </w:p>
    <w:p>
      <w:pPr>
        <w:spacing w:after="0" w:line="167"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b w:val="1"/>
          <w:bCs w:val="1"/>
          <w:color w:val="auto"/>
        </w:rPr>
        <w:t>This description is for general information only and is not tax advice. It is not intended to constitute a complete description of all tax consequences for holders relating to the exchange of Warrants for our Common Stock, the treatment of Warrants not exchanged for shares of Common Stock in the Offer, or relating to the ownership and disposition of our Common Stock. You are urged to consult with your tax advisor regarding the U.S. federal income tax consequences of the receipt of Common Stock in exchange for the Warrants, the treatment of Warrants not exchanged for shares of Common Stock in the Offer, and of the ownership and disposition of such Common Stock, applicable in your particular situation, as well as any consequences under the U.S. federal estate or gift tax, the U.S. federal alternative minimum tax, or under the tax laws of any state, local, foreign, or other taxing jurisdiction.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Consequences to U.S. Holders</w:t>
      </w:r>
    </w:p>
    <w:p>
      <w:pPr>
        <w:spacing w:after="0" w:line="223"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U.S. holder of the Warrants or our Common Stock. For this purpose, you are a “U.S. holder” if you are:</w:t>
      </w:r>
    </w:p>
    <w:p>
      <w:pPr>
        <w:spacing w:after="0" w:line="136"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223" w:lineRule="exact"/>
        <w:rPr>
          <w:rFonts w:ascii="Arial" w:cs="Arial" w:eastAsia="Arial" w:hAnsi="Arial"/>
          <w:sz w:val="17"/>
          <w:szCs w:val="17"/>
          <w:color w:val="auto"/>
        </w:rPr>
      </w:pPr>
    </w:p>
    <w:p>
      <w:pPr>
        <w:ind w:left="640" w:right="100" w:hanging="321"/>
        <w:spacing w:after="0" w:line="28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or any State thereof or the District of Columbia;</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23" w:lineRule="exact"/>
        <w:rPr>
          <w:rFonts w:ascii="Arial" w:cs="Arial" w:eastAsia="Arial" w:hAnsi="Arial"/>
          <w:sz w:val="17"/>
          <w:szCs w:val="17"/>
          <w:color w:val="auto"/>
        </w:rPr>
      </w:pPr>
    </w:p>
    <w:p>
      <w:pPr>
        <w:ind w:left="640" w:right="40" w:hanging="321"/>
        <w:spacing w:after="0" w:line="272"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trust (i) if a court within the United States is able to exercise primary supervision over the administration of the trust and one or more United States persons (as defined in Section 7701(a)(30) of the Code) have the authority to control all substantial decisions of the trust, or (ii) that has a valid election in effect under applicable U.S. Treasury Regulations to be treated as a U.S. person.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auto"/>
        </w:rPr>
        <w:t>Exchange of Warrants for Common Stock</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those holders of Warrants participating in the Offer and for any holders of Warrants subsequently exchanged for Common Stock pursuant to the terms of the Warrant Amendment, we intend to treat your exchange of Warrants for our Common Stock as a “recapitalization” within the meaning of Section 368(a)(1)(E) of the Code. Assuming the exchange qualifies as a “recapitalization” (i) you should not recognize any gain or loss on the exchange of Warrants for shares of our Common Stock, (ii) your aggregate tax basis in the shares received in the exchange should equal your aggregate tax basis in your Warrants deemed to be surrendered in the exchange (except to the extent of any tax basis allocated to a fractional share for which a cash payment is received in connection with the Offer), and (iii) your holding period for the shares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alternate characterizations are possible. You should consult your tax advisor as to the applicability of these rules to your particular circumstances.</w:t>
      </w:r>
    </w:p>
    <w:p>
      <w:pPr>
        <w:spacing w:after="0" w:line="187"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Any cash you receive in lieu of a fractional share of our Common Stock pursuant to the Offer should generally result in gain or loss to you equal to the difference between the cash received and your tax basis in Warrants deemed exchanged in respect of the fractional share.</w:t>
      </w: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Although the issue is not free from doubt, if the Warrant Amendment is approved, we intend to treat all Warrants not exchanged for Common Stock in the Offer as having been exchanged for “new” Warrants pursuant to the Warrant Amendment and to treat such deemed exchange as a “recapitalization” within the meaning of Section 368(a)(1)(E) of the Code. Assuming such deemed exchange qualifies as a “recapitalization” (i) you should not recognize any gain or loss on the deemed exchange of Warrants for “new” Warrants, (ii) your aggregate tax basis in the “new” Warrants deemed to be received in the exchange should equal your aggregate tax basis in your existing Warrants surrendered in the exchange, and (iii) your holding period for the “new” Warrants deemed to be received in the exchange should include your holding period for the surrendered Warrants. Special tax basis and holding period rules apply to holders that acquired different blocks of Warrants at different prices or at different times. There can be no assurance that the IRS or a court will agree with the tax consequences of the exchange described above, and alternative characterizations by the IRS or a court are possible. You should consult your tax advisor as to the applicability of these rules to your particular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Ownership and Disposition of Common Stock</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of cash or property that we pay on our Common Stock will constitute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for U.S. federal income tax purposes to the extent paid from our current or accumulated earnings and profits (as determined under U.S. federal income tax principles) and will be includible in your gross income as ordinary dividend income when actually or constructively received by you. Distributions in excess of our current and accumulated earnings and profits will be treated first as a tax-free return of capital to the extent of your tax basis in our Common Stock, and thereafter will be treated as capital gain from the sale or exchange of the Common Stock.</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Dividends received by individual U.S. holders of shares of our common stock will generally be subject to a reduced maximum tax rate of 20% if such dividends are treated as “qualified dividend income” for U.S. federal income tax purposes. The rate reduction does not apply to dividends that are paid to individual stockholders with respect to shares of our common stock that are held for 60 days or less during the 121-day period beginning on the date which is 60 days before the date on which the shares of our common stock become ex-dividend. Furthermore, the rate reduction does not apply to dividends received to the extent that an individual holder elects to treat the dividends as “investment income” for purposes of determining the holder’s limit for the deduction of investment interest under Section 163(d) of the Code.</w:t>
      </w:r>
    </w:p>
    <w:p>
      <w:pPr>
        <w:spacing w:after="0" w:line="180"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Dividends received by corporate holders of shares of our common stock may be eligible for a dividends received deduction equal to 50% of the amount of the distribution, subject to applicable limitations, including limitations related to “debt-financed portfolio stock” under Section 246A of the Code and to the holding period requirements of Section 246 of the Code.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Sale or Exchange</w:t>
      </w:r>
      <w:r>
        <w:rPr>
          <w:rFonts w:ascii="Arial" w:cs="Arial" w:eastAsia="Arial" w:hAnsi="Arial"/>
          <w:sz w:val="15"/>
          <w:szCs w:val="15"/>
          <w:color w:val="auto"/>
        </w:rPr>
        <w:t>. Upon a sale or other taxable disposition of our Common Stock, you generally will recognize capital gain or loss equal to the difference between</w:t>
      </w:r>
    </w:p>
    <w:p>
      <w:pPr>
        <w:spacing w:after="0" w:line="49" w:lineRule="exact"/>
        <w:rPr>
          <w:sz w:val="20"/>
          <w:szCs w:val="20"/>
          <w:color w:val="auto"/>
        </w:rPr>
      </w:pPr>
    </w:p>
    <w:p>
      <w:pPr>
        <w:ind w:right="20" w:firstLine="5"/>
        <w:spacing w:after="0" w:line="265" w:lineRule="auto"/>
        <w:tabs>
          <w:tab w:leader="none" w:pos="20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amount of cash and the fair market value of any property you receive on the disposition and (ii) your adjusted tax basis for the Common Stock. The capital gain or loss will be long-term capital gain or loss if you held the Common Stock for more than one year. The deductibility of capital losses is subject to limitations. You should consult your own tax advisors regarding the proper treatment of gain or loss in your particular circumstances.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07" w:right="25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auto"/>
        </w:rPr>
        <w:t>Tax on Net Investment Income</w:t>
      </w:r>
    </w:p>
    <w:p>
      <w:pPr>
        <w:spacing w:after="0" w:line="223"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 3.8% Medicare contribution tax will generally apply to all or some portion of the net investment income of a U.S. holder who is an individual, estate or trust with adjusted gross income that exceeds a threshold amount. For these purposes, dividends received with respect to our Common Stock, and gains or losses realized from the taxable disposition of our Common Stock, will generally be taken into account in computing your net investment income. Each U.S. holder that is an individual, estate or trust should consult its own tax advisors regarding the effect, if any, of this tax provision on their ownership and disposition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Information reporting will generally apply to noncorporate U.S. holders with respect to payments of dividends on shares of our common stock and to certain payments of proceeds on the sale or other disposition of shares of our common stock. Certain noncorporate U.S. holders may be subject to U.S. backup withholding (at a rate of 24%) on payments of dividends on shares of our common stock and certain payments of proceeds on the sale or other disposition of shares of our common stock unless the beneficial owner of the shares of our common stock furnishes the payor or its agent with a taxpayer identification number, certified under penalties of perjury, and certain other information, or otherwise establishes, in the manner prescribed by law, an exemption from backup withholding.</w:t>
      </w:r>
    </w:p>
    <w:p>
      <w:pPr>
        <w:spacing w:after="0" w:line="14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U.S. backup withholding is not an additional tax. Any amounts withheld under the backup withholding rules may be allowed as a credit against a U.S. holder’s U.S. federal income tax liability, which may entitle the U.S. holder to a refund, provided the U.S. holder timely furnishes the required information to the Internal Revenue Service (the “IRS”).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Consequences to Non-U.S. Holders</w:t>
      </w: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Subject to the limitations stated above, the following description addresses certain material U.S. federal income tax consequences of the receipt of Common Stock in exchange for the Warrants, the treatment of Warrants not exchanged for shares of Common Stock in the Offer, and of the ownership and disposition of our Common Stock, that are expected to apply if you are a non-U.S. holder of the Warrants or our Common Stock. For this purpose, you are a “non-U.S. holder” if you are not a U.S. holder as defined above. Special rules may apply to certain non-U.S. holders such as “controlled foreign corporations,” “passive foreign investment companies,” individuals present in the United States for 183 days or more in the taxable year of disposition (but who are not U.S. residents) or, in certain circumstances, individuals who are former U.S. citizens or residents.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Exchange of Warrants For Common Stock</w:t>
      </w:r>
    </w:p>
    <w:p>
      <w:pPr>
        <w:spacing w:after="0" w:line="223"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Your exchange of Warrants for our Common Stock pursuant to the Offer, and the treatment of Warrants not exchanged for shares of Common Stock in the Offer (assuming the Warrant Amendment is approved) should generally have the same tax consequences as described above for U.S. holders (other than for foreign tax credit purposes). Assuming you are not engaged the conduct of a trade or business within the U.S., capital gain or loss you recognize with respect to the receipt of cash in lieu of fractional shares should not be subject to U.S. federal income tax, and you should not be required to make any U.S. federal income tax filings solely on account of the exchange of Warrants for our Common Stock or the receipt of cash in lieu of fractional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Ownership and Disposition of Common Stock</w:t>
      </w:r>
    </w:p>
    <w:p>
      <w:pPr>
        <w:spacing w:after="0" w:line="223"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We do not anticipate paying dividends on our Common Stock. Distributions treated as dividends (as described above under “Tax Consequences to U.S.</w:t>
      </w:r>
      <w:r>
        <w:rPr>
          <w:rFonts w:ascii="Arial" w:cs="Arial" w:eastAsia="Arial" w:hAnsi="Arial"/>
          <w:sz w:val="17"/>
          <w:szCs w:val="17"/>
          <w:i w:val="1"/>
          <w:iCs w:val="1"/>
          <w:color w:val="auto"/>
        </w:rPr>
        <w:t xml:space="preserve"> </w:t>
      </w:r>
      <w:r>
        <w:rPr>
          <w:rFonts w:ascii="Arial" w:cs="Arial" w:eastAsia="Arial" w:hAnsi="Arial"/>
          <w:sz w:val="17"/>
          <w:szCs w:val="17"/>
          <w:color w:val="auto"/>
        </w:rPr>
        <w:t>Holders—Ownership and Disposition of Common Stock—Dividends”) paid to a non-U.S. holder of shares of our Common Stock will generally be subject to withholding of U.S. federal income tax at a 30% rate or such lower rate as may be specified by an applicable income tax treaty. However, distributions that are effectively connected with the conduct by the non-U.S. holder of a trade or business within the United States (and, if a tax treaty applies, is attributable to a permanent establishment maintained by the non-U.S. holder in the United States) are not subject to the withholding tax, provided certain certification and disclosure requirements are satisfied. Instead, such distributions are subject to U.S. federal income tax on a net income basis in the same manner as if the non-U.S. holder were a United States person as defined under the Code, unless an applicable income tax treaty provides otherwise. Any such effectively connected dividends received by a foreign corporation may be subject to an additional “branch profits tax” at a 30% rate or such lower rate as may be specified by an applicable income tax treaty.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4" w:name="page55"/>
    <w:bookmarkEnd w:id="54"/>
    <w:p>
      <w:pPr>
        <w:spacing w:after="0" w:line="264" w:lineRule="auto"/>
        <w:rPr>
          <w:sz w:val="20"/>
          <w:szCs w:val="20"/>
          <w:color w:val="auto"/>
        </w:rPr>
      </w:pPr>
      <w:r>
        <w:rPr>
          <w:rFonts w:ascii="Arial" w:cs="Arial" w:eastAsia="Arial" w:hAnsi="Arial"/>
          <w:sz w:val="17"/>
          <w:szCs w:val="17"/>
          <w:color w:val="auto"/>
        </w:rPr>
        <w:t>For purposes of obtaining a reduced rate of withholding under an income tax treaty or an exemption from withholding for dividends effectively connected to a U.S. trade or business, a non-U.S. holder will generally be required to provide a U.S. taxpayer identification number as well as certain information concerning the holder’s country of residence and entitlement to tax benefits. A non-U.S. holder can generally meet the certification requirements by providing a properly executed IRS Form W-8BEN or W-8BEN-E (if the holder is claiming the benefits of an income tax treaty) or Form W-8ECI (if the dividends are effectively connected with a trade or business in the United States) or suitable substitute or successor form.</w:t>
      </w:r>
    </w:p>
    <w:p>
      <w:pPr>
        <w:spacing w:after="0" w:line="18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Sale or Exchange</w:t>
      </w:r>
      <w:r>
        <w:rPr>
          <w:rFonts w:ascii="Arial" w:cs="Arial" w:eastAsia="Arial" w:hAnsi="Arial"/>
          <w:sz w:val="17"/>
          <w:szCs w:val="17"/>
          <w:color w:val="auto"/>
        </w:rPr>
        <w:t>. A non-U.S. holder generally will not be subject to U.S. federal income or withholding tax on gain realized on the sale, exchange,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disposition of shares of our Common Stock except for (i) certain non-resident alien individuals that are present in the United States for 183 or more days in the taxable year of the sale or disposition, (ii) gain that is effectively connected with the conduct by the non-U.S. holder of a trade or business within the United States (and, if a tax treaty applies, is attributable to a permanent establishment maintained by the non-U.S. holder in the United States), (iii) non-U.S. holders that are subject to tax pursuant to certain provisions of U.S. federal income tax law applicable to certain expatriates, and (iv) gain if we are or have been a “United States real property holding corporation” for U.S. federal income tax purposes.</w:t>
      </w:r>
    </w:p>
    <w:p>
      <w:pPr>
        <w:spacing w:after="0" w:line="18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Gain that is treated as effectively connected with a trade or business within the United States will be subject to U.S. federal income tax on a net income basis in the same manner as if the non-U.S. holder were a United States person as defined under the Code, unless an applicable income tax treaty provides otherwise. Any such effectively connected gain realized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would not be treated as a “United States real property holding corporation” if less than 50% of our assets throughout a prescribed testing period consist of interests in real property located within the United States, excluding, for this purpose, interest in real property solely in a capacity as a creditor. We believe that we are not currently and do not anticipate becoming a “United States real property holding corporation” for U.S. federal income tax purposes.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22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Information returns will be filed with the IRS reporting payments of dividends on shares of our common stock and the amount of tax, if any, withheld with respect to those payments. Copies of information returns reporting such dividends and withholding may also be made available to the tax authorities in the country in which a non-U.S. holder resides under the provisions of an applicable income tax treaty. Unless the non-U.S. holder complies with certification procedures to establish that it is not a U.S. person, information returns may be filed with the IRS in connection with the proceeds from a sale or other disposition of shares of our common stock and the non-U.S. holder may be subject to U.S. backup withholding on dividend payments on shares of our common stock or on the proceeds from a sale or other disposition of shares of our common stock. Satisfaction of the certification procedures required to claim a reduced rate of or exemption from withholding under the rules described above under “Tax Consequences to Non-U.S. Holders—Ownership and Disposition of Common Stock—Dividends” will satisfy the certification requirements necessary to avoid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 Non-U.S. holders are urged to consult their own tax advisors regarding the application of backup withholding in their particular circumstances and the availability of and procedure for obtaining an exemption from backup withholding under current Treasury regulations.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Additional Withholding Tax Relating to Foreign Accounts</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dividends on, and gross proceeds from the sale or other disposition of, shares of our common stock paid to a foreign financial institution or to a nonfinancial foreign entity (including any intermediaries through which such shares of our common stock are held), unless (1) the foreign financial institution and the intermediary, as applicable, undertake certain diligence and reporting, (2) the nonfinancial foreign entity either certifies that it does not have any substantial United States owners or furnish identifying information regarding each substantial United States owner, or (3) the foreign financial institution or non-financial foreign entity and the intermediary, as applicable, otherwise qualifies for an exemption from these rules. If the payee, including an intermediary, is a foreign financial institution and is subject to the diligence and reporting requirements in clause (1) above, it must enter into an agreement with the U.S.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entered into an intergovernmental agreement with the United States governing these withholding taxes and reporting requirements may be subject to different rules.</w:t>
      </w:r>
    </w:p>
    <w:p>
      <w:pPr>
        <w:spacing w:after="0" w:line="175"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The preceding discussion of certain U.S. federal income tax consequences is for general information only and is not tax advice. Accordingly, each investor should consult its own tax advisor as to particular tax consequences to it of purchasing, holding and disposing of shares of our common stock, including the applicability and effect of any U.S. state, local or non-U.S. tax laws, and of any pending or subsequent changes in applicable 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depositary and exchange agent for the Offer and Consent Solicitation is:</w:t>
      </w:r>
    </w:p>
    <w:p>
      <w:pPr>
        <w:spacing w:after="0" w:line="22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American Stock Transfer &amp; Trust Company, LLC</w:t>
      </w:r>
    </w:p>
    <w:p>
      <w:pPr>
        <w:spacing w:after="0" w:line="26"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6201 15th Avenue</w:t>
      </w:r>
    </w:p>
    <w:p>
      <w:pPr>
        <w:spacing w:after="0" w:line="14"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Brooklyn, NY 11219</w:t>
      </w:r>
    </w:p>
    <w:p>
      <w:pPr>
        <w:spacing w:after="0" w:line="14"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Tel: (718) 921-8200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Amendments</w:t>
      </w:r>
    </w:p>
    <w:p>
      <w:pPr>
        <w:spacing w:after="0" w:line="229"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We have filed with the SEC a Tender Offer Statement on Schedule TO, of which this Prospectus/Offer to Exchange is a part. We recommend that Warrant holders review the Schedule TO, including the exhibits, and our other materials that have been filed with the SEC before making a decision on whether to accept the Offer and Consent Solicitation.</w:t>
      </w:r>
    </w:p>
    <w:p>
      <w:pPr>
        <w:spacing w:after="0" w:line="1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will assess whether we are permitted to make the Offer and Consent Solicitation in all jurisdictions. If we determine that we are not legally able to make the Offer and Consent Solicitation in a particular jurisdiction, we will inform Warrant holders of this decision. The Offer and Consent Solicitation is not made to those holders who reside in any jurisdiction where the offer or solicitation would be unlawful.</w:t>
      </w:r>
    </w:p>
    <w:p>
      <w:pPr>
        <w:spacing w:after="0" w:line="173"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Our board of directors recognizes that the decision to accept or reject the Offer and Consent Solicitation is an individual one that should be based on a variety of factors and Warrant holders should consult with personal advisors if they have questions about their financial or tax situation.</w:t>
      </w:r>
    </w:p>
    <w:p>
      <w:pPr>
        <w:spacing w:after="0" w:line="15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We are subject to the information requirements of the Exchange Act and in accordance therewith file and furnish reports and other information with the SEC. All reports and other documents we have filed or furnished with the SEC, including the registration statement on Form S-4 relating to the Offer and Consent Solicitation, or will file or furnish with the SEC in the future, can be accessed electronically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56" w:name="page57"/>
    <w:bookmarkEnd w:id="56"/>
    <w:p>
      <w:pPr>
        <w:spacing w:after="0" w:line="272" w:lineRule="auto"/>
        <w:rPr>
          <w:sz w:val="20"/>
          <w:szCs w:val="20"/>
          <w:color w:val="auto"/>
        </w:rPr>
      </w:pPr>
      <w:r>
        <w:rPr>
          <w:rFonts w:ascii="Arial" w:cs="Arial" w:eastAsia="Arial" w:hAnsi="Arial"/>
          <w:sz w:val="17"/>
          <w:szCs w:val="17"/>
          <w:color w:val="auto"/>
        </w:rPr>
        <w:t>If you have any questions regarding the Offer and Consent Solicitation or need assistance, you should contact the information agent for the Offer and Consent Solicitation. You may request additional copies of this document, the Letter of Transmittal and Consent or the Notice of Guaranteed Delivery from the information agent. All such questions or requests should be directed to:</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D.F. King &amp; Co., Inc.</w:t>
      </w:r>
    </w:p>
    <w:p>
      <w:pPr>
        <w:ind w:left="4800"/>
        <w:spacing w:after="0" w:line="198"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Email: PRTH@dfking.com</w:t>
      </w:r>
    </w:p>
    <w:p>
      <w:pPr>
        <w:spacing w:after="0" w:line="21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We will amend our offering materials, including this Prospectus/Offer to Exchange, to the extent required by applicable securities laws to disclose any material changes to information previously published, sent or given by us to Warrant holders in connection with the Offer and Consent Solicitation.</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SELECTED FINANCIAL INFORMATION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following table sets forth selected historical financial information derived from (i) our unaudited condensed financial statements as of September 30, 2018 and the nine-month periods ended September 30, 2018 and 2017 included elsewhere in this Prospectus/Offer to Exchange and (ii) our audited financial statements included elsewhere in this Prospectus/Offer to Exchange as of December 31, 2017 and 2016 and for the years ended December 31, 2017, 2016 and 2015. You should read the following selected financial data in conjunction with the sections entitled “Management’s Discussion and Analysis of Financial Condition and Results of Operations” and the financial statements and the related notes appearing elsewhere in this Prospectus/Offer to Exchange and any applicable prospectus supplement.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5"/>
          </w:tcPr>
          <w:p>
            <w:pPr>
              <w:jc w:val="right"/>
              <w:ind w:right="558"/>
              <w:spacing w:after="0"/>
              <w:rPr>
                <w:sz w:val="20"/>
                <w:szCs w:val="20"/>
                <w:color w:val="auto"/>
              </w:rPr>
            </w:pPr>
            <w:r>
              <w:rPr>
                <w:rFonts w:ascii="Arial" w:cs="Arial" w:eastAsia="Arial" w:hAnsi="Arial"/>
                <w:sz w:val="17"/>
                <w:szCs w:val="17"/>
                <w:b w:val="1"/>
                <w:bCs w:val="1"/>
                <w:color w:val="auto"/>
                <w:w w:val="97"/>
              </w:rPr>
              <w:t>For the nine months ended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b w:val="1"/>
                <w:bCs w:val="1"/>
                <w:color w:val="auto"/>
              </w:rPr>
              <w:t>For the year ended 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20" w:type="dxa"/>
            <w:vAlign w:val="bottom"/>
            <w:gridSpan w:val="3"/>
          </w:tcPr>
          <w:p>
            <w:pPr>
              <w:spacing w:after="0"/>
              <w:rPr>
                <w:sz w:val="20"/>
                <w:szCs w:val="20"/>
                <w:color w:val="auto"/>
              </w:rPr>
            </w:pPr>
            <w:r>
              <w:rPr>
                <w:rFonts w:ascii="Arial" w:cs="Arial" w:eastAsia="Arial" w:hAnsi="Arial"/>
                <w:sz w:val="17"/>
                <w:szCs w:val="17"/>
                <w:b w:val="1"/>
                <w:bCs w:val="1"/>
                <w:color w:val="auto"/>
              </w:rPr>
              <w:t>(in thousands except per share amounts)</w:t>
            </w:r>
          </w:p>
        </w:tc>
        <w:tc>
          <w:tcPr>
            <w:tcW w:w="240" w:type="dxa"/>
            <w:vAlign w:val="bottom"/>
          </w:tcPr>
          <w:p>
            <w:pPr>
              <w:spacing w:after="0"/>
              <w:rPr>
                <w:sz w:val="18"/>
                <w:szCs w:val="18"/>
                <w:color w:val="auto"/>
              </w:rPr>
            </w:pPr>
          </w:p>
        </w:tc>
        <w:tc>
          <w:tcPr>
            <w:tcW w:w="1040" w:type="dxa"/>
            <w:vAlign w:val="bottom"/>
          </w:tcPr>
          <w:p>
            <w:pPr>
              <w:jc w:val="right"/>
              <w:ind w:right="39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393"/>
              <w:spacing w:after="0"/>
              <w:rPr>
                <w:sz w:val="20"/>
                <w:szCs w:val="20"/>
                <w:color w:val="auto"/>
              </w:rPr>
            </w:pPr>
            <w:r>
              <w:rPr>
                <w:rFonts w:ascii="Arial" w:cs="Arial" w:eastAsia="Arial" w:hAnsi="Arial"/>
                <w:sz w:val="17"/>
                <w:szCs w:val="17"/>
                <w:b w:val="1"/>
                <w:bCs w:val="1"/>
                <w:color w:val="auto"/>
                <w:w w:val="95"/>
              </w:rPr>
              <w:t>2017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9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37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Merchant card fees revenue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299,661</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286,208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398,988</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321,091</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268,221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80"/>
              <w:spacing w:after="0"/>
              <w:rPr>
                <w:sz w:val="20"/>
                <w:szCs w:val="20"/>
                <w:color w:val="auto"/>
              </w:rPr>
            </w:pPr>
            <w:r>
              <w:rPr>
                <w:rFonts w:ascii="Arial" w:cs="Arial" w:eastAsia="Arial" w:hAnsi="Arial"/>
                <w:sz w:val="17"/>
                <w:szCs w:val="17"/>
                <w:color w:val="auto"/>
              </w:rPr>
              <w:t>Outsourced services revenue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18,426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17,135</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23,308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20,061</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14,815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revenue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5,862</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2,306</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3,323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2,962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2"/>
        </w:trPr>
        <w:tc>
          <w:tcPr>
            <w:tcW w:w="4120" w:type="dxa"/>
            <w:vAlign w:val="bottom"/>
            <w:gridSpan w:val="3"/>
          </w:tcPr>
          <w:p>
            <w:pPr>
              <w:spacing w:after="0"/>
              <w:rPr>
                <w:sz w:val="20"/>
                <w:szCs w:val="20"/>
                <w:color w:val="auto"/>
              </w:rPr>
            </w:pPr>
            <w:r>
              <w:rPr>
                <w:rFonts w:ascii="Arial" w:cs="Arial" w:eastAsia="Arial" w:hAnsi="Arial"/>
                <w:sz w:val="17"/>
                <w:szCs w:val="17"/>
                <w:color w:val="auto"/>
              </w:rPr>
              <w:t>Total revenue</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323,949</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305,649</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425,619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344,114</w:t>
            </w:r>
          </w:p>
        </w:tc>
        <w:tc>
          <w:tcPr>
            <w:tcW w:w="2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Costs of merchant card fees</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230,276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219,507</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305,461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243,049</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199,067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13,518</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11,285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15,743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13,971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Salary and employee benefits</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28,406</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24,356</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32,357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32,330</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27,258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11,254</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14,674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14,733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13,978</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7,214</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9,088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7,790</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(410)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(2,665)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9"/>
                <w:szCs w:val="19"/>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10,449</w:t>
            </w:r>
          </w:p>
        </w:tc>
        <w:tc>
          <w:tcPr>
            <w:tcW w:w="420" w:type="dxa"/>
            <w:vAlign w:val="bottom"/>
          </w:tcPr>
          <w:p>
            <w:pPr>
              <w:spacing w:after="0"/>
              <w:rPr>
                <w:sz w:val="19"/>
                <w:szCs w:val="19"/>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8,143</w:t>
            </w:r>
          </w:p>
        </w:tc>
        <w:tc>
          <w:tcPr>
            <w:tcW w:w="260" w:type="dxa"/>
            <w:vAlign w:val="bottom"/>
          </w:tcPr>
          <w:p>
            <w:pPr>
              <w:spacing w:after="0"/>
              <w:rPr>
                <w:sz w:val="19"/>
                <w:szCs w:val="19"/>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13,457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9,066</w:t>
            </w:r>
          </w:p>
        </w:tc>
        <w:tc>
          <w:tcPr>
            <w:tcW w:w="380" w:type="dxa"/>
            <w:vAlign w:val="bottom"/>
          </w:tcPr>
          <w:p>
            <w:pPr>
              <w:spacing w:after="0"/>
              <w:rPr>
                <w:sz w:val="19"/>
                <w:szCs w:val="19"/>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309,306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281,349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390,370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318,274</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Operating income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14,643</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35,249</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25,840</w:t>
            </w:r>
          </w:p>
        </w:tc>
        <w:tc>
          <w:tcPr>
            <w:tcW w:w="2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Interest and other income</w:t>
            </w:r>
          </w:p>
        </w:tc>
        <w:tc>
          <w:tcPr>
            <w:tcW w:w="240" w:type="dxa"/>
            <w:vAlign w:val="bottom"/>
          </w:tcPr>
          <w:p>
            <w:pPr>
              <w:spacing w:after="0"/>
              <w:rPr>
                <w:sz w:val="18"/>
                <w:szCs w:val="18"/>
                <w:color w:val="auto"/>
              </w:rPr>
            </w:pP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530</w:t>
            </w:r>
          </w:p>
        </w:tc>
        <w:tc>
          <w:tcPr>
            <w:tcW w:w="420" w:type="dxa"/>
            <w:vAlign w:val="bottom"/>
          </w:tcPr>
          <w:p>
            <w:pPr>
              <w:spacing w:after="0"/>
              <w:rPr>
                <w:sz w:val="18"/>
                <w:szCs w:val="18"/>
                <w:color w:val="auto"/>
              </w:rPr>
            </w:pP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448</w:t>
            </w:r>
          </w:p>
        </w:tc>
        <w:tc>
          <w:tcPr>
            <w:tcW w:w="260" w:type="dxa"/>
            <w:vAlign w:val="bottom"/>
          </w:tcPr>
          <w:p>
            <w:pPr>
              <w:spacing w:after="0"/>
              <w:rPr>
                <w:sz w:val="18"/>
                <w:szCs w:val="18"/>
                <w:color w:val="auto"/>
              </w:rPr>
            </w:pP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637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488</w:t>
            </w:r>
          </w:p>
        </w:tc>
        <w:tc>
          <w:tcPr>
            <w:tcW w:w="3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and other expense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(26,674)</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(21,808)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(5,980)</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Equity in loss of unconsolidated entities</w:t>
            </w:r>
          </w:p>
        </w:tc>
        <w:tc>
          <w:tcPr>
            <w:tcW w:w="240" w:type="dxa"/>
            <w:vAlign w:val="bottom"/>
          </w:tcPr>
          <w:p>
            <w:pPr>
              <w:spacing w:after="0"/>
              <w:rPr>
                <w:sz w:val="19"/>
                <w:szCs w:val="19"/>
                <w:color w:val="auto"/>
              </w:rPr>
            </w:pPr>
          </w:p>
        </w:tc>
        <w:tc>
          <w:tcPr>
            <w:tcW w:w="1260" w:type="dxa"/>
            <w:vAlign w:val="bottom"/>
            <w:gridSpan w:val="2"/>
          </w:tcPr>
          <w:p>
            <w:pPr>
              <w:jc w:val="right"/>
              <w:ind w:right="7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9"/>
                <w:szCs w:val="19"/>
                <w:color w:val="auto"/>
              </w:rPr>
            </w:pPr>
          </w:p>
        </w:tc>
        <w:tc>
          <w:tcPr>
            <w:tcW w:w="1100" w:type="dxa"/>
            <w:vAlign w:val="bottom"/>
            <w:gridSpan w:val="2"/>
          </w:tcPr>
          <w:p>
            <w:pPr>
              <w:jc w:val="right"/>
              <w:ind w:right="98"/>
              <w:spacing w:after="0"/>
              <w:rPr>
                <w:sz w:val="20"/>
                <w:szCs w:val="20"/>
                <w:color w:val="auto"/>
              </w:rPr>
            </w:pPr>
            <w:r>
              <w:rPr>
                <w:rFonts w:ascii="Arial" w:cs="Arial" w:eastAsia="Arial" w:hAnsi="Arial"/>
                <w:sz w:val="17"/>
                <w:szCs w:val="17"/>
                <w:color w:val="auto"/>
              </w:rPr>
              <w:t>(221)</w:t>
            </w: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78"/>
              <w:spacing w:after="0"/>
              <w:rPr>
                <w:sz w:val="20"/>
                <w:szCs w:val="20"/>
                <w:color w:val="auto"/>
              </w:rPr>
            </w:pPr>
            <w:r>
              <w:rPr>
                <w:rFonts w:ascii="Arial" w:cs="Arial" w:eastAsia="Arial" w:hAnsi="Arial"/>
                <w:sz w:val="17"/>
                <w:szCs w:val="17"/>
                <w:color w:val="auto"/>
              </w:rPr>
              <w:t>(162)</w:t>
            </w: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other expenses</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(21,581</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(30,655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(5,654</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(11,367</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2,719</w:t>
            </w:r>
          </w:p>
        </w:tc>
        <w:tc>
          <w:tcPr>
            <w:tcW w:w="240" w:type="dxa"/>
            <w:vAlign w:val="bottom"/>
          </w:tcPr>
          <w:p>
            <w:pPr>
              <w:spacing w:after="0"/>
              <w:rPr>
                <w:sz w:val="20"/>
                <w:szCs w:val="20"/>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4,594</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20,186</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color w:val="auto"/>
              </w:rPr>
              <w:t>Basic (loss) earnings per share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shd w:val="clear" w:color="auto" w:fill="CCEEFF"/>
          </w:tcPr>
          <w:p>
            <w:pPr>
              <w:spacing w:after="0" w:line="20" w:lineRule="exact"/>
              <w:rPr>
                <w:sz w:val="1"/>
                <w:szCs w:val="1"/>
                <w:color w:val="auto"/>
              </w:rPr>
            </w:pPr>
          </w:p>
        </w:tc>
        <w:tc>
          <w:tcPr>
            <w:tcW w:w="80" w:type="dxa"/>
            <w:vAlign w:val="bottom"/>
            <w:tcBorders>
              <w:top w:val="single" w:sz="8" w:color="CCEEFF"/>
            </w:tcBorders>
            <w:vMerge w:val="restart"/>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78"/>
              <w:spacing w:after="0" w:line="189" w:lineRule="exact"/>
              <w:rPr>
                <w:sz w:val="20"/>
                <w:szCs w:val="20"/>
                <w:color w:val="auto"/>
              </w:rPr>
            </w:pPr>
            <w:r>
              <w:rPr>
                <w:rFonts w:ascii="Arial" w:cs="Arial" w:eastAsia="Arial" w:hAnsi="Arial"/>
                <w:sz w:val="17"/>
                <w:szCs w:val="17"/>
                <w:color w:val="auto"/>
              </w:rPr>
              <w:t>(0.19)</w:t>
            </w:r>
          </w:p>
        </w:tc>
        <w:tc>
          <w:tcPr>
            <w:tcW w:w="420" w:type="dxa"/>
            <w:vAlign w:val="bottom"/>
            <w:shd w:val="clear" w:color="auto" w:fill="CCEEFF"/>
          </w:tcPr>
          <w:p>
            <w:pPr>
              <w:jc w:val="right"/>
              <w:ind w:right="23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0.04</w:t>
            </w:r>
          </w:p>
        </w:tc>
        <w:tc>
          <w:tcPr>
            <w:tcW w:w="2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0.06</w:t>
            </w:r>
          </w:p>
        </w:tc>
        <w:tc>
          <w:tcPr>
            <w:tcW w:w="14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3"/>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0.15</w:t>
            </w:r>
          </w:p>
        </w:tc>
        <w:tc>
          <w:tcPr>
            <w:tcW w:w="22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0.07</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Diluted (loss) earnings per share</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78"/>
              <w:spacing w:after="0"/>
              <w:rPr>
                <w:sz w:val="20"/>
                <w:szCs w:val="20"/>
                <w:color w:val="auto"/>
              </w:rPr>
            </w:pPr>
            <w:r>
              <w:rPr>
                <w:rFonts w:ascii="Arial" w:cs="Arial" w:eastAsia="Arial" w:hAnsi="Arial"/>
                <w:sz w:val="17"/>
                <w:szCs w:val="17"/>
                <w:color w:val="auto"/>
              </w:rPr>
              <w:t>(0.19)</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0.04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0.06</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0.15</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Statements of cash flow data;</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Operating activities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24,836</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8"/>
              <w:spacing w:after="0"/>
              <w:rPr>
                <w:sz w:val="20"/>
                <w:szCs w:val="20"/>
                <w:color w:val="auto"/>
              </w:rPr>
            </w:pPr>
            <w:r>
              <w:rPr>
                <w:rFonts w:ascii="Arial" w:cs="Arial" w:eastAsia="Arial" w:hAnsi="Arial"/>
                <w:sz w:val="17"/>
                <w:szCs w:val="17"/>
                <w:color w:val="auto"/>
              </w:rPr>
              <w:t>28,979</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8"/>
              <w:spacing w:after="0"/>
              <w:rPr>
                <w:sz w:val="20"/>
                <w:szCs w:val="20"/>
                <w:color w:val="auto"/>
              </w:rPr>
            </w:pPr>
            <w:r>
              <w:rPr>
                <w:rFonts w:ascii="Arial" w:cs="Arial" w:eastAsia="Arial" w:hAnsi="Arial"/>
                <w:sz w:val="17"/>
                <w:szCs w:val="17"/>
                <w:color w:val="auto"/>
              </w:rPr>
              <w:t>36,869</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38"/>
              <w:spacing w:after="0"/>
              <w:rPr>
                <w:sz w:val="20"/>
                <w:szCs w:val="20"/>
                <w:color w:val="auto"/>
              </w:rPr>
            </w:pPr>
            <w:r>
              <w:rPr>
                <w:rFonts w:ascii="Arial" w:cs="Arial" w:eastAsia="Arial" w:hAnsi="Arial"/>
                <w:sz w:val="17"/>
                <w:szCs w:val="17"/>
                <w:color w:val="auto"/>
              </w:rPr>
              <w:t>22,275</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25,308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(42,345)</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(7,350)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(9,037)</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(6,362)</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(31,888)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7"/>
                <w:szCs w:val="17"/>
                <w:color w:val="auto"/>
              </w:rPr>
              <w:t>Financing activities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138"/>
              <w:spacing w:after="0"/>
              <w:rPr>
                <w:sz w:val="20"/>
                <w:szCs w:val="20"/>
                <w:color w:val="auto"/>
              </w:rPr>
            </w:pPr>
            <w:r>
              <w:rPr>
                <w:rFonts w:ascii="Arial" w:cs="Arial" w:eastAsia="Arial" w:hAnsi="Arial"/>
                <w:sz w:val="17"/>
                <w:szCs w:val="17"/>
                <w:color w:val="auto"/>
              </w:rPr>
              <w:t>8,827</w:t>
            </w:r>
          </w:p>
        </w:tc>
        <w:tc>
          <w:tcPr>
            <w:tcW w:w="420" w:type="dxa"/>
            <w:vAlign w:val="bottom"/>
          </w:tcPr>
          <w:p>
            <w:pPr>
              <w:jc w:val="right"/>
              <w:ind w:right="23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98"/>
              <w:spacing w:after="0"/>
              <w:rPr>
                <w:sz w:val="20"/>
                <w:szCs w:val="20"/>
                <w:color w:val="auto"/>
              </w:rPr>
            </w:pPr>
            <w:r>
              <w:rPr>
                <w:rFonts w:ascii="Arial" w:cs="Arial" w:eastAsia="Arial" w:hAnsi="Arial"/>
                <w:sz w:val="17"/>
                <w:szCs w:val="17"/>
                <w:color w:val="auto"/>
              </w:rPr>
              <w:t>(24,875)</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(25,375)</w:t>
            </w:r>
          </w:p>
        </w:tc>
        <w:tc>
          <w:tcPr>
            <w:tcW w:w="340" w:type="dxa"/>
            <w:vAlign w:val="bottom"/>
            <w:gridSpan w:val="2"/>
          </w:tcPr>
          <w:p>
            <w:pPr>
              <w:jc w:val="right"/>
              <w:ind w:right="73"/>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8"/>
              <w:spacing w:after="0"/>
              <w:rPr>
                <w:sz w:val="20"/>
                <w:szCs w:val="20"/>
                <w:color w:val="auto"/>
              </w:rPr>
            </w:pPr>
            <w:r>
              <w:rPr>
                <w:rFonts w:ascii="Arial" w:cs="Arial" w:eastAsia="Arial" w:hAnsi="Arial"/>
                <w:sz w:val="17"/>
                <w:szCs w:val="17"/>
                <w:color w:val="auto"/>
              </w:rPr>
              <w:t>(10,548)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
              <w:spacing w:after="0"/>
              <w:rPr>
                <w:sz w:val="20"/>
                <w:szCs w:val="20"/>
                <w:color w:val="auto"/>
              </w:rPr>
            </w:pPr>
            <w:r>
              <w:rPr>
                <w:rFonts w:ascii="Arial" w:cs="Arial" w:eastAsia="Arial" w:hAnsi="Arial"/>
                <w:sz w:val="17"/>
                <w:szCs w:val="17"/>
                <w:color w:val="auto"/>
              </w:rPr>
              <w:t>18,714</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700" w:type="dxa"/>
            <w:vAlign w:val="bottom"/>
            <w:gridSpan w:val="3"/>
          </w:tcPr>
          <w:p>
            <w:pPr>
              <w:spacing w:after="0"/>
              <w:rPr>
                <w:sz w:val="20"/>
                <w:szCs w:val="20"/>
                <w:color w:val="auto"/>
              </w:rPr>
            </w:pPr>
            <w:r>
              <w:rPr>
                <w:rFonts w:ascii="Arial" w:cs="Arial" w:eastAsia="Arial" w:hAnsi="Arial"/>
                <w:sz w:val="17"/>
                <w:szCs w:val="17"/>
                <w:b w:val="1"/>
                <w:bCs w:val="1"/>
                <w:color w:val="auto"/>
              </w:rPr>
              <w:t>As of September 30,</w:t>
            </w:r>
          </w:p>
        </w:tc>
        <w:tc>
          <w:tcPr>
            <w:tcW w:w="320" w:type="dxa"/>
            <w:vAlign w:val="bottom"/>
          </w:tcPr>
          <w:p>
            <w:pPr>
              <w:spacing w:after="0"/>
              <w:rPr>
                <w:sz w:val="19"/>
                <w:szCs w:val="19"/>
                <w:color w:val="auto"/>
              </w:rPr>
            </w:pPr>
          </w:p>
        </w:tc>
        <w:tc>
          <w:tcPr>
            <w:tcW w:w="2300" w:type="dxa"/>
            <w:vAlign w:val="bottom"/>
            <w:gridSpan w:val="6"/>
          </w:tcPr>
          <w:p>
            <w:pPr>
              <w:ind w:left="220"/>
              <w:spacing w:after="0"/>
              <w:rPr>
                <w:sz w:val="20"/>
                <w:szCs w:val="20"/>
                <w:color w:val="auto"/>
              </w:rPr>
            </w:pPr>
            <w:r>
              <w:rPr>
                <w:rFonts w:ascii="Arial" w:cs="Arial" w:eastAsia="Arial" w:hAnsi="Arial"/>
                <w:sz w:val="17"/>
                <w:szCs w:val="17"/>
                <w:b w:val="1"/>
                <w:bCs w:val="1"/>
                <w:color w:val="auto"/>
              </w:rPr>
              <w:t>As of December 31,</w:t>
            </w:r>
          </w:p>
        </w:tc>
      </w:tr>
      <w:tr>
        <w:trPr>
          <w:trHeight w:val="203"/>
        </w:trPr>
        <w:tc>
          <w:tcPr>
            <w:tcW w:w="402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2018</w:t>
            </w:r>
          </w:p>
        </w:tc>
        <w:tc>
          <w:tcPr>
            <w:tcW w:w="2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2016</w:t>
            </w:r>
          </w:p>
        </w:tc>
        <w:tc>
          <w:tcPr>
            <w:tcW w:w="40" w:type="dxa"/>
            <w:vAlign w:val="bottom"/>
            <w:tcBorders>
              <w:bottom w:val="single" w:sz="8" w:color="CCEEFF"/>
            </w:tcBorders>
          </w:tcPr>
          <w:p>
            <w:pPr>
              <w:spacing w:after="0"/>
              <w:rPr>
                <w:sz w:val="17"/>
                <w:szCs w:val="17"/>
                <w:color w:val="auto"/>
              </w:rPr>
            </w:pPr>
          </w:p>
        </w:tc>
      </w:tr>
      <w:tr>
        <w:trPr>
          <w:trHeight w:val="202"/>
        </w:trPr>
        <w:tc>
          <w:tcPr>
            <w:tcW w:w="4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3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3400" w:type="dxa"/>
            <w:vAlign w:val="bottom"/>
            <w:gridSpan w:val="2"/>
          </w:tcPr>
          <w:p>
            <w:pPr>
              <w:ind w:left="308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17,203</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27,966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32,279</w:t>
            </w: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3400" w:type="dxa"/>
            <w:vAlign w:val="bottom"/>
            <w:gridSpan w:val="2"/>
            <w:shd w:val="clear" w:color="auto" w:fill="CCEEFF"/>
          </w:tcPr>
          <w:p>
            <w:pPr>
              <w:ind w:left="30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327,306</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266,707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256,050</w:t>
            </w:r>
          </w:p>
        </w:tc>
      </w:tr>
      <w:tr>
        <w:trPr>
          <w:trHeight w:val="209"/>
        </w:trPr>
        <w:tc>
          <w:tcPr>
            <w:tcW w:w="4020" w:type="dxa"/>
            <w:vAlign w:val="bottom"/>
          </w:tcPr>
          <w:p>
            <w:pPr>
              <w:spacing w:after="0"/>
              <w:rPr>
                <w:sz w:val="20"/>
                <w:szCs w:val="20"/>
                <w:color w:val="auto"/>
              </w:rPr>
            </w:pPr>
            <w:r>
              <w:rPr>
                <w:rFonts w:ascii="Arial" w:cs="Arial" w:eastAsia="Arial" w:hAnsi="Arial"/>
                <w:sz w:val="17"/>
                <w:szCs w:val="17"/>
                <w:color w:val="auto"/>
              </w:rPr>
              <w:t>Total liabilities</w:t>
            </w: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409,698</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7"/>
                <w:szCs w:val="17"/>
                <w:color w:val="auto"/>
              </w:rPr>
              <w:t>356,862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140,043</w:t>
            </w:r>
          </w:p>
        </w:tc>
      </w:tr>
      <w:tr>
        <w:trPr>
          <w:trHeight w:val="209"/>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equity (deficit)</w:t>
            </w:r>
          </w:p>
        </w:tc>
        <w:tc>
          <w:tcPr>
            <w:tcW w:w="3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(82,392)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(90,155)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116,007</w:t>
            </w:r>
          </w:p>
        </w:tc>
      </w:tr>
      <w:tr>
        <w:trPr>
          <w:trHeight w:val="542"/>
        </w:trPr>
        <w:tc>
          <w:tcPr>
            <w:tcW w:w="40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213"/>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unaudited pro forma condensed combined statements of operations for the nine months ended September 30, 2018 and year ended December 31, 2017 present pro forma effects of the Business Combination and the related proposed equity commitments as if they had been completed on January 1, 2017. The unaudited pro forma condensed combined statement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unaudited pro forma condensed combined statements of operations do not necessarily reflect what the Company’s results of operations would have been had the acquisition occurred on the dates indicated. The unaudited pro forma condensed combined statements of operations also may not be useful in predicting the future results of operations of the Company. The actual financial results of operations may differ significantly from the pro forma amounts reflected herein due to a variety of factors.</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Basis of Presentation,</w:t>
      </w:r>
      <w:r>
        <w:rPr>
          <w:rFonts w:ascii="Arial" w:cs="Arial" w:eastAsia="Arial" w:hAnsi="Arial"/>
          <w:sz w:val="17"/>
          <w:szCs w:val="17"/>
          <w:color w:val="auto"/>
        </w:rPr>
        <w:t xml:space="preserve"> to the Unaudited Pro Forma Condensed Combined Financial Information for information about the sources used to derive the unaudited pro forma financial information. The following discussion and analysis should also be read together with our audited consolidated financial statements and related notes for the years ended December 31, 2017, 2016 and 2015 and “Management’s Discussion and Analysis of Financial Condition and Results of Operations” included in elsewhere in this Prospectus/Offer to Exchange.</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Business Combination is accounted for as a reverse merger, with no goodwill or other intangible assets recorded, in accordance with GAAP. Under this method of accounting, M I is treated as the “acquired” company for financial reporting purposes. Accordingly, for accounting purposes, the Business Combination is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Priority Holdings, LLC has been determined to be the accounting acquirer based on evaluation of the following facts and circumstances:</w:t>
      </w:r>
    </w:p>
    <w:p>
      <w:pPr>
        <w:spacing w:after="0" w:line="223"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Priority Holdings, LLC stockholder group has the greatest voting interest in the combined entity of 92% after redemptions;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largest individual minority stockholder comes from Priority Holdings, LLC;</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combined company’s board of directors will initially consist of five directors, all of which will be selected by Priority Holdings, LLC;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Priority Holdings, LLC holds C-suite management roles for the combined company.</w:t>
      </w:r>
    </w:p>
    <w:p>
      <w:pPr>
        <w:spacing w:after="0" w:line="22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Other factors were considered, including size of the entities and the location of the combined company’s headquarters, noting that the preponderance of evidence as described above is indicative that Priority Holdings, LLC is the accounting acquirer in the Business Combination.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i w:val="1"/>
          <w:iCs w:val="1"/>
          <w:color w:val="auto"/>
        </w:rPr>
        <w:t>Description of the Business Combination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2018, M I and Priority Holdings, LLC consummated the Business Combination, under which M I acquired controlling interest in Priority Holdings, LLC. M I was subsequently renamed Priority Technology Holdings, Inc. The Business Combination was consummated pursuant to a contribution agreement, dated February 26, 2018, as amended and restated on March 26, 2018 and April 17, 2018 (the “Purchase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closing of the Business Combination, the Company and Goldman Sachs agreed to cancel the Goldman Sachs warrant and Goldman Sachs was paid cash of $12.7 million for the Goldman Sachs warrant. The Goldman Sachs warrant was a seven-year, zero exercise price warrant issued by Priority to Goldman Sachs in connection with the refinancing of Priority’s credit facility on January 3, 2017, as subsequently adjusted as a result of anti-dilution provisions in the Goldman Sachs warrant agreement triggered by Class A unit redemption of Priority, that entitled Goldman Sachs to exercise to receive 2.2% of Priority’s outstanding Class A Common Units at any time prior to expiration.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Pursuant to the Purchase Agreement, M I acquired 100% of the outstanding shares and equity interests of Priority Holdings, LLC in exchange for the issuance of 60.5 million M I shares. Concurrently with the Purchase Agreement, the founding stockholders of M I (the “Founders”) and Priority Holdings, LLC entered into the Founders Share Agreement, pursuant to which Priority Holdings, LLC purchased 421,107 of the units issued to the Founders in a private placement immediately prior to the M I IPO, and 453,210 shares of common stock of M I issued to the Founders, for an aggregate purchase price of approximately $2.1 million at the closing of the acquisition. In addition, pursuant to the Founders Share Agreement, the Founders forfeited 174,863 founder’s shares at the closing of the acquisition, which shares may be reissued to the Founders if one of the earn-outs described herein (and relating to the Purchase Agreement consideration) is achieved.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940" w:type="dxa"/>
            <w:vAlign w:val="bottom"/>
          </w:tcPr>
          <w:p>
            <w:pPr>
              <w:spacing w:after="0"/>
              <w:rPr>
                <w:sz w:val="20"/>
                <w:szCs w:val="20"/>
                <w:color w:val="auto"/>
              </w:rPr>
            </w:pPr>
            <w:r>
              <w:rPr>
                <w:rFonts w:ascii="Arial" w:cs="Arial" w:eastAsia="Arial" w:hAnsi="Arial"/>
                <w:sz w:val="17"/>
                <w:szCs w:val="17"/>
                <w:color w:val="auto"/>
              </w:rPr>
              <w:t>The following represents the merger consideration:</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9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 except per share amount</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42"/>
        </w:trPr>
        <w:tc>
          <w:tcPr>
            <w:tcW w:w="9940" w:type="dxa"/>
            <w:vAlign w:val="bottom"/>
            <w:shd w:val="clear" w:color="auto" w:fill="CCEEFF"/>
          </w:tcPr>
          <w:p>
            <w:pPr>
              <w:ind w:left="160"/>
              <w:spacing w:after="0" w:line="242" w:lineRule="exact"/>
              <w:rPr>
                <w:sz w:val="20"/>
                <w:szCs w:val="20"/>
                <w:color w:val="auto"/>
              </w:rPr>
            </w:pPr>
            <w:r>
              <w:rPr>
                <w:rFonts w:ascii="Arial" w:cs="Arial" w:eastAsia="Arial" w:hAnsi="Arial"/>
                <w:sz w:val="17"/>
                <w:szCs w:val="17"/>
                <w:color w:val="auto"/>
              </w:rPr>
              <w:t>Enterprise Value</w:t>
            </w:r>
            <w:r>
              <w:rPr>
                <w:rFonts w:ascii="Arial" w:cs="Arial" w:eastAsia="Arial" w:hAnsi="Arial"/>
                <w:sz w:val="28"/>
                <w:szCs w:val="28"/>
                <w:color w:val="auto"/>
                <w:vertAlign w:val="superscript"/>
              </w:rPr>
              <w:t>(1)</w:t>
            </w:r>
          </w:p>
        </w:tc>
        <w:tc>
          <w:tcPr>
            <w:tcW w:w="560" w:type="dxa"/>
            <w:vAlign w:val="bottom"/>
            <w:gridSpan w:val="2"/>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947.8</w:t>
            </w:r>
          </w:p>
        </w:tc>
      </w:tr>
      <w:tr>
        <w:trPr>
          <w:trHeight w:val="249"/>
        </w:trPr>
        <w:tc>
          <w:tcPr>
            <w:tcW w:w="9940" w:type="dxa"/>
            <w:vAlign w:val="bottom"/>
          </w:tcPr>
          <w:p>
            <w:pPr>
              <w:ind w:left="160"/>
              <w:spacing w:after="0" w:line="249" w:lineRule="exact"/>
              <w:rPr>
                <w:sz w:val="20"/>
                <w:szCs w:val="20"/>
                <w:color w:val="auto"/>
              </w:rPr>
            </w:pPr>
            <w:r>
              <w:rPr>
                <w:rFonts w:ascii="Arial" w:cs="Arial" w:eastAsia="Arial" w:hAnsi="Arial"/>
                <w:sz w:val="17"/>
                <w:szCs w:val="17"/>
                <w:color w:val="auto"/>
              </w:rPr>
              <w:t xml:space="preserve">Plus: Incremental Enterprise Value </w:t>
            </w:r>
            <w:r>
              <w:rPr>
                <w:rFonts w:ascii="Arial" w:cs="Arial" w:eastAsia="Arial" w:hAnsi="Arial"/>
                <w:sz w:val="28"/>
                <w:szCs w:val="28"/>
                <w:color w:val="auto"/>
                <w:vertAlign w:val="superscript"/>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13.1</w:t>
            </w:r>
          </w:p>
        </w:tc>
      </w:tr>
      <w:tr>
        <w:trPr>
          <w:trHeight w:val="249"/>
        </w:trPr>
        <w:tc>
          <w:tcPr>
            <w:tcW w:w="9940" w:type="dxa"/>
            <w:vAlign w:val="bottom"/>
            <w:shd w:val="clear" w:color="auto" w:fill="CCEEFF"/>
          </w:tcPr>
          <w:p>
            <w:pPr>
              <w:ind w:left="160"/>
              <w:spacing w:after="0" w:line="249" w:lineRule="exact"/>
              <w:rPr>
                <w:sz w:val="20"/>
                <w:szCs w:val="20"/>
                <w:color w:val="auto"/>
              </w:rPr>
            </w:pPr>
            <w:r>
              <w:rPr>
                <w:rFonts w:ascii="Arial" w:cs="Arial" w:eastAsia="Arial" w:hAnsi="Arial"/>
                <w:sz w:val="17"/>
                <w:szCs w:val="17"/>
                <w:color w:val="auto"/>
              </w:rPr>
              <w:t>Minus: Closing Indebtedness</w:t>
            </w:r>
            <w:r>
              <w:rPr>
                <w:rFonts w:ascii="Arial" w:cs="Arial" w:eastAsia="Arial" w:hAnsi="Arial"/>
                <w:sz w:val="28"/>
                <w:szCs w:val="28"/>
                <w:color w:val="auto"/>
                <w:vertAlign w:val="superscript"/>
              </w:rPr>
              <w:t>(3)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(351.7)</w:t>
            </w:r>
          </w:p>
        </w:tc>
      </w:tr>
      <w:tr>
        <w:trPr>
          <w:trHeight w:val="262"/>
        </w:trPr>
        <w:tc>
          <w:tcPr>
            <w:tcW w:w="9940" w:type="dxa"/>
            <w:vAlign w:val="bottom"/>
          </w:tcPr>
          <w:p>
            <w:pPr>
              <w:ind w:left="180"/>
              <w:spacing w:after="0" w:line="262" w:lineRule="exact"/>
              <w:rPr>
                <w:sz w:val="20"/>
                <w:szCs w:val="20"/>
                <w:color w:val="auto"/>
              </w:rPr>
            </w:pPr>
            <w:r>
              <w:rPr>
                <w:rFonts w:ascii="Arial" w:cs="Arial" w:eastAsia="Arial" w:hAnsi="Arial"/>
                <w:sz w:val="17"/>
                <w:szCs w:val="17"/>
                <w:color w:val="auto"/>
              </w:rPr>
              <w:t>Plus: Closing Cash</w:t>
            </w:r>
            <w:r>
              <w:rPr>
                <w:rFonts w:ascii="Arial" w:cs="Arial" w:eastAsia="Arial" w:hAnsi="Arial"/>
                <w:sz w:val="29"/>
                <w:szCs w:val="29"/>
                <w:color w:val="auto"/>
                <w:vertAlign w:val="superscript"/>
              </w:rPr>
              <w:t>(3)</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14.4</w:t>
            </w:r>
          </w:p>
        </w:tc>
      </w:tr>
      <w:tr>
        <w:trPr>
          <w:trHeight w:val="202"/>
        </w:trPr>
        <w:tc>
          <w:tcPr>
            <w:tcW w:w="9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Priority Equity Value ($) – at Closing</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623.6</w:t>
            </w:r>
          </w:p>
        </w:tc>
        <w:tc>
          <w:tcPr>
            <w:tcW w:w="100" w:type="dxa"/>
            <w:vAlign w:val="bottom"/>
            <w:tcBorders>
              <w:top w:val="single" w:sz="8" w:color="CCEEFF"/>
            </w:tcBorders>
            <w:shd w:val="clear" w:color="auto" w:fill="CCEEFF"/>
          </w:tcPr>
          <w:p>
            <w:pPr>
              <w:spacing w:after="0"/>
              <w:rPr>
                <w:sz w:val="17"/>
                <w:szCs w:val="17"/>
                <w:color w:val="auto"/>
              </w:rPr>
            </w:pPr>
          </w:p>
        </w:tc>
      </w:tr>
      <w:tr>
        <w:trPr>
          <w:trHeight w:val="242"/>
        </w:trPr>
        <w:tc>
          <w:tcPr>
            <w:tcW w:w="9940" w:type="dxa"/>
            <w:vAlign w:val="bottom"/>
          </w:tcPr>
          <w:p>
            <w:pPr>
              <w:ind w:left="160"/>
              <w:spacing w:after="0" w:line="242" w:lineRule="exact"/>
              <w:rPr>
                <w:sz w:val="20"/>
                <w:szCs w:val="20"/>
                <w:color w:val="auto"/>
              </w:rPr>
            </w:pPr>
            <w:r>
              <w:rPr>
                <w:rFonts w:ascii="Arial" w:cs="Arial" w:eastAsia="Arial" w:hAnsi="Arial"/>
                <w:sz w:val="17"/>
                <w:szCs w:val="17"/>
                <w:color w:val="auto"/>
              </w:rPr>
              <w:t>Divided by: $10.30/Share</w:t>
            </w:r>
            <w:r>
              <w:rPr>
                <w:rFonts w:ascii="Arial" w:cs="Arial" w:eastAsia="Arial" w:hAnsi="Arial"/>
                <w:sz w:val="28"/>
                <w:szCs w:val="28"/>
                <w:color w:val="auto"/>
                <w:vertAlign w:val="superscript"/>
              </w:rPr>
              <w:t>(1)</w:t>
            </w:r>
          </w:p>
        </w:tc>
        <w:tc>
          <w:tcPr>
            <w:tcW w:w="560" w:type="dxa"/>
            <w:vAlign w:val="bottom"/>
            <w:gridSpan w:val="2"/>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10.30</w:t>
            </w:r>
          </w:p>
        </w:tc>
      </w:tr>
      <w:tr>
        <w:trPr>
          <w:trHeight w:val="202"/>
        </w:trPr>
        <w:tc>
          <w:tcPr>
            <w:tcW w:w="9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Share Consideration – at Closing</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60.5</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223" w:lineRule="exact"/>
        <w:rPr>
          <w:sz w:val="20"/>
          <w:szCs w:val="20"/>
          <w:color w:val="auto"/>
        </w:rPr>
      </w:pP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Values obtained from the amended and restated Purchase Agreement.</w:t>
      </w:r>
    </w:p>
    <w:p>
      <w:pPr>
        <w:spacing w:after="0" w:line="25" w:lineRule="exact"/>
        <w:rPr>
          <w:rFonts w:ascii="Arial" w:cs="Arial" w:eastAsia="Arial" w:hAnsi="Arial"/>
          <w:sz w:val="17"/>
          <w:szCs w:val="17"/>
          <w:color w:val="auto"/>
        </w:rPr>
      </w:pP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Amount derived based on calculation per the amended and restated Purchase Agreement.</w:t>
      </w:r>
    </w:p>
    <w:p>
      <w:pPr>
        <w:spacing w:after="0" w:line="13" w:lineRule="exact"/>
        <w:rPr>
          <w:rFonts w:ascii="Arial" w:cs="Arial" w:eastAsia="Arial" w:hAnsi="Arial"/>
          <w:sz w:val="17"/>
          <w:szCs w:val="17"/>
          <w:color w:val="auto"/>
        </w:rPr>
      </w:pPr>
    </w:p>
    <w:p>
      <w:pPr>
        <w:ind w:left="320" w:right="900" w:hanging="315"/>
        <w:spacing w:after="0" w:line="273"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Closing Indebtedness and Closing Cash are estimates of the amounts calculated per the amended and restated Purchase Agreement at the Business Combination consummation date.</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60.5 million shares includes 0.5 million shares issued as partial consideration in two business acquisitions consummated on and near the Business Combination closing date and 3.0 million shares issued in connection with the Company’s equity incentive plan.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17"/>
          <w:szCs w:val="17"/>
          <w:color w:val="auto"/>
        </w:rPr>
        <w:t>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unaudited pro forma condensed combined financial information has been prepared reflecting adjustments for the consummation of the Business Combination based on currently available information and certain assumptions that the Company believes are reasonable under the circumstances. The unaudited condensed pro forma adjustments may be revised as additional information becomes available. Therefore, it is likely that the actual adjustments will differ from the pro forma adjustments and it is possible the differences may be material. Management believes that its assumptions provide a reasonable basis for presenting all of the significant effects of the Business Combination based on information currently available to management and that the pro forma adjustments give appropriate effect to those assumptions and are properly applied in the unaudited pro forma condensed combined financial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common stock shares outstanding after giving effect to the Business Combination and the related equity commitments: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31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w w:val="94"/>
              </w:rPr>
              <w:t>Nine months ended September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7"/>
                <w:szCs w:val="17"/>
                <w:b w:val="1"/>
                <w:bCs w:val="1"/>
                <w:color w:val="auto"/>
                <w:w w:val="95"/>
              </w:rPr>
              <w:t>Shares outstanding</w:t>
            </w:r>
          </w:p>
        </w:tc>
        <w:tc>
          <w:tcPr>
            <w:tcW w:w="1600" w:type="dxa"/>
            <w:vAlign w:val="bottom"/>
          </w:tcPr>
          <w:p>
            <w:pPr>
              <w:jc w:val="right"/>
              <w:ind w:right="6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tcBorders>
              <w:top w:val="single" w:sz="8" w:color="CCEEFF"/>
            </w:tcBorders>
            <w:shd w:val="clear" w:color="auto" w:fill="CCEEFF"/>
          </w:tcPr>
          <w:p>
            <w:pPr>
              <w:ind w:left="140"/>
              <w:spacing w:after="0" w:line="228" w:lineRule="exact"/>
              <w:rPr>
                <w:sz w:val="20"/>
                <w:szCs w:val="20"/>
                <w:color w:val="auto"/>
              </w:rPr>
            </w:pPr>
            <w:r>
              <w:rPr>
                <w:rFonts w:ascii="Arial" w:cs="Arial" w:eastAsia="Arial" w:hAnsi="Arial"/>
                <w:sz w:val="16"/>
                <w:szCs w:val="16"/>
                <w:color w:val="auto"/>
              </w:rPr>
              <w:t>MI Merger Consideration shares</w:t>
            </w:r>
            <w:r>
              <w:rPr>
                <w:rFonts w:ascii="Arial" w:cs="Arial" w:eastAsia="Arial" w:hAnsi="Arial"/>
                <w:sz w:val="26"/>
                <w:szCs w:val="26"/>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60,546,395</w:t>
            </w:r>
          </w:p>
        </w:tc>
        <w:tc>
          <w:tcPr>
            <w:tcW w:w="1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MI Founder shares held by the Sellers</w:t>
            </w:r>
          </w:p>
        </w:tc>
        <w:tc>
          <w:tcPr>
            <w:tcW w:w="1360" w:type="dxa"/>
            <w:vAlign w:val="bottom"/>
          </w:tcPr>
          <w:p>
            <w:pPr>
              <w:jc w:val="right"/>
              <w:spacing w:after="0"/>
              <w:rPr>
                <w:sz w:val="20"/>
                <w:szCs w:val="20"/>
                <w:color w:val="auto"/>
              </w:rPr>
            </w:pPr>
            <w:r>
              <w:rPr>
                <w:rFonts w:ascii="Arial" w:cs="Arial" w:eastAsia="Arial" w:hAnsi="Arial"/>
                <w:sz w:val="17"/>
                <w:szCs w:val="17"/>
                <w:color w:val="auto"/>
              </w:rPr>
              <w:t>453,210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 Private Placement shares held by the Sellers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421,107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b w:val="1"/>
                <w:bCs w:val="1"/>
                <w:color w:val="auto"/>
              </w:rPr>
              <w:t>Priority shares</w:t>
            </w: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61,420,712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7"/>
                <w:szCs w:val="17"/>
                <w:color w:val="auto"/>
              </w:rPr>
              <w:t>Shares held by current M I public stockholders</w:t>
            </w:r>
          </w:p>
        </w:tc>
        <w:tc>
          <w:tcPr>
            <w:tcW w:w="1360" w:type="dxa"/>
            <w:vAlign w:val="bottom"/>
          </w:tcPr>
          <w:p>
            <w:pPr>
              <w:jc w:val="right"/>
              <w:spacing w:after="0"/>
              <w:rPr>
                <w:sz w:val="20"/>
                <w:szCs w:val="20"/>
                <w:color w:val="auto"/>
              </w:rPr>
            </w:pPr>
            <w:r>
              <w:rPr>
                <w:rFonts w:ascii="Arial" w:cs="Arial" w:eastAsia="Arial" w:hAnsi="Arial"/>
                <w:sz w:val="17"/>
                <w:szCs w:val="17"/>
                <w:color w:val="auto"/>
              </w:rPr>
              <w:t>5,310,109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40"/>
              <w:spacing w:after="0" w:line="249" w:lineRule="exact"/>
              <w:rPr>
                <w:sz w:val="20"/>
                <w:szCs w:val="20"/>
                <w:color w:val="auto"/>
              </w:rPr>
            </w:pPr>
            <w:r>
              <w:rPr>
                <w:rFonts w:ascii="Arial" w:cs="Arial" w:eastAsia="Arial" w:hAnsi="Arial"/>
                <w:sz w:val="17"/>
                <w:szCs w:val="17"/>
                <w:color w:val="auto"/>
              </w:rPr>
              <w:t>Less: public shares redeemed June 15, 2018</w:t>
            </w:r>
            <w:r>
              <w:rPr>
                <w:rFonts w:ascii="Arial" w:cs="Arial" w:eastAsia="Arial" w:hAnsi="Arial"/>
                <w:sz w:val="28"/>
                <w:szCs w:val="28"/>
                <w:color w:val="auto"/>
                <w:vertAlign w:val="superscript"/>
              </w:rPr>
              <w:t>(2)</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(377,231)</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980" w:type="dxa"/>
            <w:vAlign w:val="bottom"/>
          </w:tcPr>
          <w:p>
            <w:pPr>
              <w:ind w:left="140"/>
              <w:spacing w:after="0" w:line="262" w:lineRule="exact"/>
              <w:rPr>
                <w:sz w:val="20"/>
                <w:szCs w:val="20"/>
                <w:color w:val="auto"/>
              </w:rPr>
            </w:pPr>
            <w:r>
              <w:rPr>
                <w:rFonts w:ascii="Arial" w:cs="Arial" w:eastAsia="Arial" w:hAnsi="Arial"/>
                <w:sz w:val="17"/>
                <w:szCs w:val="17"/>
                <w:color w:val="auto"/>
              </w:rPr>
              <w:t>Less: public shares redeemed</w:t>
            </w:r>
            <w:r>
              <w:rPr>
                <w:rFonts w:ascii="Arial" w:cs="Arial" w:eastAsia="Arial" w:hAnsi="Arial"/>
                <w:sz w:val="29"/>
                <w:szCs w:val="29"/>
                <w:color w:val="auto"/>
                <w:vertAlign w:val="superscript"/>
              </w:rPr>
              <w:t>(3)</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(6,000)</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MI shares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4,926,878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Founder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1,327,527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Less Founder shares bought by the Sellers</w:t>
            </w: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(453,210)</w:t>
            </w: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Founder shares forfeited</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(174,863)</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b w:val="1"/>
                <w:bCs w:val="1"/>
                <w:color w:val="auto"/>
              </w:rPr>
              <w:t>Founders shares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699,454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7"/>
                <w:szCs w:val="17"/>
                <w:b w:val="1"/>
                <w:bCs w:val="1"/>
                <w:color w:val="auto"/>
              </w:rPr>
              <w:t>Pro Forma Shares Outstanding</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67,047,044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jc w:val="right"/>
              <w:spacing w:after="0" w:line="235" w:lineRule="exact"/>
              <w:rPr>
                <w:sz w:val="20"/>
                <w:szCs w:val="20"/>
                <w:color w:val="auto"/>
              </w:rPr>
            </w:pPr>
            <w:r>
              <w:rPr>
                <w:rFonts w:ascii="Arial" w:cs="Arial" w:eastAsia="Arial" w:hAnsi="Arial"/>
                <w:sz w:val="15"/>
                <w:szCs w:val="15"/>
                <w:b w:val="1"/>
                <w:bCs w:val="1"/>
                <w:color w:val="auto"/>
              </w:rPr>
              <w:t>100</w:t>
            </w:r>
            <w:r>
              <w:rPr>
                <w:rFonts w:ascii="Arial" w:cs="Arial" w:eastAsia="Arial" w:hAnsi="Arial"/>
                <w:sz w:val="27"/>
                <w:szCs w:val="27"/>
                <w:b w:val="1"/>
                <w:bCs w:val="1"/>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320" w:hanging="315"/>
        <w:spacing w:after="0" w:line="264"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Refer to the Consideration Shares table herein. The merger consideration shares include 0.5 million shares issued as partial consideration in two business acquisitions consummated on and near the Business Combination closing date.</w:t>
      </w:r>
    </w:p>
    <w:p>
      <w:pPr>
        <w:ind w:left="320" w:right="760" w:hanging="315"/>
        <w:spacing w:after="0" w:line="256"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June 15, 2018, M I public stockholders redeemed 377,231 shares for $3,963,539 ($10.507 per share) after the vote to extend the date to close the transaction to September 17, 2018.</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public shares redeemed at the Closing Date for $10.533 per share.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1" w:name="page62"/>
    <w:bookmarkEnd w:id="61"/>
    <w:p>
      <w:pPr>
        <w:jc w:val="both"/>
        <w:spacing w:after="0" w:line="262" w:lineRule="auto"/>
        <w:rPr>
          <w:sz w:val="20"/>
          <w:szCs w:val="20"/>
          <w:color w:val="auto"/>
        </w:rPr>
      </w:pPr>
      <w:r>
        <w:rPr>
          <w:rFonts w:ascii="Arial" w:cs="Arial" w:eastAsia="Arial" w:hAnsi="Arial"/>
          <w:sz w:val="17"/>
          <w:szCs w:val="17"/>
          <w:color w:val="auto"/>
        </w:rPr>
        <w:t>The following unaudited pro forma condensed combined statements of operations for the nine months ended September 30, 2018 combines the historical unaudited condensed consolidated statement of operations of the Company for the nine months ended September 30, 2018 with financial information of M I for the period from January 1, 2018 to July 25, 2018, the closing date of the Business Combination. The following unaudited pro forma condensed combined statement of operations for the year ended December 31, 2017 are based on the historical financial statements of M I and Priority Technology Holdings, Inc.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32"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FOR THE NINE MONTHS ENDED SEPTEMBER 30, 2018</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vMerge w:val="restart"/>
          </w:tcPr>
          <w:p>
            <w:pPr>
              <w:jc w:val="center"/>
              <w:ind w:right="158"/>
              <w:spacing w:after="0"/>
              <w:rPr>
                <w:sz w:val="20"/>
                <w:szCs w:val="20"/>
                <w:color w:val="auto"/>
              </w:rPr>
            </w:pPr>
            <w:r>
              <w:rPr>
                <w:rFonts w:ascii="Arial" w:cs="Arial" w:eastAsia="Arial" w:hAnsi="Arial"/>
                <w:sz w:val="17"/>
                <w:szCs w:val="17"/>
                <w:b w:val="1"/>
                <w:bCs w:val="1"/>
                <w:color w:val="auto"/>
              </w:rPr>
              <w:t>M I</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20" w:type="dxa"/>
            <w:vAlign w:val="bottom"/>
            <w:tcBorders>
              <w:bottom w:val="single" w:sz="8" w:color="auto"/>
            </w:tcBorders>
            <w:gridSpan w:val="10"/>
          </w:tcPr>
          <w:p>
            <w:pPr>
              <w:jc w:val="right"/>
              <w:ind w:right="818"/>
              <w:spacing w:after="0"/>
              <w:rPr>
                <w:sz w:val="20"/>
                <w:szCs w:val="20"/>
                <w:color w:val="auto"/>
              </w:rPr>
            </w:pPr>
            <w:r>
              <w:rPr>
                <w:rFonts w:ascii="Arial" w:cs="Arial" w:eastAsia="Arial" w:hAnsi="Arial"/>
                <w:sz w:val="17"/>
                <w:szCs w:val="17"/>
                <w:b w:val="1"/>
                <w:bCs w:val="1"/>
                <w:color w:val="auto"/>
              </w:rPr>
              <w:t>Nine months ended September 30, 2018</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1"/>
              </w:rPr>
              <w:t>Six months</w:t>
            </w: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rPr>
              <w:t>M I</w:t>
            </w:r>
          </w:p>
        </w:tc>
        <w:tc>
          <w:tcPr>
            <w:tcW w:w="120" w:type="dxa"/>
            <w:vAlign w:val="bottom"/>
          </w:tcPr>
          <w:p>
            <w:pPr>
              <w:spacing w:after="0"/>
              <w:rPr>
                <w:sz w:val="18"/>
                <w:szCs w:val="18"/>
                <w:color w:val="auto"/>
              </w:rPr>
            </w:pPr>
          </w:p>
        </w:tc>
        <w:tc>
          <w:tcPr>
            <w:tcW w:w="1280" w:type="dxa"/>
            <w:vAlign w:val="bottom"/>
            <w:gridSpan w:val="2"/>
          </w:tcPr>
          <w:p>
            <w:pPr>
              <w:jc w:val="center"/>
              <w:ind w:right="98"/>
              <w:spacing w:after="0"/>
              <w:rPr>
                <w:sz w:val="20"/>
                <w:szCs w:val="20"/>
                <w:color w:val="auto"/>
              </w:rPr>
            </w:pPr>
            <w:r>
              <w:rPr>
                <w:rFonts w:ascii="Arial" w:cs="Arial" w:eastAsia="Arial" w:hAnsi="Arial"/>
                <w:sz w:val="17"/>
                <w:szCs w:val="17"/>
                <w:b w:val="1"/>
                <w:bCs w:val="1"/>
                <w:color w:val="auto"/>
                <w:w w:val="97"/>
              </w:rPr>
              <w:t>Priority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1"/>
              </w:rPr>
              <w:t>ended June 30,</w:t>
            </w: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3"/>
              </w:rPr>
              <w:t>(July 1, 2018 –</w:t>
            </w:r>
          </w:p>
        </w:tc>
        <w:tc>
          <w:tcPr>
            <w:tcW w:w="120" w:type="dxa"/>
            <w:vAlign w:val="bottom"/>
          </w:tcPr>
          <w:p>
            <w:pPr>
              <w:spacing w:after="0"/>
              <w:rPr>
                <w:sz w:val="18"/>
                <w:szCs w:val="18"/>
                <w:color w:val="auto"/>
              </w:rPr>
            </w:pPr>
          </w:p>
        </w:tc>
        <w:tc>
          <w:tcPr>
            <w:tcW w:w="1280" w:type="dxa"/>
            <w:vAlign w:val="bottom"/>
            <w:gridSpan w:val="2"/>
          </w:tcPr>
          <w:p>
            <w:pPr>
              <w:jc w:val="center"/>
              <w:ind w:right="98"/>
              <w:spacing w:after="0"/>
              <w:rPr>
                <w:sz w:val="20"/>
                <w:szCs w:val="20"/>
                <w:color w:val="auto"/>
              </w:rPr>
            </w:pPr>
            <w:r>
              <w:rPr>
                <w:rFonts w:ascii="Arial" w:cs="Arial" w:eastAsia="Arial" w:hAnsi="Arial"/>
                <w:sz w:val="17"/>
                <w:szCs w:val="17"/>
                <w:b w:val="1"/>
                <w:bCs w:val="1"/>
                <w:color w:val="auto"/>
                <w:w w:val="90"/>
              </w:rPr>
              <w:t>Technology</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5"/>
              </w:rPr>
              <w:t>2018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July 25, 2018)</w:t>
            </w:r>
          </w:p>
        </w:tc>
        <w:tc>
          <w:tcPr>
            <w:tcW w:w="120" w:type="dxa"/>
            <w:vAlign w:val="bottom"/>
          </w:tcPr>
          <w:p>
            <w:pPr>
              <w:spacing w:after="0"/>
              <w:rPr>
                <w:sz w:val="18"/>
                <w:szCs w:val="18"/>
                <w:color w:val="auto"/>
              </w:rPr>
            </w:pPr>
          </w:p>
        </w:tc>
        <w:tc>
          <w:tcPr>
            <w:tcW w:w="1280" w:type="dxa"/>
            <w:vAlign w:val="bottom"/>
            <w:gridSpan w:val="2"/>
          </w:tcPr>
          <w:p>
            <w:pPr>
              <w:jc w:val="center"/>
              <w:ind w:right="78"/>
              <w:spacing w:after="0"/>
              <w:rPr>
                <w:sz w:val="20"/>
                <w:szCs w:val="20"/>
                <w:color w:val="auto"/>
              </w:rPr>
            </w:pPr>
            <w:r>
              <w:rPr>
                <w:rFonts w:ascii="Arial" w:cs="Arial" w:eastAsia="Arial" w:hAnsi="Arial"/>
                <w:sz w:val="17"/>
                <w:szCs w:val="17"/>
                <w:b w:val="1"/>
                <w:bCs w:val="1"/>
                <w:color w:val="auto"/>
                <w:w w:val="93"/>
              </w:rPr>
              <w:t>Holdings, Inc.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Pro Forma</w:t>
            </w:r>
          </w:p>
        </w:tc>
        <w:tc>
          <w:tcPr>
            <w:tcW w:w="100" w:type="dxa"/>
            <w:vAlign w:val="bottom"/>
          </w:tcPr>
          <w:p>
            <w:pPr>
              <w:spacing w:after="0"/>
              <w:rPr>
                <w:sz w:val="18"/>
                <w:szCs w:val="18"/>
                <w:color w:val="auto"/>
              </w:rPr>
            </w:pPr>
          </w:p>
        </w:tc>
        <w:tc>
          <w:tcPr>
            <w:tcW w:w="1240" w:type="dxa"/>
            <w:vAlign w:val="bottom"/>
            <w:gridSpan w:val="2"/>
          </w:tcPr>
          <w:p>
            <w:pPr>
              <w:jc w:val="right"/>
              <w:ind w:right="178"/>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227"/>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(Historical)</w:t>
            </w:r>
          </w:p>
        </w:tc>
        <w:tc>
          <w:tcPr>
            <w:tcW w:w="100" w:type="dxa"/>
            <w:vAlign w:val="bottom"/>
          </w:tcPr>
          <w:p>
            <w:pPr>
              <w:spacing w:after="0"/>
              <w:rPr>
                <w:sz w:val="19"/>
                <w:szCs w:val="19"/>
                <w:color w:val="auto"/>
              </w:rPr>
            </w:pPr>
          </w:p>
        </w:tc>
        <w:tc>
          <w:tcPr>
            <w:tcW w:w="140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6"/>
              </w:rPr>
              <w:t>(Historical)</w:t>
            </w:r>
          </w:p>
        </w:tc>
        <w:tc>
          <w:tcPr>
            <w:tcW w:w="120" w:type="dxa"/>
            <w:vAlign w:val="bottom"/>
          </w:tcPr>
          <w:p>
            <w:pPr>
              <w:spacing w:after="0"/>
              <w:rPr>
                <w:sz w:val="19"/>
                <w:szCs w:val="19"/>
                <w:color w:val="auto"/>
              </w:rPr>
            </w:pPr>
          </w:p>
        </w:tc>
        <w:tc>
          <w:tcPr>
            <w:tcW w:w="1280" w:type="dxa"/>
            <w:vAlign w:val="bottom"/>
            <w:gridSpan w:val="2"/>
          </w:tcPr>
          <w:p>
            <w:pPr>
              <w:jc w:val="center"/>
              <w:ind w:right="58"/>
              <w:spacing w:after="0"/>
              <w:rPr>
                <w:sz w:val="20"/>
                <w:szCs w:val="20"/>
                <w:color w:val="auto"/>
              </w:rPr>
            </w:pPr>
            <w:r>
              <w:rPr>
                <w:rFonts w:ascii="Arial" w:cs="Arial" w:eastAsia="Arial" w:hAnsi="Arial"/>
                <w:sz w:val="17"/>
                <w:szCs w:val="17"/>
                <w:b w:val="1"/>
                <w:bCs w:val="1"/>
                <w:color w:val="auto"/>
                <w:w w:val="96"/>
              </w:rPr>
              <w:t>(Historical)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rPr>
              <w:t>Adjustments</w:t>
            </w:r>
          </w:p>
        </w:tc>
        <w:tc>
          <w:tcPr>
            <w:tcW w:w="100" w:type="dxa"/>
            <w:vAlign w:val="bottom"/>
          </w:tcPr>
          <w:p>
            <w:pPr>
              <w:spacing w:after="0"/>
              <w:rPr>
                <w:sz w:val="19"/>
                <w:szCs w:val="19"/>
                <w:color w:val="auto"/>
              </w:rPr>
            </w:pPr>
          </w:p>
        </w:tc>
        <w:tc>
          <w:tcPr>
            <w:tcW w:w="124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Combined</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Merchant card fees revenue</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299,661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299,661</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Outsourced services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18,426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18,426</w:t>
            </w: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Other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5,862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5,862</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Total revenue, net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323,949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7"/>
                <w:szCs w:val="17"/>
                <w:b w:val="1"/>
                <w:bCs w:val="1"/>
                <w:color w:val="auto"/>
                <w:w w:val="82"/>
              </w:rPr>
              <w:t>—</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323,949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Costs of merchant card fees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230,276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230,276</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Other costs of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13,518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13,518</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Salary and employee benefits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28,406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28,406</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12,679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12,679</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13,978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(3,599)(CC)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10,379</w:t>
            </w: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Administration fee - related party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Operating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643</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center"/>
              <w:ind w:left="453"/>
              <w:spacing w:after="0"/>
              <w:rPr>
                <w:sz w:val="20"/>
                <w:szCs w:val="20"/>
                <w:color w:val="auto"/>
              </w:rPr>
            </w:pPr>
            <w:r>
              <w:rPr>
                <w:rFonts w:ascii="Arial" w:cs="Arial" w:eastAsia="Arial" w:hAnsi="Arial"/>
                <w:sz w:val="17"/>
                <w:szCs w:val="17"/>
                <w:color w:val="auto"/>
                <w:w w:val="97"/>
              </w:rPr>
              <w:t>(524)(CC)</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Other operating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10,449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10,449</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309,306</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(4,123</w:t>
            </w:r>
          </w:p>
        </w:tc>
        <w:tc>
          <w:tcPr>
            <w:tcW w:w="580" w:type="dxa"/>
            <w:vAlign w:val="bottom"/>
            <w:tcBorders>
              <w:top w:val="single" w:sz="8" w:color="CCEEFF"/>
            </w:tcBorders>
            <w:shd w:val="clear" w:color="auto" w:fill="CCEEFF"/>
          </w:tcPr>
          <w:p>
            <w:pPr>
              <w:jc w:val="center"/>
              <w:ind w:right="43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(306,054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(Loss) income from operations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14,643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4,123</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17,895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Other income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55</w:t>
            </w:r>
          </w:p>
        </w:tc>
        <w:tc>
          <w:tcPr>
            <w:tcW w:w="12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3"/>
          </w:tcPr>
          <w:p>
            <w:pPr>
              <w:jc w:val="center"/>
              <w:ind w:left="473"/>
              <w:spacing w:after="0"/>
              <w:rPr>
                <w:sz w:val="20"/>
                <w:szCs w:val="20"/>
                <w:color w:val="auto"/>
              </w:rPr>
            </w:pPr>
            <w:r>
              <w:rPr>
                <w:rFonts w:ascii="Arial" w:cs="Arial" w:eastAsia="Arial" w:hAnsi="Arial"/>
                <w:sz w:val="17"/>
                <w:szCs w:val="17"/>
                <w:color w:val="auto"/>
              </w:rPr>
              <w:t>(448)(AA)</w:t>
            </w:r>
          </w:p>
        </w:tc>
        <w:tc>
          <w:tcPr>
            <w:tcW w:w="100" w:type="dxa"/>
            <w:vAlign w:val="bottom"/>
          </w:tcPr>
          <w:p>
            <w:pPr>
              <w:spacing w:after="0"/>
              <w:rPr>
                <w:sz w:val="18"/>
                <w:szCs w:val="18"/>
                <w:color w:val="auto"/>
              </w:rPr>
            </w:pPr>
          </w:p>
        </w:tc>
        <w:tc>
          <w:tcPr>
            <w:tcW w:w="1240" w:type="dxa"/>
            <w:vAlign w:val="bottom"/>
            <w:gridSpan w:val="2"/>
          </w:tcPr>
          <w:p>
            <w:pPr>
              <w:jc w:val="right"/>
              <w:ind w:right="18"/>
              <w:spacing w:after="0"/>
              <w:rPr>
                <w:sz w:val="20"/>
                <w:szCs w:val="20"/>
                <w:color w:val="auto"/>
              </w:rPr>
            </w:pPr>
            <w:r>
              <w:rPr>
                <w:rFonts w:ascii="Arial" w:cs="Arial" w:eastAsia="Arial" w:hAnsi="Arial"/>
                <w:sz w:val="17"/>
                <w:szCs w:val="17"/>
                <w:color w:val="auto"/>
              </w:rPr>
              <w:t>530</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(21,893)</w:t>
            </w: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rPr>
              <w:t>Debt modification and extinguishment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(1,323)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(1,323)</w:t>
            </w: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warrants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w:t>
            </w: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rPr>
              <w:t>Equity in loss and impairment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40" w:type="dxa"/>
            <w:vAlign w:val="bottom"/>
          </w:tcPr>
          <w:p>
            <w:pPr>
              <w:ind w:left="320"/>
              <w:spacing w:after="0"/>
              <w:rPr>
                <w:sz w:val="20"/>
                <w:szCs w:val="20"/>
                <w:color w:val="auto"/>
              </w:rPr>
            </w:pPr>
            <w:r>
              <w:rPr>
                <w:rFonts w:ascii="Arial" w:cs="Arial" w:eastAsia="Arial" w:hAnsi="Arial"/>
                <w:sz w:val="17"/>
                <w:szCs w:val="17"/>
                <w:color w:val="auto"/>
              </w:rPr>
              <w:t>unconsolidated entities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3"/>
          </w:tcPr>
          <w:p>
            <w:pPr>
              <w:ind w:left="9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Total other income (expense)</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(27,001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(448</w:t>
            </w:r>
          </w:p>
        </w:tc>
        <w:tc>
          <w:tcPr>
            <w:tcW w:w="580" w:type="dxa"/>
            <w:vAlign w:val="bottom"/>
            <w:tcBorders>
              <w:top w:val="single" w:sz="8" w:color="CCEEFF"/>
            </w:tcBorders>
            <w:shd w:val="clear" w:color="auto" w:fill="CCEEFF"/>
          </w:tcPr>
          <w:p>
            <w:pPr>
              <w:jc w:val="center"/>
              <w:ind w:right="433"/>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(27,001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Loss before taxes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(12,358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3,675</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 expense</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)(BB)</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3540" w:type="dxa"/>
            <w:vAlign w:val="bottom"/>
            <w:tcBorders>
              <w:bottom w:val="single" w:sz="8" w:color="CCEEFF"/>
            </w:tcBorders>
          </w:tcPr>
          <w:p>
            <w:pPr>
              <w:ind w:left="480"/>
              <w:spacing w:after="0"/>
              <w:rPr>
                <w:sz w:val="20"/>
                <w:szCs w:val="20"/>
                <w:color w:val="auto"/>
              </w:rPr>
            </w:pPr>
            <w:r>
              <w:rPr>
                <w:rFonts w:ascii="Arial" w:cs="Arial" w:eastAsia="Arial" w:hAnsi="Arial"/>
                <w:sz w:val="17"/>
                <w:szCs w:val="17"/>
                <w:b w:val="1"/>
                <w:bCs w:val="1"/>
                <w:color w:val="auto"/>
              </w:rPr>
              <w:t>Net (loss) income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w:t>
            </w:r>
          </w:p>
        </w:tc>
        <w:tc>
          <w:tcPr>
            <w:tcW w:w="240" w:type="dxa"/>
            <w:vAlign w:val="bottom"/>
            <w:tcBorders>
              <w:bottom w:val="single" w:sz="8" w:color="CCEEFF"/>
            </w:tcBorders>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(11,367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3,048</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40" w:type="dxa"/>
            <w:vAlign w:val="bottom"/>
          </w:tcPr>
          <w:p>
            <w:pPr>
              <w:ind w:left="320"/>
              <w:spacing w:after="0"/>
              <w:rPr>
                <w:sz w:val="20"/>
                <w:szCs w:val="20"/>
                <w:color w:val="auto"/>
              </w:rPr>
            </w:pPr>
            <w:r>
              <w:rPr>
                <w:rFonts w:ascii="Arial" w:cs="Arial" w:eastAsia="Arial" w:hAnsi="Arial"/>
                <w:sz w:val="17"/>
                <w:szCs w:val="17"/>
                <w:color w:val="auto"/>
                <w:w w:val="94"/>
              </w:rPr>
              <w:t>Net loss per shares of common stock – basic</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320"/>
              <w:spacing w:after="0"/>
              <w:rPr>
                <w:sz w:val="20"/>
                <w:szCs w:val="20"/>
                <w:color w:val="auto"/>
              </w:rPr>
            </w:pPr>
            <w:r>
              <w:rPr>
                <w:rFonts w:ascii="Arial" w:cs="Arial" w:eastAsia="Arial" w:hAnsi="Arial"/>
                <w:sz w:val="17"/>
                <w:szCs w:val="17"/>
                <w:color w:val="auto"/>
              </w:rPr>
              <w:t>and diluted</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98"/>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(0.19)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Weighted average shares of common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outstanding – basic and diluted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2,352,922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60,339,344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60,339,344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information.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32"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FOR YEAR ENDED DECEMBER 31, 2017</w:t>
      </w:r>
    </w:p>
    <w:p>
      <w:pPr>
        <w:spacing w:after="0" w:line="1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6"/>
          </w:tcPr>
          <w:p>
            <w:pPr>
              <w:jc w:val="center"/>
              <w:ind w:right="13"/>
              <w:spacing w:after="0"/>
              <w:rPr>
                <w:sz w:val="20"/>
                <w:szCs w:val="20"/>
                <w:color w:val="auto"/>
              </w:rPr>
            </w:pPr>
            <w:r>
              <w:rPr>
                <w:rFonts w:ascii="Arial" w:cs="Arial" w:eastAsia="Arial" w:hAnsi="Arial"/>
                <w:sz w:val="17"/>
                <w:szCs w:val="17"/>
                <w:b w:val="1"/>
                <w:bCs w:val="1"/>
                <w:color w:val="auto"/>
                <w:w w:val="92"/>
              </w:rPr>
              <w:t>Year ended December 31, 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right"/>
              <w:ind w:right="38"/>
              <w:spacing w:after="0" w:line="185" w:lineRule="exact"/>
              <w:rPr>
                <w:sz w:val="20"/>
                <w:szCs w:val="20"/>
                <w:color w:val="auto"/>
              </w:rPr>
            </w:pPr>
            <w:r>
              <w:rPr>
                <w:rFonts w:ascii="Arial" w:cs="Arial" w:eastAsia="Arial" w:hAnsi="Arial"/>
                <w:sz w:val="17"/>
                <w:szCs w:val="17"/>
                <w:b w:val="1"/>
                <w:bCs w:val="1"/>
                <w:color w:val="auto"/>
                <w:w w:val="91"/>
              </w:rPr>
              <w:t>Priority Technology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78"/>
              <w:spacing w:after="0"/>
              <w:rPr>
                <w:sz w:val="20"/>
                <w:szCs w:val="20"/>
                <w:color w:val="auto"/>
              </w:rPr>
            </w:pPr>
            <w:r>
              <w:rPr>
                <w:rFonts w:ascii="Arial" w:cs="Arial" w:eastAsia="Arial" w:hAnsi="Arial"/>
                <w:sz w:val="17"/>
                <w:szCs w:val="17"/>
                <w:b w:val="1"/>
                <w:bCs w:val="1"/>
                <w:color w:val="auto"/>
              </w:rPr>
              <w:t>M I</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58"/>
              <w:spacing w:after="0"/>
              <w:rPr>
                <w:sz w:val="20"/>
                <w:szCs w:val="20"/>
                <w:color w:val="auto"/>
              </w:rPr>
            </w:pPr>
            <w:r>
              <w:rPr>
                <w:rFonts w:ascii="Arial" w:cs="Arial" w:eastAsia="Arial" w:hAnsi="Arial"/>
                <w:sz w:val="17"/>
                <w:szCs w:val="17"/>
                <w:b w:val="1"/>
                <w:bCs w:val="1"/>
                <w:color w:val="auto"/>
              </w:rPr>
              <w:t>Holdings, Inc.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753"/>
              <w:spacing w:after="0"/>
              <w:rPr>
                <w:sz w:val="20"/>
                <w:szCs w:val="20"/>
                <w:color w:val="auto"/>
              </w:rPr>
            </w:pPr>
            <w:r>
              <w:rPr>
                <w:rFonts w:ascii="Arial" w:cs="Arial" w:eastAsia="Arial" w:hAnsi="Arial"/>
                <w:sz w:val="17"/>
                <w:szCs w:val="17"/>
                <w:b w:val="1"/>
                <w:bCs w:val="1"/>
                <w:color w:val="auto"/>
              </w:rPr>
              <w:t>Pro Forma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78"/>
              <w:spacing w:after="0"/>
              <w:rPr>
                <w:sz w:val="20"/>
                <w:szCs w:val="20"/>
                <w:color w:val="auto"/>
              </w:rPr>
            </w:pPr>
            <w:r>
              <w:rPr>
                <w:rFonts w:ascii="Arial" w:cs="Arial" w:eastAsia="Arial" w:hAnsi="Arial"/>
                <w:sz w:val="17"/>
                <w:szCs w:val="17"/>
                <w:b w:val="1"/>
                <w:bCs w:val="1"/>
                <w:color w:val="auto"/>
              </w:rPr>
              <w:t>Pro Forma</w:t>
            </w:r>
          </w:p>
        </w:tc>
      </w:tr>
      <w:tr>
        <w:trPr>
          <w:trHeight w:val="227"/>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(Historical)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418"/>
              <w:spacing w:after="0"/>
              <w:rPr>
                <w:sz w:val="20"/>
                <w:szCs w:val="20"/>
                <w:color w:val="auto"/>
              </w:rPr>
            </w:pPr>
            <w:r>
              <w:rPr>
                <w:rFonts w:ascii="Arial" w:cs="Arial" w:eastAsia="Arial" w:hAnsi="Arial"/>
                <w:sz w:val="17"/>
                <w:szCs w:val="17"/>
                <w:b w:val="1"/>
                <w:bCs w:val="1"/>
                <w:color w:val="auto"/>
              </w:rPr>
              <w:t>(Historical)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673"/>
              <w:spacing w:after="0"/>
              <w:rPr>
                <w:sz w:val="20"/>
                <w:szCs w:val="20"/>
                <w:color w:val="auto"/>
              </w:rPr>
            </w:pPr>
            <w:r>
              <w:rPr>
                <w:rFonts w:ascii="Arial" w:cs="Arial" w:eastAsia="Arial" w:hAnsi="Arial"/>
                <w:sz w:val="17"/>
                <w:szCs w:val="17"/>
                <w:b w:val="1"/>
                <w:bCs w:val="1"/>
                <w:color w:val="auto"/>
              </w:rPr>
              <w:t>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98"/>
              <w:spacing w:after="0"/>
              <w:rPr>
                <w:sz w:val="20"/>
                <w:szCs w:val="20"/>
                <w:color w:val="auto"/>
              </w:rPr>
            </w:pPr>
            <w:r>
              <w:rPr>
                <w:rFonts w:ascii="Arial" w:cs="Arial" w:eastAsia="Arial" w:hAnsi="Arial"/>
                <w:sz w:val="17"/>
                <w:szCs w:val="17"/>
                <w:b w:val="1"/>
                <w:bCs w:val="1"/>
                <w:color w:val="auto"/>
              </w:rPr>
              <w:t>Combined</w:t>
            </w:r>
          </w:p>
        </w:tc>
      </w:tr>
      <w:tr>
        <w:trPr>
          <w:trHeight w:val="203"/>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Merchant card fees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398,988</w:t>
            </w:r>
          </w:p>
        </w:tc>
        <w:tc>
          <w:tcPr>
            <w:tcW w:w="18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398,988</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Outsourced services revenue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23,308</w:t>
            </w: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Other revenues</w:t>
            </w:r>
          </w:p>
        </w:tc>
        <w:tc>
          <w:tcPr>
            <w:tcW w:w="10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3,323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3,323</w:t>
            </w:r>
          </w:p>
        </w:tc>
      </w:tr>
      <w:tr>
        <w:trPr>
          <w:trHeight w:val="203"/>
        </w:trPr>
        <w:tc>
          <w:tcPr>
            <w:tcW w:w="4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Total revenue, net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425,619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425,619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Operating expenses (income)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Cost of merchant card fees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305,461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305,461</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Other costs of services</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15,743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15,743</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Salary and employee benefits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32,357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32,357</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14,674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14,674</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9,088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9,088</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Administration fee - related party</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120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120</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costs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832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832</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Change in fair value of contingent consideration</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(410)</w:t>
            </w:r>
          </w:p>
        </w:tc>
      </w:tr>
      <w:tr>
        <w:trPr>
          <w:trHeight w:val="22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operating expenses</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13,457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13,457</w:t>
            </w:r>
          </w:p>
        </w:tc>
      </w:tr>
      <w:tr>
        <w:trPr>
          <w:trHeight w:val="202"/>
        </w:trPr>
        <w:tc>
          <w:tcPr>
            <w:tcW w:w="484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952</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390,370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391,322</w:t>
            </w:r>
          </w:p>
        </w:tc>
        <w:tc>
          <w:tcPr>
            <w:tcW w:w="100" w:type="dxa"/>
            <w:vAlign w:val="bottom"/>
            <w:tcBorders>
              <w:bottom w:val="single" w:sz="8" w:color="CCEEFF"/>
            </w:tcBorders>
          </w:tcPr>
          <w:p>
            <w:pPr>
              <w:spacing w:after="0"/>
              <w:rPr>
                <w:sz w:val="17"/>
                <w:szCs w:val="17"/>
                <w:color w:val="auto"/>
              </w:rPr>
            </w:pPr>
          </w:p>
        </w:tc>
      </w:tr>
      <w:tr>
        <w:trPr>
          <w:trHeight w:val="202"/>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(Loss) income from operations</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(952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35,249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34,297</w:t>
            </w:r>
          </w:p>
        </w:tc>
        <w:tc>
          <w:tcPr>
            <w:tcW w:w="100" w:type="dxa"/>
            <w:vAlign w:val="bottom"/>
            <w:shd w:val="clear" w:color="auto" w:fill="CCEEFF"/>
          </w:tcPr>
          <w:p>
            <w:pPr>
              <w:spacing w:after="0"/>
              <w:rPr>
                <w:sz w:val="17"/>
                <w:szCs w:val="17"/>
                <w:color w:val="auto"/>
              </w:rPr>
            </w:pPr>
          </w:p>
        </w:tc>
      </w:tr>
      <w:tr>
        <w:trPr>
          <w:trHeight w:val="202"/>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Other income (expense)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Interest and other income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53"/>
              <w:spacing w:after="0"/>
              <w:rPr>
                <w:sz w:val="20"/>
                <w:szCs w:val="20"/>
                <w:color w:val="auto"/>
              </w:rPr>
            </w:pPr>
            <w:r>
              <w:rPr>
                <w:rFonts w:ascii="Arial" w:cs="Arial" w:eastAsia="Arial" w:hAnsi="Arial"/>
                <w:sz w:val="17"/>
                <w:szCs w:val="17"/>
                <w:color w:val="auto"/>
              </w:rPr>
              <w:t>(399)(AA)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637</w:t>
            </w:r>
          </w:p>
        </w:tc>
      </w:tr>
      <w:tr>
        <w:trPr>
          <w:trHeight w:val="209"/>
        </w:trPr>
        <w:tc>
          <w:tcPr>
            <w:tcW w:w="4840" w:type="dxa"/>
            <w:vAlign w:val="bottom"/>
          </w:tcPr>
          <w:p>
            <w:pPr>
              <w:ind w:left="360"/>
              <w:spacing w:after="0"/>
              <w:rPr>
                <w:sz w:val="20"/>
                <w:szCs w:val="20"/>
                <w:color w:val="auto"/>
              </w:rPr>
            </w:pPr>
            <w:r>
              <w:rPr>
                <w:rFonts w:ascii="Arial" w:cs="Arial" w:eastAsia="Arial" w:hAnsi="Arial"/>
                <w:sz w:val="17"/>
                <w:szCs w:val="17"/>
                <w:color w:val="auto"/>
              </w:rPr>
              <w:t>Interest and other expense</w:t>
            </w:r>
          </w:p>
        </w:tc>
        <w:tc>
          <w:tcPr>
            <w:tcW w:w="100" w:type="dxa"/>
            <w:vAlign w:val="bottom"/>
          </w:tcPr>
          <w:p>
            <w:pPr>
              <w:spacing w:after="0"/>
              <w:rPr>
                <w:sz w:val="18"/>
                <w:szCs w:val="18"/>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(31,159)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(31,159)</w:t>
            </w:r>
          </w:p>
        </w:tc>
      </w:tr>
      <w:tr>
        <w:trPr>
          <w:trHeight w:val="209"/>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Equity in loss of unconsolidated entities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Settlement income</w:t>
            </w:r>
          </w:p>
        </w:tc>
        <w:tc>
          <w:tcPr>
            <w:tcW w:w="10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428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428</w:t>
            </w:r>
          </w:p>
        </w:tc>
      </w:tr>
      <w:tr>
        <w:trPr>
          <w:trHeight w:val="203"/>
        </w:trPr>
        <w:tc>
          <w:tcPr>
            <w:tcW w:w="4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Total other (expense)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827</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(30,655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(399</w:t>
            </w:r>
          </w:p>
        </w:tc>
        <w:tc>
          <w:tcPr>
            <w:tcW w:w="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(30,227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2"/>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b w:val="1"/>
                <w:bCs w:val="1"/>
                <w:color w:val="auto"/>
              </w:rPr>
              <w:t>(Loss) income before taxes</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4,594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(399</w:t>
            </w:r>
          </w:p>
        </w:tc>
        <w:tc>
          <w:tcPr>
            <w:tcW w:w="6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4,070</w:t>
            </w:r>
          </w:p>
        </w:tc>
        <w:tc>
          <w:tcPr>
            <w:tcW w:w="100" w:type="dxa"/>
            <w:vAlign w:val="bottom"/>
            <w:tcBorders>
              <w:bottom w:val="single" w:sz="8" w:color="CCEEFF"/>
            </w:tcBorders>
          </w:tcPr>
          <w:p>
            <w:pPr>
              <w:spacing w:after="0"/>
              <w:rPr>
                <w:sz w:val="17"/>
                <w:szCs w:val="17"/>
                <w:color w:val="auto"/>
              </w:rPr>
            </w:pPr>
          </w:p>
        </w:tc>
      </w:tr>
      <w:tr>
        <w:trPr>
          <w:trHeight w:val="20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 expense</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)(BB)</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55"/>
        </w:trPr>
        <w:tc>
          <w:tcPr>
            <w:tcW w:w="4840" w:type="dxa"/>
            <w:vAlign w:val="bottom"/>
            <w:tcBorders>
              <w:bottom w:val="single" w:sz="8" w:color="CCEEFF"/>
            </w:tcBorders>
          </w:tcPr>
          <w:p>
            <w:pPr>
              <w:ind w:left="520"/>
              <w:spacing w:after="0"/>
              <w:rPr>
                <w:sz w:val="20"/>
                <w:szCs w:val="20"/>
                <w:color w:val="auto"/>
              </w:rPr>
            </w:pPr>
            <w:r>
              <w:rPr>
                <w:rFonts w:ascii="Arial" w:cs="Arial" w:eastAsia="Arial" w:hAnsi="Arial"/>
                <w:sz w:val="17"/>
                <w:szCs w:val="17"/>
                <w:b w:val="1"/>
                <w:bCs w:val="1"/>
                <w:color w:val="auto"/>
              </w:rPr>
              <w:t>Net (loss)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4,594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(1,929</w:t>
            </w:r>
          </w:p>
        </w:tc>
        <w:tc>
          <w:tcPr>
            <w:tcW w:w="6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2,540</w:t>
            </w:r>
          </w:p>
        </w:tc>
        <w:tc>
          <w:tcPr>
            <w:tcW w:w="100" w:type="dxa"/>
            <w:vAlign w:val="bottom"/>
            <w:tcBorders>
              <w:bottom w:val="single" w:sz="8" w:color="CCEEFF"/>
            </w:tcBorders>
          </w:tcPr>
          <w:p>
            <w:pPr>
              <w:spacing w:after="0"/>
              <w:rPr>
                <w:sz w:val="22"/>
                <w:szCs w:val="22"/>
                <w:color w:val="auto"/>
              </w:rPr>
            </w:pPr>
          </w:p>
        </w:tc>
      </w:tr>
      <w:tr>
        <w:trPr>
          <w:trHeight w:val="189"/>
        </w:trPr>
        <w:tc>
          <w:tcPr>
            <w:tcW w:w="4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840" w:type="dxa"/>
            <w:vAlign w:val="bottom"/>
          </w:tcPr>
          <w:p>
            <w:pPr>
              <w:ind w:left="360"/>
              <w:spacing w:after="0"/>
              <w:rPr>
                <w:sz w:val="20"/>
                <w:szCs w:val="20"/>
                <w:color w:val="auto"/>
              </w:rPr>
            </w:pPr>
            <w:r>
              <w:rPr>
                <w:rFonts w:ascii="Arial" w:cs="Arial" w:eastAsia="Arial" w:hAnsi="Arial"/>
                <w:sz w:val="17"/>
                <w:szCs w:val="17"/>
                <w:color w:val="auto"/>
                <w:w w:val="98"/>
              </w:rPr>
              <w:t>Net (loss) earnings per shares of common stock – basic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840" w:type="dxa"/>
            <w:vAlign w:val="bottom"/>
          </w:tcPr>
          <w:p>
            <w:pPr>
              <w:ind w:left="360"/>
              <w:spacing w:after="0"/>
              <w:rPr>
                <w:sz w:val="20"/>
                <w:szCs w:val="20"/>
                <w:color w:val="auto"/>
              </w:rPr>
            </w:pPr>
            <w:r>
              <w:rPr>
                <w:rFonts w:ascii="Arial" w:cs="Arial" w:eastAsia="Arial" w:hAnsi="Arial"/>
                <w:sz w:val="17"/>
                <w:szCs w:val="17"/>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(0.19)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38"/>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
              <w:spacing w:after="0"/>
              <w:rPr>
                <w:sz w:val="20"/>
                <w:szCs w:val="20"/>
                <w:color w:val="auto"/>
              </w:rPr>
            </w:pPr>
            <w:r>
              <w:rPr>
                <w:rFonts w:ascii="Arial" w:cs="Arial" w:eastAsia="Arial" w:hAnsi="Arial"/>
                <w:sz w:val="17"/>
                <w:szCs w:val="17"/>
                <w:color w:val="auto"/>
              </w:rPr>
              <w:t>0.04</w:t>
            </w:r>
          </w:p>
        </w:tc>
      </w:tr>
      <w:tr>
        <w:trPr>
          <w:trHeight w:val="197"/>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3"/>
              </w:rPr>
              <w:t>Weighted average shares of common stock outstanding – basic</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and diluted</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2,330,884</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67,143,823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67,047,044</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pro forma condensed combined financial information.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7"/>
          <w:szCs w:val="17"/>
          <w:b w:val="1"/>
          <w:bCs w:val="1"/>
          <w:color w:val="auto"/>
        </w:rPr>
        <w:t>NOTES TO UNAUDITED PRO FORMA</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COMBINED FINANCIAL INFORMATION</w:t>
      </w:r>
    </w:p>
    <w:p>
      <w:pPr>
        <w:spacing w:after="0" w:line="205"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2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The Business Combination is accounted for as a reverse merger, with no goodwill or other intangible assets recorded, in accordance with GAAP. Under this method of accounting, M I is treated as the “acquired” company for financial reporting purposes. This determination was primarily based on Priority Holdings, LLC comprising the ongoing operations of the combined company, Priority Holdings, LLC’s senior management comprising the senior management of the combined company, and Priority Holdings, LLC’s stockholders having a majority of the voting power of the combined company. Accordingly, for accounting purposes, the Business Combination was treated as the equivalent of Priority Holdings, LLC issuing stock for the net assets of M I, accompanied by a recapitalization. The net assets of M I are stated at historical cost, with no goodwill or other intangible assets recorded. Operations prior to the Business Combination are those of Priority Holdings, LLC.</w:t>
      </w:r>
    </w:p>
    <w:p>
      <w:pPr>
        <w:spacing w:after="0" w:line="180" w:lineRule="exact"/>
        <w:rPr>
          <w:sz w:val="20"/>
          <w:szCs w:val="20"/>
          <w:color w:val="auto"/>
        </w:rPr>
      </w:pPr>
    </w:p>
    <w:p>
      <w:pPr>
        <w:jc w:val="both"/>
        <w:ind w:right="240"/>
        <w:spacing w:after="0" w:line="272" w:lineRule="auto"/>
        <w:rPr>
          <w:sz w:val="20"/>
          <w:szCs w:val="20"/>
          <w:color w:val="auto"/>
        </w:rPr>
      </w:pPr>
      <w:r>
        <w:rPr>
          <w:rFonts w:ascii="Arial" w:cs="Arial" w:eastAsia="Arial" w:hAnsi="Arial"/>
          <w:sz w:val="17"/>
          <w:szCs w:val="17"/>
          <w:color w:val="auto"/>
        </w:rPr>
        <w:t>The unaudited pro forma condensed combined statements of operations for the nine months ended September 30, 2018 and the year ended December 31, 2017 present pro forma effects to the Business Combination and the related proposed equity commitments as if they had been completed on January 1, 2017. These periods are presented on the basis of Priority Holdings, LLC as the accounting acquirer.</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The unaudited pro forma condensed combined statement of operations for the nine months ended September 30, 2018 has been prepared using and should be read in conjunction with the following:</w:t>
      </w:r>
    </w:p>
    <w:p>
      <w:pPr>
        <w:spacing w:after="0" w:line="159"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 I’s unaudited statement of operations for the six months ended June 30, 2018 and the related notes; and</w:t>
      </w:r>
    </w:p>
    <w:p>
      <w:pPr>
        <w:spacing w:after="0" w:line="249" w:lineRule="exact"/>
        <w:rPr>
          <w:rFonts w:ascii="Arial" w:cs="Arial" w:eastAsia="Arial" w:hAnsi="Arial"/>
          <w:sz w:val="17"/>
          <w:szCs w:val="17"/>
          <w:color w:val="auto"/>
        </w:rPr>
      </w:pPr>
    </w:p>
    <w:p>
      <w:pPr>
        <w:ind w:left="640" w:right="480" w:hanging="321"/>
        <w:spacing w:after="0" w:line="288" w:lineRule="auto"/>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Priority’s unaudited condensed consolidated statement of operations for the nine months ended September 30, 2018 and the related notes included elsewhere in this Prospectus/Offer to Exchange.</w:t>
      </w:r>
    </w:p>
    <w:p>
      <w:pPr>
        <w:spacing w:after="0" w:line="159" w:lineRule="exact"/>
        <w:rPr>
          <w:sz w:val="20"/>
          <w:szCs w:val="20"/>
          <w:color w:val="auto"/>
        </w:rPr>
      </w:pPr>
    </w:p>
    <w:p>
      <w:pPr>
        <w:ind w:right="400"/>
        <w:spacing w:after="0" w:line="288" w:lineRule="auto"/>
        <w:rPr>
          <w:sz w:val="20"/>
          <w:szCs w:val="20"/>
          <w:color w:val="auto"/>
        </w:rPr>
      </w:pPr>
      <w:r>
        <w:rPr>
          <w:rFonts w:ascii="Arial" w:cs="Arial" w:eastAsia="Arial" w:hAnsi="Arial"/>
          <w:sz w:val="17"/>
          <w:szCs w:val="17"/>
          <w:color w:val="auto"/>
        </w:rPr>
        <w:t>The unaudited pro forma condensed combined statement of operations for the year ended December 31, 2017 has been prepared using and should be read in conjunction with the following:</w:t>
      </w:r>
    </w:p>
    <w:p>
      <w:pPr>
        <w:spacing w:after="0" w:line="159" w:lineRule="exact"/>
        <w:rPr>
          <w:sz w:val="20"/>
          <w:szCs w:val="20"/>
          <w:color w:val="auto"/>
        </w:rPr>
      </w:pPr>
    </w:p>
    <w:p>
      <w:pPr>
        <w:ind w:left="640" w:right="560" w:hanging="321"/>
        <w:spacing w:after="0" w:line="28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 I’s audited statement of operations for the year ended December 31, 2017 and the related notes, included elsewhere in this Prospectus/Offer to Exchange; and</w:t>
      </w:r>
    </w:p>
    <w:p>
      <w:pPr>
        <w:spacing w:after="0" w:line="158" w:lineRule="exact"/>
        <w:rPr>
          <w:rFonts w:ascii="Arial" w:cs="Arial" w:eastAsia="Arial" w:hAnsi="Arial"/>
          <w:sz w:val="17"/>
          <w:szCs w:val="17"/>
          <w:color w:val="auto"/>
        </w:rPr>
      </w:pPr>
    </w:p>
    <w:p>
      <w:pPr>
        <w:ind w:left="640" w:right="800" w:hanging="321"/>
        <w:spacing w:after="0" w:line="288"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Priority’s audited consolidated statement of operations for the year ended December 31, 2017 and the related notes included elsewhere in this Prospectus/Offer to Exchange.</w:t>
      </w:r>
    </w:p>
    <w:p>
      <w:pPr>
        <w:spacing w:after="0" w:line="159"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00"/>
          </w:cols>
          <w:pgMar w:left="240" w:top="775" w:right="359" w:bottom="1440" w:gutter="0" w:footer="0" w:header="0"/>
        </w:sectPr>
      </w:pPr>
    </w:p>
    <w:bookmarkStart w:id="65" w:name="page66"/>
    <w:bookmarkEnd w:id="65"/>
    <w:p>
      <w:pPr>
        <w:ind w:right="180"/>
        <w:spacing w:after="0" w:line="313" w:lineRule="auto"/>
        <w:rPr>
          <w:sz w:val="20"/>
          <w:szCs w:val="20"/>
          <w:color w:val="auto"/>
        </w:rPr>
      </w:pPr>
      <w:r>
        <w:rPr>
          <w:rFonts w:ascii="Arial" w:cs="Arial" w:eastAsia="Arial" w:hAnsi="Arial"/>
          <w:sz w:val="15"/>
          <w:szCs w:val="15"/>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Company is currently evaluating the valuation of the earn-out and other terms to determine the accounting treatment following the consummation of the Business Combination.</w:t>
      </w:r>
    </w:p>
    <w:p>
      <w:pPr>
        <w:spacing w:after="0" w:line="14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pro forma adjustments reflecting the consummation of the Business Combination and the completion of related proposed equity commitments are based on certain currently available information and certain assumptions and methodologies that the Company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differences may be material. the Company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66"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M I and Priority Technology Holdings, Inc.</w:t>
      </w:r>
    </w:p>
    <w:p>
      <w:pPr>
        <w:spacing w:after="0" w:line="171" w:lineRule="exact"/>
        <w:rPr>
          <w:sz w:val="20"/>
          <w:szCs w:val="20"/>
          <w:color w:val="auto"/>
        </w:rPr>
      </w:pPr>
    </w:p>
    <w:p>
      <w:pPr>
        <w:ind w:left="320" w:hanging="315"/>
        <w:spacing w:after="0"/>
        <w:tabs>
          <w:tab w:leader="none" w:pos="32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After consummation of the Business Combination, Priority Technology Holdings, Inc. performed a comprehensive review of its accounting policies. Since M I had substantially no business operations as a SPAC, its limited accounting policies were not in conflict with those of the Company. Accordingly, the combined company uses the accounting policies of the Company as described in Note 1 to Priority Technology Holdings, Inc.’s audited consolidated financial statements as of and for the year ended December 31, 2017 included elsewhere in this Prospectus/Offer to Exchange. There have been no material changes to these accounting policies, except as noted in the unaudited condensed consolidated financial statements for the nine months ended September 30, 2018 and the related notes included elsewhere in this Prospectus/Offer to Exchange for the: (1) new accounting pronouncement adopted in the nine months ended September 30, 2018, (2) adoption of an accounting policy for income taxes during the third quarter of 2018, (3) updated accounting policy for (loss) earnings per share, and (4) updated fair value accounting policy for contingent consideration associated with business combinations. As a result, the unaudited pro forma condensed combined financial information does not assume any differences in accounting policies.</w:t>
      </w:r>
    </w:p>
    <w:p>
      <w:pPr>
        <w:spacing w:after="0" w:line="162"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Unaudited Pro Forma Condensed Combined Statements of Operations</w:t>
      </w:r>
    </w:p>
    <w:p>
      <w:pPr>
        <w:spacing w:after="0" w:line="229"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color w:val="auto"/>
        </w:rPr>
        <w:t>The unaudited pro forma condensed combined statements of operations have been prepared to illustrate the effect of the Business Combination and has been prepared for informational purposes only.</w:t>
      </w:r>
    </w:p>
    <w:p>
      <w:pPr>
        <w:spacing w:after="0" w:line="15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statements of operations to give pro forma effect to events that are (1) directly attributable to the Business Combination, (2) factually supportable, and (3) expected to have a continuing impact on the results of the Company. Priority Technology Holdings, Inc. and M I had no historical relationships prior to the Business Combination. Accordingly, no pro forma adjustments were required to eliminate activities between the companies.</w:t>
      </w:r>
    </w:p>
    <w:p>
      <w:pPr>
        <w:spacing w:after="0" w:line="177" w:lineRule="exact"/>
        <w:rPr>
          <w:sz w:val="20"/>
          <w:szCs w:val="20"/>
          <w:color w:val="auto"/>
        </w:rPr>
      </w:pPr>
    </w:p>
    <w:p>
      <w:pPr>
        <w:ind w:right="600"/>
        <w:spacing w:after="0" w:line="288" w:lineRule="auto"/>
        <w:rPr>
          <w:sz w:val="20"/>
          <w:szCs w:val="20"/>
          <w:color w:val="auto"/>
        </w:rPr>
      </w:pPr>
      <w:r>
        <w:rPr>
          <w:rFonts w:ascii="Arial" w:cs="Arial" w:eastAsia="Arial" w:hAnsi="Arial"/>
          <w:sz w:val="17"/>
          <w:szCs w:val="17"/>
          <w:color w:val="auto"/>
        </w:rPr>
        <w:t>The pro forma combined consolidated provision for income taxes does not necessarily reflect the amounts that would have resulted had the Company filed consolidated income tax returns during the periods presented.</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66" w:name="page67"/>
    <w:bookmarkEnd w:id="66"/>
    <w:p>
      <w:pPr>
        <w:ind w:right="20"/>
        <w:spacing w:after="0" w:line="272" w:lineRule="auto"/>
        <w:rPr>
          <w:sz w:val="20"/>
          <w:szCs w:val="20"/>
          <w:color w:val="auto"/>
        </w:rPr>
      </w:pPr>
      <w:r>
        <w:rPr>
          <w:rFonts w:ascii="Arial" w:cs="Arial" w:eastAsia="Arial" w:hAnsi="Arial"/>
          <w:sz w:val="17"/>
          <w:szCs w:val="17"/>
          <w:color w:val="auto"/>
        </w:rPr>
        <w:t>The pro forma basic and diluted (loss) earnings per share amounts presented in the unaudited pro forma condensed combined consolidated statements of operations are based upon the number of Priority Technology Holdings, Inc.’s shares outstanding, assuming the Business Combination had occurred on January 1, 2017 and related proposed equity commitments.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Adjustments to Unaudited Pro Forma Condensed Combined Statements of Operations</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The pro forma adjustments included in the unaudited pro forma condensed combined statements of operations for the nine months ended September 30, 2018 and year ended December 31, 2017 are as follows:</w:t>
      </w:r>
    </w:p>
    <w:p>
      <w:pPr>
        <w:spacing w:after="0" w:line="159" w:lineRule="exact"/>
        <w:rPr>
          <w:sz w:val="20"/>
          <w:szCs w:val="20"/>
          <w:color w:val="auto"/>
        </w:rPr>
      </w:pPr>
    </w:p>
    <w:p>
      <w:pPr>
        <w:ind w:left="1260" w:hanging="628"/>
        <w:spacing w:after="0"/>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Elimination of interest income on the trust account</w:t>
      </w:r>
    </w:p>
    <w:p>
      <w:pPr>
        <w:spacing w:after="0" w:line="223" w:lineRule="exact"/>
        <w:rPr>
          <w:rFonts w:ascii="Arial" w:cs="Arial" w:eastAsia="Arial" w:hAnsi="Arial"/>
          <w:sz w:val="17"/>
          <w:szCs w:val="17"/>
          <w:color w:val="auto"/>
        </w:rPr>
      </w:pPr>
    </w:p>
    <w:p>
      <w:pPr>
        <w:ind w:left="1260" w:right="120" w:hanging="628"/>
        <w:spacing w:after="0" w:line="267"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an income tax expense at 18% effective rate on the combined pro forma net loss for the nine months ended September 30, 2018 and provision on the combined pro forma income at 38% effective tax rate for the year ended December 31, 2017. The tax impacts of the Business Combination were estimated based on the applicable law in effect on September 30, 2018 and December 31, 2017, respectively, inclusive of the effects of the Tax Act which was signed into law on December 22, 2017.</w:t>
      </w:r>
    </w:p>
    <w:p>
      <w:pPr>
        <w:spacing w:after="0" w:line="176" w:lineRule="exact"/>
        <w:rPr>
          <w:rFonts w:ascii="Arial" w:cs="Arial" w:eastAsia="Arial" w:hAnsi="Arial"/>
          <w:sz w:val="17"/>
          <w:szCs w:val="17"/>
          <w:color w:val="auto"/>
        </w:rPr>
      </w:pPr>
    </w:p>
    <w:p>
      <w:pPr>
        <w:ind w:left="1260" w:right="100" w:hanging="628"/>
        <w:spacing w:after="0" w:line="288" w:lineRule="auto"/>
        <w:tabs>
          <w:tab w:leader="none" w:pos="1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elimination of approximately $4.1 million in nonrecurring transaction costs incurred for the nine months ended September 30, 2018 that are directly related to the Business Combination.</w:t>
      </w:r>
    </w:p>
    <w:p>
      <w:pPr>
        <w:spacing w:after="0" w:line="179" w:lineRule="exact"/>
        <w:rPr>
          <w:sz w:val="20"/>
          <w:szCs w:val="20"/>
          <w:color w:val="auto"/>
        </w:rPr>
      </w:pPr>
    </w:p>
    <w:p>
      <w:pPr>
        <w:ind w:left="640" w:hanging="635"/>
        <w:spacing w:after="0"/>
        <w:tabs>
          <w:tab w:leader="none" w:pos="64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(Loss) Earnings per Share</w:t>
      </w:r>
    </w:p>
    <w:p>
      <w:pPr>
        <w:spacing w:after="0" w:line="22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Represents the (loss) earnings per share calculated using the historical weighted average Priority shares and the issuance of additional shares in connection with the Business Combination, assuming the shares were outstanding since January 1, 2017. As the Business Combination and related equity transactions are being reflected as if they had occurred at the beginning of the periods presented, the calculation of weighted average shares outstanding for basic and diluted net earnings (loss) per share assumes that the shares issuable relating to the Business Combination have been outstanding for the entire periods presented. On a pro forma basis, no potentially dilutive shares were outstanding during the nine months ended September 30, 2018 or the year ended December 31, 2017. Therefore, basic and diluted weighted average shares were the same for the period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Pro Forma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93"/>
              </w:rPr>
              <w:t>Combined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580" w:type="dxa"/>
            <w:vAlign w:val="bottom"/>
            <w:gridSpan w:val="3"/>
          </w:tcPr>
          <w:p>
            <w:pPr>
              <w:jc w:val="center"/>
              <w:spacing w:after="0" w:line="185" w:lineRule="exact"/>
              <w:rPr>
                <w:sz w:val="20"/>
                <w:szCs w:val="20"/>
                <w:color w:val="auto"/>
              </w:rPr>
            </w:pPr>
            <w:r>
              <w:rPr>
                <w:rFonts w:ascii="Arial" w:cs="Arial" w:eastAsia="Arial" w:hAnsi="Arial"/>
                <w:sz w:val="17"/>
                <w:szCs w:val="17"/>
                <w:b w:val="1"/>
                <w:bCs w:val="1"/>
                <w:color w:val="auto"/>
                <w:w w:val="89"/>
              </w:rPr>
              <w:t>Nine months ended</w:t>
            </w:r>
          </w:p>
        </w:tc>
        <w:tc>
          <w:tcPr>
            <w:tcW w:w="0" w:type="dxa"/>
            <w:vAlign w:val="bottom"/>
          </w:tcPr>
          <w:p>
            <w:pPr>
              <w:spacing w:after="0"/>
              <w:rPr>
                <w:sz w:val="1"/>
                <w:szCs w:val="1"/>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share and per share data)</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September 30,</w:t>
            </w:r>
          </w:p>
        </w:tc>
        <w:tc>
          <w:tcPr>
            <w:tcW w:w="0" w:type="dxa"/>
            <w:vAlign w:val="bottom"/>
          </w:tcPr>
          <w:p>
            <w:pPr>
              <w:spacing w:after="0"/>
              <w:rPr>
                <w:sz w:val="1"/>
                <w:szCs w:val="1"/>
                <w:color w:val="auto"/>
              </w:rPr>
            </w:pPr>
          </w:p>
        </w:tc>
      </w:tr>
      <w:tr>
        <w:trPr>
          <w:trHeight w:val="228"/>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Pro Forma Basic and Diluted Loss Per Share</w:t>
            </w:r>
          </w:p>
        </w:tc>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 Forma Net Loss Attributable to Common Stockholders</w:t>
            </w:r>
          </w:p>
        </w:tc>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Basic and Diluted Weighted Average Shares Outstanding</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60,339,344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Pro Forma Basic and Diluted Loss Per Share</w:t>
            </w:r>
          </w:p>
        </w:tc>
        <w:tc>
          <w:tcPr>
            <w:tcW w:w="4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426"/>
        </w:trPr>
        <w:tc>
          <w:tcPr>
            <w:tcW w:w="5060" w:type="dxa"/>
            <w:vAlign w:val="bottom"/>
            <w:gridSpan w:val="2"/>
          </w:tcPr>
          <w:p>
            <w:pPr>
              <w:spacing w:after="0"/>
              <w:rPr>
                <w:sz w:val="20"/>
                <w:szCs w:val="20"/>
                <w:color w:val="auto"/>
              </w:rPr>
            </w:pPr>
            <w:r>
              <w:rPr>
                <w:rFonts w:ascii="Arial" w:cs="Arial" w:eastAsia="Arial" w:hAnsi="Arial"/>
                <w:sz w:val="17"/>
                <w:szCs w:val="17"/>
                <w:color w:val="auto"/>
              </w:rPr>
              <w:t>(in thousands except share and per share data)</w:t>
            </w:r>
          </w:p>
        </w:tc>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28"/>
        </w:trPr>
        <w:tc>
          <w:tcPr>
            <w:tcW w:w="5060" w:type="dxa"/>
            <w:vAlign w:val="bottom"/>
            <w:gridSpan w:val="2"/>
          </w:tcPr>
          <w:p>
            <w:pPr>
              <w:spacing w:after="0"/>
              <w:rPr>
                <w:sz w:val="20"/>
                <w:szCs w:val="20"/>
                <w:color w:val="auto"/>
              </w:rPr>
            </w:pPr>
            <w:r>
              <w:rPr>
                <w:rFonts w:ascii="Arial" w:cs="Arial" w:eastAsia="Arial" w:hAnsi="Arial"/>
                <w:sz w:val="17"/>
                <w:szCs w:val="17"/>
                <w:b w:val="1"/>
                <w:bCs w:val="1"/>
                <w:color w:val="auto"/>
              </w:rPr>
              <w:t>Pro Forma Basic and Diluted Earnings Per Share</w:t>
            </w:r>
          </w:p>
        </w:tc>
        <w:tc>
          <w:tcPr>
            <w:tcW w:w="4780" w:type="dxa"/>
            <w:vAlign w:val="bottom"/>
          </w:tcPr>
          <w:p>
            <w:pPr>
              <w:spacing w:after="0"/>
              <w:rPr>
                <w:sz w:val="19"/>
                <w:szCs w:val="19"/>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Pro Forma Net Income Attributable to Common Stockholders</w:t>
            </w:r>
          </w:p>
        </w:tc>
        <w:tc>
          <w:tcPr>
            <w:tcW w:w="4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Basic and Diluted Weighted Average Shares Outstanding</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67,047,044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Pro Forma Basic and Diluted Earnings Per Share</w:t>
            </w:r>
          </w:p>
        </w:tc>
        <w:tc>
          <w:tcPr>
            <w:tcW w:w="49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Weighted Average Shares – Basic and Diluted</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MI Merger Consideration Shares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60,546,395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MI Founder Shares Held by the Sellers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453,210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MI Private Placement Shares Held by the Sellers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421,107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Founders Shares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699,454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ind w:left="140"/>
              <w:spacing w:after="0"/>
              <w:rPr>
                <w:sz w:val="20"/>
                <w:szCs w:val="20"/>
                <w:color w:val="auto"/>
              </w:rPr>
            </w:pPr>
            <w:r>
              <w:rPr>
                <w:rFonts w:ascii="Arial" w:cs="Arial" w:eastAsia="Arial" w:hAnsi="Arial"/>
                <w:sz w:val="17"/>
                <w:szCs w:val="17"/>
                <w:color w:val="auto"/>
              </w:rPr>
              <w:t>Shares Held by Former M I Stockholders</w:t>
            </w:r>
          </w:p>
        </w:tc>
        <w:tc>
          <w:tcPr>
            <w:tcW w:w="4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4,926,878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Pro Forma Weighted Average Shares – Basic and Diluted</w:t>
            </w:r>
          </w:p>
        </w:tc>
        <w:tc>
          <w:tcPr>
            <w:tcW w:w="47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67,047,044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780" w:type="dxa"/>
            <w:vAlign w:val="bottom"/>
            <w:vMerge w:val="restart"/>
          </w:tcPr>
          <w:p>
            <w:pPr>
              <w:jc w:val="right"/>
              <w:ind w:right="3953"/>
              <w:spacing w:after="0"/>
              <w:rPr>
                <w:sz w:val="20"/>
                <w:szCs w:val="20"/>
                <w:color w:val="auto"/>
              </w:rPr>
            </w:pPr>
            <w:r>
              <w:rPr>
                <w:rFonts w:ascii="Arial" w:cs="Arial" w:eastAsia="Arial" w:hAnsi="Arial"/>
                <w:sz w:val="17"/>
                <w:szCs w:val="17"/>
                <w:color w:val="auto"/>
              </w:rPr>
              <w:t>57</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M I had 5,731,216 public and private warrants sold during the M I IPO to purchase up to a total of 5,731,216 common shares. The Warrants are exercisable at</w:t>
      </w:r>
    </w:p>
    <w:p>
      <w:pPr>
        <w:spacing w:after="0" w:line="3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$11.50 per share amounts which exceeds the current market price of common stock and the approximate per share redemption price. The Warrants are considered anti-dilutive and are excluded from the (loss) earnings per share calculation when the exercise price exceeds the average market value of the common stock price during the applicable period. M I sold to the M I IPO underwriters, Chardan Capital Markets, LLC, for $100, a unit purchase option to purchase up to a total of 300,000 units exercisable at $12.00 per unit (or an aggregate exercise price of $3,600,000) commencing on the later of the consummation of a Business Combination and nine months from September 13, 2016. The unit purchase option expires five years from September 13, 2016. The units issuable upon exercise of this option are identical to the units offered in the M I IPO. M I agreed to grant to the holders of the unit purchase option, demand and “piggy back” registration rights for periods of five and seven years, respectively, from September 13, 2016, including securities directly and indirectly issuable upon exercise of the unit purchase option.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(loss) earnings per share calculation when the exercise price exceeds the average market value of the common stock price during the applicable period.</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ind w:right="160"/>
        <w:spacing w:after="0" w:line="295" w:lineRule="auto"/>
        <w:rPr>
          <w:sz w:val="20"/>
          <w:szCs w:val="20"/>
          <w:color w:val="auto"/>
        </w:rPr>
      </w:pPr>
      <w:r>
        <w:rPr>
          <w:rFonts w:ascii="Arial" w:cs="Arial" w:eastAsia="Arial" w:hAnsi="Arial"/>
          <w:sz w:val="15"/>
          <w:szCs w:val="15"/>
          <w:color w:val="auto"/>
        </w:rPr>
        <w:t>We are a leading provider of merchant acquiring and commercial payment solutions, offering unique product capabilities to SMBs, enterprises and distribution partners (Retail ISO’s, Financial Institutions, Wholesale ISO’s and ISV’s) in the United States. The Company, then Priority Holdings, LLC, was founded in 2005 with a mission to build a merchant inspired payments platform that would advance the goals of our SMB and enterprise clients and distribution partners. Since 2013, we have grown from the 38th largest U.S. merchant acquirer to become the 13th largest as of the end of 2017, measured by Visa and MasterCard purchase</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volume according to The Nilson Report. We are currently the 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largest non-bank merchant acquirer in the United States. In 2017, we processed over 439 million transactions and over $34 billion in bankcard payment volume across approximately 174,000 merchants. In the nine months ended September 30, 2018, we processed over 389.9 million transactions and over $31.6 billion in bankcard payment volume across approximately the same number of merchants. Headquartered in Alpharetta, GA, we have approximately 553 employees and are led by an experienced group of payments executives.</w:t>
      </w:r>
    </w:p>
    <w:p>
      <w:pPr>
        <w:spacing w:after="0" w:line="19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MX Product line, provides technology-enabled payment acceptance and business management capabilities to merchants, enterprises and our distribution partners. The MX product line includes: Our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our leverage point. MX Connect provides our consumer payments reselling partners with automated tools that support low friction merchant on-boarding, underwriting and risk management, client service, and commission processing through a single mobile-enabled, web-based interface. The result is a smooth merchant activation onto our flagship consumer payments offering, MX Merchant, which provides core processing and business solutions to SMB clients. In addition to payment processing, the MX Merchant product line encompasses a variety of proprietary and third-party product applications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our technology into the critical day-to-day workflows and operations of both merchants and resellers, we have established and maintained “sticky” relationships. Strong retention, coupled with consistent merchant boarding, have resulted in strong processing volume and revenue growth.</w:t>
      </w:r>
    </w:p>
    <w:p>
      <w:pPr>
        <w:spacing w:after="0" w:line="17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The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our MX and CPX platforms is the Company’s Vortex.Cloud and Vortex.OS enterprise infrastructure, a curated cloud and application programming interface (“API”) driven operating system built for scale and agility.</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developed an entirely virtual computing infrastructure in 2012. This infrastructure, known as Vortex.Cloud, is a highly-available, redundant, and audited (PCI, HIPAA, NACHA, and SOC) computing platform with centralized security and technical operations. We strive to enable Vortex.Cloud to maintain 99.999% uptime. All computational and IP assets of our operating companies are hosted and managed on Vortex.Cloud infrastructure. Upon Vortex.Cloud, We have constructed a uniform set of API’s, called Vortex.OS (operating system), that provide critical functionality to our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our operating infrastructure and accelerate achievement of revenue and cost synergies.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69" w:name="page70"/>
    <w:bookmarkEnd w:id="69"/>
    <w:p>
      <w:pPr>
        <w:ind w:right="40"/>
        <w:spacing w:after="0" w:line="276" w:lineRule="auto"/>
        <w:rPr>
          <w:sz w:val="20"/>
          <w:szCs w:val="20"/>
          <w:color w:val="auto"/>
        </w:rPr>
      </w:pPr>
      <w:r>
        <w:rPr>
          <w:rFonts w:ascii="Arial" w:cs="Arial" w:eastAsia="Arial" w:hAnsi="Arial"/>
          <w:sz w:val="16"/>
          <w:szCs w:val="16"/>
          <w:color w:val="auto"/>
        </w:rPr>
        <w:t>We sell our B2C merchant acquiring solutions primarily to SMBs through a growing and diverse reseller network, including ISOs, Financial Institutions (“FIs”), ISVs, Value-Added Resellers (“VARs”) and other referral partners. The Company maintains stable, long-term relationships with our resellers, bolstered by the integration of MX Connect, a powerful customer relationship management (“CRM”) and business operating system. MX Connect is used by our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we offer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that create an integrated merchant experience. MX Merchant’s add-on applications include invoicing, website builder, inventory management and customer engagement and data analytics focused on targeted marketing among others. These proprietary business management tools and add-on applications, coupled with our omni-channel payment solutions, enable us to achieve attrition rates that, we believe, are well below industry average. MX Merchant can be deployed on hardware from a variety of vendors and operated either as a standalone product or integrated with third-party software. Through MX Merchant, we are well-positioned to capitalize on the trend towards integrated payments solutions, new technology adoption, and value-added service utilization in the SMB market. Our broad go-to-market strategy has resulted in a merchant base that is both industry and geographically diversified in the United States, resulting in low industry and merchant concentration.</w:t>
      </w:r>
    </w:p>
    <w:p>
      <w:pPr>
        <w:spacing w:after="0" w:line="17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addition to our B2C offering, we have diversified our source of revenues through our growing presence in the B2B market. We work with enterprise clients and leading financial institutions seeking to automate their accounts payable processes. We provide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our AP automation solutions provides suppliers with the benefits of cash acceleration, buyers with valuable rebate/discount revenue, and the Company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us.</w:t>
      </w:r>
    </w:p>
    <w:p>
      <w:pPr>
        <w:spacing w:after="0" w:line="18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We generate revenue primarily from fees charged for processing payment transactions, and to a lesser extent, from monthly subscription services and other solutions provided to merchants. Processing fees are generated from the ongoing sales of our merchants under multi-year merchant contracts, and thus are highly recurring in nature. Due to the nature of our strong reseller-centric distribution model and differentiated technology offering, we can drive efficient scale and operating leverage, generating robust margins and profitability.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2017, we generated revenue of $425.6 million, net income of $4.6 million and Adjusted EBITDA of $58 million, compared to</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revenue of $344.1 million, net income of $20.2 million and Adjusted EBITDA of $46.7 million for the year ended December 31, 2016, an increase of 24%, 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decrease of 77%, and an increase of 24% for revenue, net income and Adjusted EBITDA, respectively. For the nine months ended September 30, 2018, we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generated revenue of $323.9 million, a net loss of $11.4 million and Adjusted EBITDA of $40.4 million, compared to revenue of $305.6 million, net income of</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$2.7 million and Adjusted EBITDA of $40.8 million for the nine months ended September 30, 2017, an increase of 6.0% for revenue, a decline of $14.1 million for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net income and a decrease of 1.0% for Adjusted EBITDA. For a discussion of Adjusted EBITDA and a reconciliation of net income, the most directly comparable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measure under GAAP, to Adjusted EBITDA, please see the section entitled “Management’s Discussion and Analysis of Financial Conditions and Results—Certain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Non-GAAP Measures” elsewhere in this Prospectus/Offer to Exchange.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Industry Overview</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63"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Key Industry Trends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key trends we believe are impacting the merchant acquiring / payment processing industry:</w:t>
      </w:r>
    </w:p>
    <w:p>
      <w:pPr>
        <w:spacing w:after="0" w:line="223" w:lineRule="exact"/>
        <w:rPr>
          <w:sz w:val="20"/>
          <w:szCs w:val="20"/>
          <w:color w:val="auto"/>
        </w:rPr>
      </w:pPr>
    </w:p>
    <w:p>
      <w:pPr>
        <w:ind w:left="640" w:right="100" w:hanging="321"/>
        <w:spacing w:after="0" w:line="264"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Trend Toward Electronic Transactions</w:t>
      </w:r>
      <w:r>
        <w:rPr>
          <w:rFonts w:ascii="Arial" w:cs="Arial" w:eastAsia="Arial" w:hAnsi="Arial"/>
          <w:sz w:val="17"/>
          <w:szCs w:val="17"/>
          <w:color w:val="auto"/>
        </w:rPr>
        <w:t>. We believe the continued shift from cash/paper payments toward electronic / card payments will drive growth for</w:t>
      </w:r>
      <w:r>
        <w:rPr>
          <w:rFonts w:ascii="Arial" w:cs="Arial" w:eastAsia="Arial" w:hAnsi="Arial"/>
          <w:sz w:val="17"/>
          <w:szCs w:val="17"/>
          <w:i w:val="1"/>
          <w:iCs w:val="1"/>
          <w:color w:val="auto"/>
        </w:rPr>
        <w:t xml:space="preserve"> </w:t>
      </w:r>
      <w:r>
        <w:rPr>
          <w:rFonts w:ascii="Arial" w:cs="Arial" w:eastAsia="Arial" w:hAnsi="Arial"/>
          <w:sz w:val="17"/>
          <w:szCs w:val="17"/>
          <w:color w:val="auto"/>
        </w:rPr>
        <w:t>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We believe the continued migration from cash to card and overall market growth will continue to provide tailwinds to the electronic payments industry.</w:t>
      </w:r>
    </w:p>
    <w:p>
      <w:pPr>
        <w:spacing w:after="0" w:line="206" w:lineRule="exact"/>
        <w:rPr>
          <w:rFonts w:ascii="Arial" w:cs="Arial" w:eastAsia="Arial" w:hAnsi="Arial"/>
          <w:sz w:val="17"/>
          <w:szCs w:val="17"/>
          <w:color w:val="auto"/>
        </w:rPr>
      </w:pPr>
    </w:p>
    <w:p>
      <w:pPr>
        <w:ind w:left="640" w:right="60" w:hanging="321"/>
        <w:spacing w:after="0" w:line="262"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206" w:lineRule="exact"/>
        <w:rPr>
          <w:rFonts w:ascii="Arial" w:cs="Arial" w:eastAsia="Arial" w:hAnsi="Arial"/>
          <w:sz w:val="17"/>
          <w:szCs w:val="17"/>
          <w:color w:val="auto"/>
        </w:rPr>
      </w:pPr>
    </w:p>
    <w:p>
      <w:pPr>
        <w:ind w:left="640" w:right="100" w:hanging="321"/>
        <w:spacing w:after="0" w:line="267"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Mobile Payments. </w:t>
      </w:r>
      <w:r>
        <w:rPr>
          <w:rFonts w:ascii="Arial" w:cs="Arial" w:eastAsia="Arial" w:hAnsi="Arial"/>
          <w:sz w:val="17"/>
          <w:szCs w:val="17"/>
          <w:color w:val="auto"/>
        </w:rPr>
        <w:t>Historically, ecommerce was conducted on a computer via a web browser; however, as mobile technologies continue to proliferate,</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consumers are making more purchases through mobile browsers and native mobile applications. We believe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202" w:lineRule="exact"/>
        <w:rPr>
          <w:rFonts w:ascii="Arial" w:cs="Arial" w:eastAsia="Arial" w:hAnsi="Arial"/>
          <w:sz w:val="17"/>
          <w:szCs w:val="17"/>
          <w:color w:val="auto"/>
        </w:rPr>
      </w:pPr>
    </w:p>
    <w:p>
      <w:pPr>
        <w:ind w:left="640" w:right="60" w:hanging="321"/>
        <w:spacing w:after="0" w:line="297"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 designed</w:t>
      </w:r>
      <w:r>
        <w:rPr>
          <w:rFonts w:ascii="Arial" w:cs="Arial" w:eastAsia="Arial" w:hAnsi="Arial"/>
          <w:sz w:val="16"/>
          <w:szCs w:val="16"/>
          <w:i w:val="1"/>
          <w:iCs w:val="1"/>
          <w:color w:val="auto"/>
        </w:rPr>
        <w:t xml:space="preserve"> </w:t>
      </w:r>
      <w:r>
        <w:rPr>
          <w:rFonts w:ascii="Arial" w:cs="Arial" w:eastAsia="Arial" w:hAnsi="Arial"/>
          <w:sz w:val="16"/>
          <w:szCs w:val="16"/>
          <w:color w:val="auto"/>
        </w:rPr>
        <w:t>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80" w:lineRule="exact"/>
        <w:rPr>
          <w:rFonts w:ascii="Arial" w:cs="Arial" w:eastAsia="Arial" w:hAnsi="Arial"/>
          <w:sz w:val="16"/>
          <w:szCs w:val="16"/>
          <w:color w:val="auto"/>
        </w:rPr>
      </w:pPr>
    </w:p>
    <w:p>
      <w:pPr>
        <w:ind w:left="940" w:hanging="308"/>
        <w:spacing w:after="0" w:line="288" w:lineRule="auto"/>
        <w:tabs>
          <w:tab w:leader="none" w:pos="9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United States was one of the last countries to adopt EMV technology, leaving a large group of merchants still transitioning to the EMV standards; and</w:t>
      </w:r>
    </w:p>
    <w:p>
      <w:pPr>
        <w:spacing w:after="0" w:line="184" w:lineRule="exact"/>
        <w:rPr>
          <w:rFonts w:ascii="Arial" w:cs="Arial" w:eastAsia="Arial" w:hAnsi="Arial"/>
          <w:sz w:val="17"/>
          <w:szCs w:val="17"/>
          <w:color w:val="auto"/>
        </w:rPr>
      </w:pPr>
    </w:p>
    <w:p>
      <w:pPr>
        <w:ind w:left="940" w:right="220" w:hanging="308"/>
        <w:spacing w:after="0" w:line="288" w:lineRule="auto"/>
        <w:tabs>
          <w:tab w:leader="none" w:pos="940" w:val="left"/>
        </w:tabs>
        <w:numPr>
          <w:ilvl w:val="1"/>
          <w:numId w:val="33"/>
        </w:numPr>
        <w:rPr>
          <w:rFonts w:ascii="Arial" w:cs="Arial" w:eastAsia="Arial" w:hAnsi="Arial"/>
          <w:sz w:val="17"/>
          <w:szCs w:val="17"/>
          <w:color w:val="auto"/>
        </w:rPr>
      </w:pPr>
      <w:r>
        <w:rPr>
          <w:rFonts w:ascii="Arial" w:cs="Arial" w:eastAsia="Arial" w:hAnsi="Arial"/>
          <w:sz w:val="17"/>
          <w:szCs w:val="17"/>
          <w:color w:val="auto"/>
        </w:rPr>
        <w:t>U.S. merchants are penalized for failing to comply with EMV standards by bearing the chargeback risk when presented with an EMV enabled card when the terminal is non-compliant.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71" w:name="page72"/>
    <w:bookmarkEnd w:id="71"/>
    <w:p>
      <w:pPr>
        <w:ind w:right="20"/>
        <w:spacing w:after="0" w:line="288" w:lineRule="auto"/>
        <w:rPr>
          <w:sz w:val="20"/>
          <w:szCs w:val="20"/>
          <w:color w:val="auto"/>
        </w:rPr>
      </w:pPr>
      <w:r>
        <w:rPr>
          <w:rFonts w:ascii="Arial" w:cs="Arial" w:eastAsia="Arial" w:hAnsi="Arial"/>
          <w:sz w:val="17"/>
          <w:szCs w:val="17"/>
          <w:color w:val="auto"/>
        </w:rPr>
        <w:t>The large majority of our third-party products are EMV enabled, and we expect that most new hardware sales will be EMV enabled devices, although all hardware sales constitute only a small portion of our total revenue.</w:t>
      </w:r>
    </w:p>
    <w:p>
      <w:pPr>
        <w:spacing w:after="0" w:line="15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Electronics Payments Overview</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8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54" w:lineRule="exact"/>
        <w:rPr>
          <w:sz w:val="20"/>
          <w:szCs w:val="20"/>
          <w:color w:val="auto"/>
        </w:rPr>
      </w:pPr>
    </w:p>
    <w:p>
      <w:pPr>
        <w:ind w:left="640" w:right="200" w:hanging="321"/>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Card Issuing Banks </w:t>
      </w:r>
      <w:r>
        <w:rPr>
          <w:rFonts w:ascii="Arial" w:cs="Arial" w:eastAsia="Arial" w:hAnsi="Arial"/>
          <w:sz w:val="17"/>
          <w:szCs w:val="17"/>
          <w:color w:val="auto"/>
        </w:rPr>
        <w:t>– Typically financial institutions that issue credit/debit cards to consumers (also underwrite the risk associated the cards), authorize</w:t>
      </w:r>
      <w:r>
        <w:rPr>
          <w:rFonts w:ascii="Arial" w:cs="Arial" w:eastAsia="Arial" w:hAnsi="Arial"/>
          <w:sz w:val="17"/>
          <w:szCs w:val="17"/>
          <w:i w:val="1"/>
          <w:iCs w:val="1"/>
          <w:color w:val="auto"/>
        </w:rPr>
        <w:t xml:space="preserve"> </w:t>
      </w:r>
      <w:r>
        <w:rPr>
          <w:rFonts w:ascii="Arial" w:cs="Arial" w:eastAsia="Arial" w:hAnsi="Arial"/>
          <w:sz w:val="17"/>
          <w:szCs w:val="17"/>
          <w:color w:val="auto"/>
        </w:rPr>
        <w:t>(check for fraud and sufficient funds) transactions and transfer funds through the payment networks for settlement. Some card issuers do not have the ability to process transactions in-house, in which case the issuer may engage a card processor.</w:t>
      </w:r>
    </w:p>
    <w:p>
      <w:pPr>
        <w:spacing w:after="0" w:line="198" w:lineRule="exact"/>
        <w:rPr>
          <w:rFonts w:ascii="Arial" w:cs="Arial" w:eastAsia="Arial" w:hAnsi="Arial"/>
          <w:sz w:val="17"/>
          <w:szCs w:val="17"/>
          <w:color w:val="auto"/>
        </w:rPr>
      </w:pPr>
    </w:p>
    <w:p>
      <w:pPr>
        <w:ind w:left="640" w:right="60" w:hanging="321"/>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Merchant Acquirers </w:t>
      </w:r>
      <w:r>
        <w:rPr>
          <w:rFonts w:ascii="Arial" w:cs="Arial" w:eastAsia="Arial" w:hAnsi="Arial"/>
          <w:sz w:val="17"/>
          <w:szCs w:val="17"/>
          <w:color w:val="auto"/>
        </w:rPr>
        <w:t>– Firms that sign up merchants to their platform through a variety of sales channels, enabling them to accept, process and settle</w:t>
      </w:r>
      <w:r>
        <w:rPr>
          <w:rFonts w:ascii="Arial" w:cs="Arial" w:eastAsia="Arial" w:hAnsi="Arial"/>
          <w:sz w:val="17"/>
          <w:szCs w:val="17"/>
          <w:i w:val="1"/>
          <w:iCs w:val="1"/>
          <w:color w:val="auto"/>
        </w:rPr>
        <w:t xml:space="preserve"> </w:t>
      </w:r>
      <w:r>
        <w:rPr>
          <w:rFonts w:ascii="Arial" w:cs="Arial" w:eastAsia="Arial" w:hAnsi="Arial"/>
          <w:sz w:val="17"/>
          <w:szCs w:val="17"/>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98" w:lineRule="exact"/>
        <w:rPr>
          <w:rFonts w:ascii="Arial" w:cs="Arial" w:eastAsia="Arial" w:hAnsi="Arial"/>
          <w:sz w:val="17"/>
          <w:szCs w:val="17"/>
          <w:color w:val="auto"/>
        </w:rPr>
      </w:pPr>
    </w:p>
    <w:p>
      <w:pPr>
        <w:ind w:left="640" w:hanging="321"/>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Payment Networks </w:t>
      </w:r>
      <w:r>
        <w:rPr>
          <w:rFonts w:ascii="Arial" w:cs="Arial" w:eastAsia="Arial" w:hAnsi="Arial"/>
          <w:sz w:val="17"/>
          <w:szCs w:val="17"/>
          <w:color w:val="auto"/>
        </w:rPr>
        <w:t>– Card brand companies, such as MasterCard or Visa, that set rules and provide the rails to route transactions and information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card issuers, merchant acquirers and payments processors in real-time over vast communication networks.</w:t>
      </w:r>
    </w:p>
    <w:p>
      <w:pPr>
        <w:spacing w:after="0" w:line="184" w:lineRule="exact"/>
        <w:rPr>
          <w:rFonts w:ascii="Arial" w:cs="Arial" w:eastAsia="Arial" w:hAnsi="Arial"/>
          <w:sz w:val="17"/>
          <w:szCs w:val="17"/>
          <w:color w:val="auto"/>
        </w:rPr>
      </w:pPr>
    </w:p>
    <w:p>
      <w:pPr>
        <w:ind w:left="640" w:right="400" w:hanging="321"/>
        <w:spacing w:after="0" w:line="272"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Merchant Processors </w:t>
      </w:r>
      <w:r>
        <w:rPr>
          <w:rFonts w:ascii="Arial" w:cs="Arial" w:eastAsia="Arial" w:hAnsi="Arial"/>
          <w:sz w:val="17"/>
          <w:szCs w:val="17"/>
          <w:color w:val="auto"/>
        </w:rPr>
        <w:t>– Firms that provide the technology needed to allow for payment authorization, data transmission, data security and settlement</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Oftentimes the term merchant acquirer and processor are used synonymously; however, they perform two distinct functions (sometimes provided by the same entity).</w:t>
      </w:r>
    </w:p>
    <w:p>
      <w:pPr>
        <w:spacing w:after="0" w:line="198" w:lineRule="exact"/>
        <w:rPr>
          <w:rFonts w:ascii="Arial" w:cs="Arial" w:eastAsia="Arial" w:hAnsi="Arial"/>
          <w:sz w:val="17"/>
          <w:szCs w:val="17"/>
          <w:color w:val="auto"/>
        </w:rPr>
      </w:pPr>
    </w:p>
    <w:p>
      <w:pPr>
        <w:ind w:left="640" w:right="60" w:hanging="321"/>
        <w:spacing w:after="0" w:line="288"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 processors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card networks. Sponsor banks provide merchants the ultimate access to the card networks for their processing activity.</w:t>
      </w:r>
    </w:p>
    <w:p>
      <w:pPr>
        <w:spacing w:after="0" w:line="159"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Each electronic payments transactions consists of two key steps: the front-end authorization and back end settlement.</w:t>
      </w: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807" w:right="279" w:bottom="1440" w:gutter="0" w:footer="0" w:header="0"/>
        </w:sectPr>
      </w:pPr>
    </w:p>
    <w:bookmarkStart w:id="72" w:name="page73"/>
    <w:bookmarkEnd w:id="72"/>
    <w:p>
      <w:pPr>
        <w:ind w:left="640" w:right="20" w:hanging="321"/>
        <w:spacing w:after="0" w:line="288"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Front End Authorization – The original request for payment authorization that occurs when the card is swiped or inserted at the POS or the data is entered into an online gateway.</w:t>
      </w:r>
    </w:p>
    <w:p>
      <w:pPr>
        <w:spacing w:after="0" w:line="184" w:lineRule="exact"/>
        <w:rPr>
          <w:rFonts w:ascii="Arial" w:cs="Arial" w:eastAsia="Arial" w:hAnsi="Arial"/>
          <w:sz w:val="17"/>
          <w:szCs w:val="17"/>
          <w:color w:val="auto"/>
        </w:rPr>
      </w:pPr>
    </w:p>
    <w:p>
      <w:pPr>
        <w:ind w:left="640" w:right="80" w:hanging="321"/>
        <w:spacing w:after="0" w:line="272"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122555</wp:posOffset>
            </wp:positionV>
            <wp:extent cx="5066665" cy="3571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66665" cy="357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229" w:lineRule="exact"/>
        <w:rPr>
          <w:sz w:val="20"/>
          <w:szCs w:val="20"/>
          <w:color w:val="auto"/>
        </w:rPr>
      </w:pPr>
    </w:p>
    <w:p>
      <w:pPr>
        <w:ind w:right="360"/>
        <w:spacing w:after="0" w:line="288" w:lineRule="auto"/>
        <w:rPr>
          <w:sz w:val="20"/>
          <w:szCs w:val="20"/>
          <w:color w:val="auto"/>
        </w:rPr>
      </w:pPr>
      <w:r>
        <w:rPr>
          <w:rFonts w:ascii="Arial" w:cs="Arial" w:eastAsia="Arial" w:hAnsi="Arial"/>
          <w:sz w:val="17"/>
          <w:szCs w:val="17"/>
          <w:color w:val="auto"/>
        </w:rPr>
        <w:t>We possess certain attributes that differentiate us as a leading provider of merchant acquiring and commercial payment solutions in the United States. Our key competitive strengths include: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Purpose-Built Proprietary Technology</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We have strategically built our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our operating infrastructure and accelerates achievement of revenue and of cost synergies.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73" w:name="page74"/>
    <w:bookmarkEnd w:id="73"/>
    <w:p>
      <w:pPr>
        <w:spacing w:after="0"/>
        <w:rPr>
          <w:sz w:val="20"/>
          <w:szCs w:val="20"/>
          <w:color w:val="auto"/>
        </w:rPr>
      </w:pPr>
      <w:r>
        <w:rPr>
          <w:rFonts w:ascii="Arial" w:cs="Arial" w:eastAsia="Arial" w:hAnsi="Arial"/>
          <w:sz w:val="17"/>
          <w:szCs w:val="17"/>
          <w:i w:val="1"/>
          <w:iCs w:val="1"/>
          <w:color w:val="auto"/>
        </w:rPr>
        <w:t>Diverse Reseller Community</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maintain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We believe that our ability to service our reseller partners through a comprehensive offering provides a competitive advantage that has allowed the company to build a large, diverse merchant base characterized by high retention. The strength of our technology offering is manifest in the fact that we maintain ownership of merchant contracts, with most reseller contracts including strong non-solicit and portability restrictions.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Comprehensive Suite of Payment Solutions</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MX Merchant offers a comprehensive and differentiated suite of traditional and emerging payment products and services that enables SMBs to address their payment needs through one provider. We provide a payment processing platform that allows merchants to accept electronic payments (e.g. credit cards, debit cards, and ACH) at the point of sale (“POS”), online, and via mobile payment technologies. In addition, through MX Merchant, we deliver innovative business management products and add-on features that meet the needs of SMBs across different vertical markets. Through our MX Merchant platform, we believe we are well-positioned to capitalize on the trend towards integrated payments solutions, new technology adoption and value-add service utilization that is underway in the SMB market. We believe our solutions facilitate a superior merchant experience that results in increased customer lifetime value.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Highly Scalable Business Model with Operating Leverage</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As a result of thoughtful investments in our technology, we have developed robust and differentiated infrastructure that has enabled us to scale in a cost-efficient manner. Our purpose-built proprietary technology platforms, MX and CPX, each serve a unique purpose within consumer and commercial payments, enabling the company to realize significant operating leverage within each business segment. Furthermore, the agility of our Vortex.Cloud and Vortex.OS enterprise infrastructure enables us to quickly and cost efficiently consolidate acquisitions to drive revenue and cost synergies. Our operating efficiency supports a low capital expenditure environment to develop product enhancements that drive organic growth across our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we anticipate ongoing economies of scale and increased margins over time.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Experienced Management Team Led by Industry Veterans</w:t>
      </w:r>
    </w:p>
    <w:p>
      <w:pPr>
        <w:spacing w:after="0" w:line="223"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Our executive management team has a record of execution in the merchant acquiring and technology-enabled payments industry. Our team has continued to develop and enhance the Company’s proprietary and innovative technology platforms that differentiate us with merchants and resellers in the industry. Since founding the Company, our leadership team has built strong, long-term relationships with reseller and enterprise partners by leveraging the MX and CPX product platforms to meet the needs of businesses in specific vertical markets. We invest to attract and retain executive leadership that align with the opportunities in the market and our strategic focus. Our proven execution track record is reflected in substantial revenue growth and strong profitability.</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Growth Strategies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continue to execute a multi-pronged growth strategy, with diverse organic initiatives supplemented by acquisitions. Growth strategies include: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Organic Growth in our Consumer Reseller and Merchant Base</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We expect to grow through our existing reseller network and merchant base, capitalizing on the inherent growth of existing merchant volume and reseller merchant portfolios. By providing resellers with agile tools to manage their sales businesses and grow their merchant portfolio, we have established a solid base from which to generate new merchant adoption and retain existing merchants. By engaging in a consultative partnership approach, we maintain strong relationships with our reseller partners and continues to exhibit strong merchant adoption and volume growth trends. Through our resellers, we provide merchants with full-service acquiring solutions, as well as value-added services and tools to streamline their business processes and enables them to focus on driving same store sales growth.</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Expand our Network of Distribution Partners</w:t>
      </w:r>
    </w:p>
    <w:p>
      <w:pPr>
        <w:spacing w:after="0" w:line="223"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have established and maintains a strong position within the reseller community, with approximately 800 partners. We intend to continue to expand our distribution network to reach new partners, particularly with ISVs and VARs to expand technology and integrated partnerships. We believe that our MX Connect technology offering enables us to attract, and retain, high quality resellers focused on growth.</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Increase Margin per Merchant with Complementary Products and Services</w:t>
      </w:r>
    </w:p>
    <w:p>
      <w:pPr>
        <w:spacing w:after="0" w:line="2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intend to drive the adoption of our value-added services and tools with our merchant base. Currently, approximately 133,000 merchants, representing approximately 71% of our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we continue to board new merchants and promote our MX Merchant solution, we can cross-sell these add-on applications. By increasing attachment rates, along with continued benefit from economies of scale, we expect to see improved margins per merchant. Merchants utilizing MX Merchant exhibit somewhat higher retention, contributing to our improving overall retention rates. We believe we are well-positioned to capitalize on the secular trend towards integrated payments solutions, new technology adoption and value-add service utilization in the SMB market.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Deploy Industry Specific Payment Technology</w:t>
      </w:r>
    </w:p>
    <w:p>
      <w:pPr>
        <w:spacing w:after="0" w:line="2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intend to continue to enhance and deploy our technology-enabled payment solutions in attractive industries. Through MX Merchant, we have developed proprietary applications and added third-party tools that address the specific needs of merchants in certain verticals, including retail, healthcare and hospitality. We continue to identify and evaluate new and attractive industries where we can deliver differentiated technology-enabled payment solutions that meet merchants’ industry-specific needs.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Expand Electronic Payments Share of B2B Transactions with CPX</w:t>
      </w:r>
    </w:p>
    <w:p>
      <w:pPr>
        <w:spacing w:after="0" w:line="2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We have a growing presence in the commercial payments market where we provide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We are well positioned to capitalize on the secular shift from check to electronic payments, which currently lags the consumer payments markets, by eliminating the friction between buyers and suppliers through our industry leading offering, and driving strong growth and profitability.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Accretive Acquisitions</w:t>
      </w:r>
    </w:p>
    <w:p>
      <w:pPr>
        <w:spacing w:after="0" w:line="223"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We intend to selectively pursue strategic and tactical acquisitions that meet certain criteria, with a consistent long-term goal of maximizing stockholder value. We actively seek potential acquisition candidates that exhibit certain attractive attributes including, predictable and recurring revenue, scalable operating model, low capital intensity complementary technology offerings and strong cultural fit. Our Vortex.Cloud operating infrastructure is purpose-built to rapidly and seamlessly consolidate complementary businesses into our ecosystem, optimizing revenue and cost synergies.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Technology Infrastructure and Product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Infrastructure Offering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Vortex.Cloud</w:t>
      </w:r>
    </w:p>
    <w:p>
      <w:pPr>
        <w:spacing w:after="0" w:line="2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Vortex.Cloud is a highly-available, redundant, and audited (PCI, HIPAA, NACHA, and SOC) computing platform with centralized security and technical operations. We strive to enable Vortex.Cloud to maintain 99.999% uptime. All computational and IP assets of our payment operating divisions are hosted and managed on Vortex.Cloud infrastructure. Vortex.Cloud enables the rapid inclusion of data and systems of acquisition targets for smooth consolidation to our operating infrastructure and accelerates achievement of revenue and cost synergies.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Vortex.OS</w:t>
      </w:r>
    </w:p>
    <w:p>
      <w:pPr>
        <w:spacing w:after="0" w:line="22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Vortex.OS provides critical technological functionality to our payment operating divisions. The Vortex.OS APIs include: electronic payments, security/crypto, data persistence, time series data (events), and artificial intelligence (AI). Our purpose built payments engine facilitates industry leading organic growth and efficient consolidation of acquisitions resulting in strong profit margins.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149225</wp:posOffset>
            </wp:positionV>
            <wp:extent cx="4227830" cy="3994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2783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Reseller Tools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MX Connect</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objective is to empower our resellers to grow their businesses and improve their merchant portfolios. To do so, we provide our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76" w:name="page77"/>
    <w:bookmarkEnd w:id="76"/>
    <w:p>
      <w:pPr>
        <w:ind w:right="140"/>
        <w:spacing w:after="0" w:line="267" w:lineRule="auto"/>
        <w:rPr>
          <w:sz w:val="20"/>
          <w:szCs w:val="20"/>
          <w:color w:val="auto"/>
        </w:rPr>
      </w:pPr>
      <w:r>
        <w:rPr>
          <w:rFonts w:ascii="Arial" w:cs="Arial" w:eastAsia="Arial" w:hAnsi="Arial"/>
          <w:sz w:val="17"/>
          <w:szCs w:val="17"/>
          <w:color w:val="auto"/>
        </w:rPr>
        <w:t>In addition, we offer our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our website, we maintain a live reseller support phone line to provide resellers with real time assistance.</w:t>
      </w:r>
    </w:p>
    <w:p>
      <w:pPr>
        <w:spacing w:after="0" w:line="177"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color w:val="auto"/>
        </w:rPr>
        <w:t>Finally, we offer our resellers Brand Licensing and Wholesale Development Programs which allow resellers to leverage the strength of the Priority brand for immediate and meaningful marketing impact.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Products</w:t>
      </w:r>
    </w:p>
    <w:p>
      <w:pPr>
        <w:spacing w:after="0" w:line="223" w:lineRule="exact"/>
        <w:rPr>
          <w:sz w:val="20"/>
          <w:szCs w:val="20"/>
          <w:color w:val="auto"/>
        </w:rPr>
      </w:pPr>
    </w:p>
    <w:p>
      <w:pPr>
        <w:jc w:val="both"/>
        <w:ind w:right="540"/>
        <w:spacing w:after="0" w:line="272" w:lineRule="auto"/>
        <w:rPr>
          <w:sz w:val="20"/>
          <w:szCs w:val="20"/>
          <w:color w:val="auto"/>
        </w:rPr>
      </w:pPr>
      <w:r>
        <w:rPr>
          <w:rFonts w:ascii="Arial" w:cs="Arial" w:eastAsia="Arial" w:hAnsi="Arial"/>
          <w:sz w:val="17"/>
          <w:szCs w:val="17"/>
          <w:color w:val="auto"/>
        </w:rPr>
        <w:t>Our core payment processing technology allows merchants to accept electronic payments via multiple integrated POS technologies. However, our payment processing platform goes beyond traditional electronic payments acceptance with a fully integrated platform called MX Merchant. Our proprietary product maximizes the lifetime value of merchant relationships.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MX Merchant</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7"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color w:val="auto"/>
        </w:rPr>
        <w:t>The MX Merchant platform also allows customers to add applications from the MX Merchant Marketplace to build a payment platform customized to that merchant’s business, including:</w:t>
      </w:r>
    </w:p>
    <w:p>
      <w:pPr>
        <w:spacing w:after="0" w:line="159"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60" w:lineRule="exact"/>
        <w:rPr>
          <w:rFonts w:ascii="Arial" w:cs="Arial" w:eastAsia="Arial" w:hAnsi="Arial"/>
          <w:sz w:val="16"/>
          <w:szCs w:val="16"/>
          <w:color w:val="auto"/>
        </w:rPr>
      </w:pPr>
    </w:p>
    <w:p>
      <w:pPr>
        <w:ind w:left="640" w:right="80" w:hanging="321"/>
        <w:spacing w:after="0" w:line="28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MX Retail – Inventory and stock control app utilizing both MX Merchant and MX Retail applications to handle all point-of-sale needs, rewards program and inventory management with an iPhone application.</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MX B2B – Ensures merchants receive lower rates for Level II / III processing by setting up user level permissions based on job function.</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MX Insights – Customer engagement and data analytics tool focused on marketing campaigns with intelligent customer targeting through use of big data.</w:t>
      </w:r>
    </w:p>
    <w:p>
      <w:pPr>
        <w:spacing w:after="0" w:line="272" w:lineRule="exact"/>
        <w:rPr>
          <w:rFonts w:ascii="Arial" w:cs="Arial" w:eastAsia="Arial" w:hAnsi="Arial"/>
          <w:sz w:val="15"/>
          <w:szCs w:val="15"/>
          <w:color w:val="auto"/>
        </w:rPr>
      </w:pPr>
    </w:p>
    <w:p>
      <w:pPr>
        <w:ind w:left="640" w:hanging="321"/>
        <w:spacing w:after="0" w:line="288"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MX Storefront – Allows merchants to quickly and easily create a professional, comprehensive, entirely customizable website, complete with full payment integration.</w:t>
      </w:r>
    </w:p>
    <w:p>
      <w:pPr>
        <w:spacing w:after="0" w:line="184" w:lineRule="exact"/>
        <w:rPr>
          <w:rFonts w:ascii="Arial" w:cs="Arial" w:eastAsia="Arial" w:hAnsi="Arial"/>
          <w:sz w:val="17"/>
          <w:szCs w:val="17"/>
          <w:color w:val="auto"/>
        </w:rPr>
      </w:pPr>
    </w:p>
    <w:p>
      <w:pPr>
        <w:ind w:left="640" w:hanging="321"/>
        <w:spacing w:after="0" w:line="272" w:lineRule="auto"/>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198" w:lineRule="exact"/>
        <w:rPr>
          <w:rFonts w:ascii="Arial" w:cs="Arial" w:eastAsia="Arial" w:hAnsi="Arial"/>
          <w:sz w:val="17"/>
          <w:szCs w:val="17"/>
          <w:color w:val="auto"/>
        </w:rPr>
      </w:pPr>
    </w:p>
    <w:p>
      <w:pPr>
        <w:ind w:left="640" w:hanging="32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ACH.com – Integrated ACH payment processing platform.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offer several third-party products and services to our merchants including:</w:t>
      </w:r>
    </w:p>
    <w:p>
      <w:pPr>
        <w:spacing w:after="0" w:line="223" w:lineRule="exact"/>
        <w:rPr>
          <w:sz w:val="20"/>
          <w:szCs w:val="20"/>
          <w:color w:val="auto"/>
        </w:rPr>
      </w:pPr>
    </w:p>
    <w:p>
      <w:pPr>
        <w:ind w:left="5620" w:right="3320" w:hanging="5301"/>
        <w:spacing w:after="0" w:line="706" w:lineRule="auto"/>
        <w:tabs>
          <w:tab w:leader="none" w:pos="62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ControlScan – On demand tools merchants can utilize to analyze, remediate, and validate PCI compliance.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247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81" w:right="279" w:bottom="1440" w:gutter="0" w:footer="0" w:header="0"/>
        </w:sectPr>
      </w:pPr>
    </w:p>
    <w:bookmarkStart w:id="77" w:name="page78"/>
    <w:bookmarkEnd w:id="77"/>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e-Tab – Provides a mobile restaurant / hospitality ordering and payment platform.</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Terminals – we offer several EMV ready terminals and mobile card readers from manufacturers such as Ingenico, Verifone, and Magtek.</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Merchant Financing – we are a reseller of several merchant financing solutions provided by American Express.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Payments Offering: Managed Services and CPX</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provide curated managed services and AP automation solutions (CPX) on behalf of industry leading financial institutions and card networks such as Citibank, MasterCard, Visa and AMEX. Our turnkey merchant development, business process outsourcing and refined supplier enablement program, allow commercial partners to leverage our long-standing customer relationships. Established in 2008, our commercial payments offering has allowed us to profit from the large and growing commercial payments market. Priority CPX offers solutions to key pain points such as scalability of expanding supplier onboarding while decreasing costs through automation. Successful implementation of our AP automation strategies provides vendors with the benefits of cash acceleration, buyers with valuable rebate/discount revenue, and the Company with stable sources of merchant acquiring, credit card interchange and discount fee revenue.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Managed Services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provide business process outsourcing services to American Express that offer Amex’s merchants access to several programs, including AMEX Buyer Initiated Payments (“BIP”) and AMEX Merchant Financing loans. Acting as an outsourced sales force, we utilize approximately 180 employees to originate BIP or Merchant Financing loans for AMEX, earning a fee for each origination. Additionally, AMEX compensates us for personnel fees incurred for the employees who sell these outsourced services. We do not take any credit risk associated with the aforementioned programs.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149225</wp:posOffset>
            </wp:positionV>
            <wp:extent cx="5257800" cy="31978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5780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Priority CPX is a turnkey commercial payments platform that automates the AP payment process between buyers and suppliers to maximize financial rebates and ensure timely, automated payment of vendor payments.</w:t>
      </w:r>
    </w:p>
    <w:p>
      <w:pPr>
        <w:spacing w:after="0" w:line="159" w:lineRule="exact"/>
        <w:rPr>
          <w:sz w:val="20"/>
          <w:szCs w:val="20"/>
          <w:color w:val="auto"/>
        </w:rPr>
      </w:pPr>
    </w:p>
    <w:p>
      <w:pPr>
        <w:ind w:left="5620" w:right="1860" w:hanging="5301"/>
        <w:spacing w:after="0" w:line="706" w:lineRule="auto"/>
        <w:tabs>
          <w:tab w:leader="none" w:pos="62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CPX Access - Interactive portals connecting Buyers and Suppliers to promote the payment and data exchange between partners.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5106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78" w:name="page79"/>
    <w:bookmarkEnd w:id="78"/>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CPX Gateway - Seamless integration with ERP systems that produce a single payment file for the entire CPX solutions suite.</w:t>
      </w:r>
    </w:p>
    <w:p>
      <w:pPr>
        <w:spacing w:after="0" w:line="249" w:lineRule="exact"/>
        <w:rPr>
          <w:rFonts w:ascii="Arial" w:cs="Arial" w:eastAsia="Arial" w:hAnsi="Arial"/>
          <w:sz w:val="17"/>
          <w:szCs w:val="17"/>
          <w:color w:val="auto"/>
        </w:rPr>
      </w:pPr>
    </w:p>
    <w:p>
      <w:pPr>
        <w:ind w:left="640" w:right="380" w:hanging="321"/>
        <w:spacing w:after="0" w:line="288" w:lineRule="auto"/>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CPX Commercial Acceptance - Optimize payment programs with a full suite of targeted solutions and powerful outreach campaign management and automated electronic quick-start application.</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CPX Payments - Leveraging a complete suite of traditional and transitional payment solutions to completely automate AP files.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Distribution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reach our consumer payment merchants through three primary sales channels: 1) Retail ISOs/Agents and Financial Institutions (Community Banks), 2) Wholesale ISOs, and 3) Independent Software Vendors and Value-Added Resellers. MX Connect allows resellers to engage merchants for processing services and a host of value added features designed to enhance their customer relationship.</w:t>
      </w:r>
    </w:p>
    <w:p>
      <w:pPr>
        <w:spacing w:after="0" w:line="173" w:lineRule="exact"/>
        <w:rPr>
          <w:sz w:val="20"/>
          <w:szCs w:val="20"/>
          <w:color w:val="auto"/>
        </w:rPr>
      </w:pPr>
    </w:p>
    <w:p>
      <w:pPr>
        <w:ind w:left="640" w:hanging="321"/>
        <w:spacing w:after="0" w:line="263"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Retail ISOs/Agents and Financial Institutions (Community Banks) – A non-risk bearing independent company of sales agents, individual sales agent, or financial institution that operates as a sales force on behalf of the Company. Retail resellers are not employed by us but rather are independently contracted to acquire merchants to utilize our payment processing and product offerings. While the reseller serves as the merchant’s key contact, the processing contract is between us and the merchant and agreements with resellers include non-solicitation rights. We manage the transaction risk on behalf of retail resellers. Merchants utilize our diverse product suite to manage their business, increasing our ability to retain the merchant if the ISO were to leave the Company.</w:t>
      </w:r>
    </w:p>
    <w:p>
      <w:pPr>
        <w:spacing w:after="0" w:line="205" w:lineRule="exact"/>
        <w:rPr>
          <w:rFonts w:ascii="Arial" w:cs="Arial" w:eastAsia="Arial" w:hAnsi="Arial"/>
          <w:sz w:val="17"/>
          <w:szCs w:val="17"/>
          <w:color w:val="auto"/>
        </w:rPr>
      </w:pPr>
    </w:p>
    <w:p>
      <w:pPr>
        <w:ind w:left="640" w:right="120" w:hanging="321"/>
        <w:spacing w:after="0" w:line="263" w:lineRule="auto"/>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Wholesale ISO – A risk bearing independent company of sales agents that operates as a sales force on behalf of the Company. Wholesale ISOs are not employed by us but rather are independently contracted to acquire merchants to utilize our payment processing and product offerings. While the ISO serves as the merchant’s key contact, the processing contract is between us and the merchant, and agreements with ISOs include non-solicitation rights. Wholesale ISOs are responsible and bear all transaction risk on their merchant portfolios. We underwrite all such merchants even though wholesale ISOs bear the risk. Merchants utilize our diverse product suite to manage their business, increasing our ability to retain the merchant if the ISO were to leave the Company.</w:t>
      </w:r>
    </w:p>
    <w:p>
      <w:pPr>
        <w:spacing w:after="0" w:line="205" w:lineRule="exact"/>
        <w:rPr>
          <w:rFonts w:ascii="Arial" w:cs="Arial" w:eastAsia="Arial" w:hAnsi="Arial"/>
          <w:sz w:val="17"/>
          <w:szCs w:val="17"/>
          <w:color w:val="auto"/>
        </w:rPr>
      </w:pPr>
    </w:p>
    <w:p>
      <w:pPr>
        <w:jc w:val="both"/>
        <w:ind w:left="640" w:right="100" w:hanging="321"/>
        <w:spacing w:after="0" w:line="325" w:lineRule="auto"/>
        <w:tabs>
          <w:tab w:leader="none" w:pos="6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ISVs and VARs - ISVs develop and sell business management software solutions while VARs sell third-party software solutions to merchants as part of a bundled package that includes the computer systems which operates the software. We partner with ISVs &amp; VARs that can integrate our capabilities into a variety of software applications (e.g. medical billing software). These integrated payment solutions create an extremely “sticky” customer relationship.</w:t>
      </w:r>
    </w:p>
    <w:p>
      <w:pPr>
        <w:spacing w:after="0" w:line="13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We support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we have established ourselves as an emerging force in Commercial Payments.</w:t>
      </w:r>
    </w:p>
    <w:p>
      <w:pPr>
        <w:spacing w:after="0" w:line="181" w:lineRule="exact"/>
        <w:rPr>
          <w:sz w:val="20"/>
          <w:szCs w:val="20"/>
          <w:color w:val="auto"/>
        </w:rPr>
      </w:pPr>
    </w:p>
    <w:p>
      <w:pPr>
        <w:jc w:val="both"/>
        <w:ind w:right="300"/>
        <w:spacing w:after="0" w:line="313" w:lineRule="auto"/>
        <w:rPr>
          <w:sz w:val="20"/>
          <w:szCs w:val="20"/>
          <w:color w:val="auto"/>
        </w:rPr>
      </w:pPr>
      <w:r>
        <w:rPr>
          <w:rFonts w:ascii="Arial" w:cs="Arial" w:eastAsia="Arial" w:hAnsi="Arial"/>
          <w:sz w:val="15"/>
          <w:szCs w:val="15"/>
          <w:color w:val="auto"/>
        </w:rPr>
        <w:t>Our market strategy has resulted in a merchant base that we believe is diversified across both industries and geographies resulting in, what we believe, is more stable average profitability per merchant. No single reseller relationship contributes more than 11% of total bankcard processing volume. The top 10 consumer payment reseller relationships represent 37% of total bankcard processing volume as of September 30, 2018, and 100% of these relationships have grown since 2016. On a standalone basis the Priority CPX product would represent the 52nd largest merchant acquirer in the US and among its fastest growing.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Security, Disaster Recovery and Back-up Systems</w:t>
      </w:r>
    </w:p>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As a result of normal business operations, we store information relating to our merchants and their transactions. Because this information is considered sensitive in nature, we maintain a high level of security to attempt to protect it. Our computational systems are continually updated and audited to the latest security standards as defined by PCI DSS, SOC, and HIPAA audits. As such, we have a dedicated team responsible for security incident response. This team develops, maintains, tests and verifies our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our information systems. In addition to handling security incidents, the incident response team continually educates themselves and us on information security matters.</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Processors and Sponsor Banks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partner with various vendors in the payments value chain to process payments for our merchant clients, most notably processors and sponsor banks, which sit between us (the merchant acquirer) and the card networks. Processing is a scale driven business in which many acquirers outsource the processing function to a small number of large processors. In these partnerships, we serve as a merchant acquirer and enters into processing agreements with payment processors, such as First Data or TSYS, to serve as our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To provide processing services, acquirers such as we must be registered with the card networks (e.g. Visa and MasterCard). To register with a card network in the United States, acquirers must maintain relationships with banks willing to sponsor the acquirer’s adherence to the rules and standards of the card networks, or a Sponsor Bank. we maintain Sponsor Bank relationships with Citizens Bank, Wells Fargo, and Synovus Bank. For ACH payments, the Company’s ACH network (ACH.com) is sponsored by Atlantic Capital Bank, BB&amp;T Bank and MB Financial Bank. Sponsor Bank relationships enable us to route transactions under the Sponsor Bank’s control and identification number (referred to as a BIN for Visa and ICA for MasterCard) across the card networks (or ACH network) to authorize and clear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thoughtful merchant and reseller underwriting policies combined with our forward-looking transaction management capabilities have enabled the company to maintain low credit loss performance. Our risk management strategies are informed by a team with decades of experience managing merchant acquiring risk operations that are augmented by our modern systems designed to manage risk at the transaction level.</w:t>
      </w:r>
    </w:p>
    <w:p>
      <w:pPr>
        <w:spacing w:after="0" w:line="17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i w:val="1"/>
          <w:iCs w:val="1"/>
          <w:color w:val="auto"/>
        </w:rPr>
        <w:t>Initial Underwriting</w:t>
      </w:r>
      <w:r>
        <w:rPr>
          <w:rFonts w:ascii="Arial" w:cs="Arial" w:eastAsia="Arial" w:hAnsi="Arial"/>
          <w:sz w:val="17"/>
          <w:szCs w:val="17"/>
          <w:color w:val="auto"/>
        </w:rPr>
        <w:t>- Central to our risk management process is our front line underwriting policies that vet all resellers and merchants prior to their contracting</w:t>
      </w:r>
      <w:r>
        <w:rPr>
          <w:rFonts w:ascii="Arial" w:cs="Arial" w:eastAsia="Arial" w:hAnsi="Arial"/>
          <w:sz w:val="17"/>
          <w:szCs w:val="17"/>
          <w:i w:val="1"/>
          <w:iCs w:val="1"/>
          <w:color w:val="auto"/>
        </w:rPr>
        <w:t xml:space="preserve"> </w:t>
      </w:r>
      <w:r>
        <w:rPr>
          <w:rFonts w:ascii="Arial" w:cs="Arial" w:eastAsia="Arial" w:hAnsi="Arial"/>
          <w:sz w:val="17"/>
          <w:szCs w:val="17"/>
          <w:color w:val="auto"/>
        </w:rPr>
        <w:t>with us. Our automated risk systems pull credit bureau reports, corporate ownership details, as well as anti-money laundering, Office of Foreign Assets Control (“OFAC”) and Financial Crimes Enforcement Network (“FinCEN”) information from a variety of integrated data bases. This information is put into the hands of a tenured team of underwriters who conduct any necessary industry checks, financial performance analysis or owner back ground checks, consistent with our policies. Based upon these results the underwriting department rejects or approves and sets appropriate merchant and reseller reserve requirements which are held by our bank sponsors on our behalf. Resellers are subject to quarterly and/or annual assessments for financial strength compliance with our policies and adjustments to reserve levels.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0" w:name="page81"/>
    <w:bookmarkEnd w:id="80"/>
    <w:p>
      <w:pPr>
        <w:spacing w:after="0" w:line="289" w:lineRule="auto"/>
        <w:rPr>
          <w:sz w:val="20"/>
          <w:szCs w:val="20"/>
          <w:color w:val="auto"/>
        </w:rPr>
      </w:pPr>
      <w:r>
        <w:rPr>
          <w:rFonts w:ascii="Arial" w:cs="Arial" w:eastAsia="Arial" w:hAnsi="Arial"/>
          <w:sz w:val="16"/>
          <w:szCs w:val="16"/>
          <w:color w:val="auto"/>
        </w:rPr>
        <w:t>The results of our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our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6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i w:val="1"/>
          <w:iCs w:val="1"/>
          <w:color w:val="auto"/>
        </w:rPr>
        <w:t>Real-Time Risk Monitoring</w:t>
      </w:r>
      <w:r>
        <w:rPr>
          <w:rFonts w:ascii="Arial" w:cs="Arial" w:eastAsia="Arial" w:hAnsi="Arial"/>
          <w:sz w:val="17"/>
          <w:szCs w:val="17"/>
          <w:color w:val="auto"/>
        </w:rPr>
        <w:t>- Merchant transactions are monitored on a transactional basis to proactively enforce risk controls. Our risk systems provide automated</w:t>
      </w:r>
      <w:r>
        <w:rPr>
          <w:rFonts w:ascii="Arial" w:cs="Arial" w:eastAsia="Arial" w:hAnsi="Arial"/>
          <w:sz w:val="17"/>
          <w:szCs w:val="17"/>
          <w:i w:val="1"/>
          <w:iCs w:val="1"/>
          <w:color w:val="auto"/>
        </w:rPr>
        <w:t xml:space="preserve"> </w:t>
      </w:r>
      <w:r>
        <w:rPr>
          <w:rFonts w:ascii="Arial" w:cs="Arial" w:eastAsia="Arial" w:hAnsi="Arial"/>
          <w:sz w:val="17"/>
          <w:szCs w:val="17"/>
          <w:color w:val="auto"/>
        </w:rPr>
        <w:t>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our risk monitoring systems or that demonstrate suspicious activity traits that have been flagged for review can result in funds</w:t>
      </w:r>
      <w:r>
        <w:rPr>
          <w:rFonts w:ascii="Arial" w:cs="Arial" w:eastAsia="Arial" w:hAnsi="Arial"/>
          <w:sz w:val="16"/>
          <w:szCs w:val="16"/>
          <w:i w:val="1"/>
          <w:iCs w:val="1"/>
          <w:color w:val="auto"/>
        </w:rPr>
        <w:t xml:space="preserve"> </w:t>
      </w:r>
      <w:r>
        <w:rPr>
          <w:rFonts w:ascii="Arial" w:cs="Arial" w:eastAsia="Arial" w:hAnsi="Arial"/>
          <w:sz w:val="16"/>
          <w:szCs w:val="16"/>
          <w:color w:val="auto"/>
        </w:rPr>
        <w:t>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6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 excessive</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7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We ensure that our Risk and Underwriting activities are coordinated with our bank sponsors (Wells Fargo, Citizens Bank and Synovus) and authorization and settlement partners (First Data and TSYS).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229"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On June 19, 2015, we entered into a definitive agreement to purchase substantially all merchant acquiring related assets, except those identified as excluded, of American Credit Card Processing Corp., American Credit Card Processing Corp. II, American Credit Card Processing Corp. III and their affiliates. The total purchase price consideration was approximately $27.6 million, consisting of cash paid and a contingent earnout payment.</w:t>
      </w:r>
    </w:p>
    <w:p>
      <w:pPr>
        <w:spacing w:after="0" w:line="173" w:lineRule="exact"/>
        <w:rPr>
          <w:sz w:val="20"/>
          <w:szCs w:val="20"/>
          <w:color w:val="auto"/>
        </w:rPr>
      </w:pPr>
    </w:p>
    <w:p>
      <w:pPr>
        <w:ind w:right="620"/>
        <w:spacing w:after="0" w:line="288" w:lineRule="auto"/>
        <w:rPr>
          <w:sz w:val="20"/>
          <w:szCs w:val="20"/>
          <w:color w:val="auto"/>
        </w:rPr>
      </w:pPr>
      <w:r>
        <w:rPr>
          <w:rFonts w:ascii="Arial" w:cs="Arial" w:eastAsia="Arial" w:hAnsi="Arial"/>
          <w:sz w:val="17"/>
          <w:szCs w:val="17"/>
          <w:color w:val="auto"/>
        </w:rPr>
        <w:t>For more information regarding our acquisitions, see Note 2 to our annual consolidated financial statements included elsewhere in this Prospectus/Offer to Exchange.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U.S. acquiring industry is highly competitive, with several large processors accounting for the majority of processing volume; when excluding banks, we rank 6th among U.S. merchant acquiring as of 2017, according to the Nilson Report. When comparing top non-bank U.S. merchant acquirers by volume, Worldpay holds the leadership position followed by Global Payments, First Data and TSYS. While the scale of these companies is large, we believe there is still ample opportunity for companies like us to continue to grow given the vast amount of growth in MasterCard/Visa purchasing volume which increased in 2017 given the utility of card-based payments by U.S. consumers.</w:t>
      </w:r>
    </w:p>
    <w:p>
      <w:pPr>
        <w:spacing w:after="0" w:line="181"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color w:val="auto"/>
        </w:rPr>
        <w:t>The concentration at the top of the industry partly reflects consolidation; however, we believe that consolidation has also resulted in many large processors having multiple, inflexible legacy IT systems that are not well equipped to adjust to changing market requirements. We believe that the large merchant acquirers whose innovation has been hindered by these redundant, legacy systems risk losing market share to acquirers with more agile and dynamic IT systems, such as Priority.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1" w:name="page82"/>
    <w:bookmarkEnd w:id="81"/>
    <w:p>
      <w:pPr>
        <w:ind w:right="220"/>
        <w:spacing w:after="0" w:line="282" w:lineRule="auto"/>
        <w:rPr>
          <w:sz w:val="20"/>
          <w:szCs w:val="20"/>
          <w:color w:val="auto"/>
        </w:rPr>
      </w:pPr>
      <w:r>
        <w:rPr>
          <w:rFonts w:ascii="Arial" w:cs="Arial" w:eastAsia="Arial" w:hAnsi="Arial"/>
          <w:sz w:val="16"/>
          <w:szCs w:val="16"/>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our MX Merchant platform, we are well-positioned to capitalize on the trend towards integrated solutions, new technology adoption and value added-service utilization in the SMB market.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 and Payment Network Rules</w:t>
      </w:r>
    </w:p>
    <w:p>
      <w:pPr>
        <w:spacing w:after="0" w:line="229"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We operate in an increasingly complex legal and regulatory environment. We are subject to a variety of federal, state and local laws and regulations and the rules and standards of the payment networks that are utilized to provide our electronic payment services, as more fully described below.</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Dodd-Frank Act</w:t>
      </w:r>
    </w:p>
    <w:p>
      <w:pPr>
        <w:spacing w:after="0" w:line="223"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The Dodd-Frank Act, which was signed into law in the United States in 2010, resulted in significant structural and other changes to the regulation of the financial services industry. The Dodd-Frank Act directed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our results of operations.</w:t>
      </w:r>
    </w:p>
    <w:p>
      <w:pPr>
        <w:spacing w:after="0" w:line="166" w:lineRule="exact"/>
        <w:rPr>
          <w:sz w:val="20"/>
          <w:szCs w:val="20"/>
          <w:color w:val="auto"/>
        </w:rPr>
      </w:pPr>
    </w:p>
    <w:p>
      <w:pPr>
        <w:ind w:right="160"/>
        <w:spacing w:after="0" w:line="325" w:lineRule="auto"/>
        <w:rPr>
          <w:sz w:val="20"/>
          <w:szCs w:val="20"/>
          <w:color w:val="auto"/>
        </w:rPr>
      </w:pPr>
      <w:r>
        <w:rPr>
          <w:rFonts w:ascii="Arial" w:cs="Arial" w:eastAsia="Arial" w:hAnsi="Arial"/>
          <w:sz w:val="15"/>
          <w:szCs w:val="15"/>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our ability to pass on network fees and other costs to our customers, nor do we expect it to in the future.</w:t>
      </w:r>
    </w:p>
    <w:p>
      <w:pPr>
        <w:spacing w:after="0" w:line="17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we may be subject to additional systemic risk-related oversight.</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color w:val="auto"/>
        </w:rPr>
        <w:t>Payment Network Rules and Standards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As a merchant acquirer, we are subject to the rules of Visa, MasterCard, American Express, Discover and other payment networks. In order to provide services, several of our subsidiaries are either registered as service providers for member institutions with MasterCard, Visa and other networks or are direct members of MasterCard, Visa and other networks. Accordingly, we are subject to card association and network rules that could subject us to a variety of fines or penalties that may be levied by the card networks for certain acts or omissions.</w:t>
      </w:r>
    </w:p>
    <w:p>
      <w:pPr>
        <w:spacing w:after="0" w:line="17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We have invested significant resources to ensure our systems’ compliance with the mandate, and to assist our merchants in becoming compliant by the applicable deadlines.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To provide our electronic payments services, we must be registered either indirectly or directly as service providers with the payment networks that we utilize. Because we are not a bank, we are not eligible for membership in certain payment networks, including Visa and MasterCard, we are therefore unable to directly access these networks. The operating regulations of certain payment networks, including Visa and MasterCard, require us to be sponsored by a member bank as a service provider. We are registered with certain payment networks, including Visa and MasterCard, through Wells Fargo, Citizens Bank and Synovus Bank. The agreements with our bank sponsors give them substantial discretion in approving certain aspects of our business practices including our solicitation, application and qualification procedures for merchants and the terms of our agreements with merchants. We are registered directly as service providers with Discover, American Express and certain other networks. We are also subject to network operating rules promulgated by NACHA—the Electronic Payments Associations relating to payment transaction processed by us using the Automated Clearing House Network. For ACH payments, our ACH network (ACH.com) is sponsored by Atlantic Capital Bank, BB&amp;T Bank and MB Financial Bank.</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Banking Laws and Regulations</w:t>
      </w:r>
    </w:p>
    <w:p>
      <w:pPr>
        <w:spacing w:after="0" w:line="223"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The Federal Financial Institutions Examination Council (the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color w:val="auto"/>
        </w:rPr>
        <w:t>Privacy and Information Security Laws</w:t>
      </w:r>
    </w:p>
    <w:p>
      <w:pPr>
        <w:spacing w:after="0" w:line="223"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We provide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gaming business. We are also subject to a variety of foreign data protection and privacy laws, including, without limitation, Directive 95/46/EC, as implemented in each member state of the European Union and its successor, the General Data Protection Regulation, which became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Anti-Money Laundering and Counter-Terrorism Regulation</w:t>
      </w:r>
    </w:p>
    <w:p>
      <w:pPr>
        <w:spacing w:after="0" w:line="22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United States federal anti-money laundering laws and regulations, including the Bank Secrecy Act of 1970, as amended by the USA PATRIOT Act of 2001 (collectively, the “BSA”), and the “BSA” implementing regulations administered by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our clients are financial institutions that are directly subject to U.S. federal anti-money laundering laws and regulations, we have developed an anti-money laundering compliance program to best assist our clients in meeting such legal and regulatory requirements.</w:t>
      </w:r>
    </w:p>
    <w:p>
      <w:pPr>
        <w:spacing w:after="0" w:line="168"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We are subject to certain economic and trade sanctions programs that are administered by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We have developed and continue to enhance compliance programs and policies to monitor and address such legal and regulatory requirements and developments, and continue to enhance such programs and policies to ensure that our customers do not engage in prohibited transactions with designated countries, individuals or entities.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Collection and Credit Reporting Laws</w:t>
      </w:r>
    </w:p>
    <w:p>
      <w:pPr>
        <w:spacing w:after="0" w:line="22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Portions of our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We have procedures in place to comply with the requirements of these laws.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Unfair or Deceptive Acts or Practices</w:t>
      </w:r>
    </w:p>
    <w:p>
      <w:pPr>
        <w:spacing w:after="0" w:line="223"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We and many of our merchants are subject to Section 5 of the Federal Trade Commission Act prohibiting unfair or deceptive acts or practices, or UDAP. In addition, the UDAP and other laws, rules and or regulations, including the Telemarketing Sales Act, may directly impact the activities of certain of our merchants, and in some cases may subject us, as the merchant’s payment processor or provider of certain services, to investigations, fees, fines and disgorgement of funds if we were deemed to have aided and abetted or otherwise provided the means and instrumentalities to facilitate the illegal or improper activities of the merchant through our services. Various federal and state regulatory enforcement agencies including the Federal Trade Commission and the states attorneys general have authority to take action against non-banks that engage in UDAP or violate other laws, rules and regulations and to the extent we are processing payments or providing services for a merchant that may be in violation of laws, rules and regulations, we may be subject to enforcement actions and as a result may incur losses and liabilities that may impact our business.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i w:val="1"/>
          <w:iCs w:val="1"/>
          <w:color w:val="auto"/>
        </w:rPr>
        <w:t>Indirect Regulatory Requirements</w:t>
      </w:r>
    </w:p>
    <w:p>
      <w:pPr>
        <w:spacing w:after="0" w:line="22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A number of our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us, many of these requirements materially affect the services we provide to our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our clients imposes additional costs and risks in connection with our financial institution relationships. We expect to expend resources on an ongoing basis in an effort to assist our clients in responding to any regulatory inquiries on behalf of merchants and resellers.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Banking Regulations</w:t>
      </w:r>
    </w:p>
    <w:p>
      <w:pPr>
        <w:spacing w:after="0" w:line="223"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We are considered by the Federal Financial Institutions Examination Council to be a technology service provider (“TSP”) based on the services we provide to financial institutions. As a TSP, we are subject to audits by an interagency group consisting of the Federal Reserve System, FDIC, and the Office of the Comptroller of the Currency.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Telephone Consumer Protection Act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Federal Telephone Consumer Protection Act and various state laws to the extent we place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Regulation</w:t>
      </w:r>
    </w:p>
    <w:p>
      <w:pPr>
        <w:spacing w:after="0" w:line="22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are subject to U.S. federal and state unclaimed or abandoned property (escheat) laws which require us to turn over to certain government authorities the property of others we hold that has been unclaimed for a specified period of time such as account balances that are due to a distribution partner or merchant following discontinuation of our relationship with them.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63"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The foregoing is not an exhaustive list of the laws, rules and regulations to which we are subject to and the regulatory framework governing our business is changing continuously.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We have developed a payments platform that includes many instances of proprietary software, code sets, work flows and algorithms. It is our practice to enter into confidentiality, non-disclosure, and invention assignment agreements with our employees and contractors, and into confidentiality and non-disclosure agreements with other third parties, to limit access to, and disclosure and use of, our confidential information and proprietary technology. In addition to these contractual measures, we also rely on a combination of trademarks, copyrights, registered domain names, and patent rights to help protect the Priority brand and our other intellectual property.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5" w:name="page86"/>
    <w:bookmarkEnd w:id="85"/>
    <w:p>
      <w:pPr>
        <w:jc w:val="both"/>
        <w:ind w:right="100"/>
        <w:spacing w:after="0" w:line="272" w:lineRule="auto"/>
        <w:rPr>
          <w:sz w:val="20"/>
          <w:szCs w:val="20"/>
          <w:color w:val="auto"/>
        </w:rPr>
      </w:pPr>
      <w:r>
        <w:rPr>
          <w:rFonts w:ascii="Arial" w:cs="Arial" w:eastAsia="Arial" w:hAnsi="Arial"/>
          <w:sz w:val="17"/>
          <w:szCs w:val="17"/>
          <w:color w:val="auto"/>
        </w:rPr>
        <w:t>As of September 30, 2018, we have approximately 30 active trademarks that pertain to company, product names, and logos. We may file patent applications as we innovate through research and development efforts, and to pursue additional patent protection to the extent we deems it beneficial and cost-effective. We also own a number of domain names necessary for business operations and brand protection.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As of September 30, 2018, we employed 553 employees. None of our employees are represented by a labor union and we have experienced no work stoppages. We consider our employee relations to be good.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maintain several offices across the United States, all of which we lease.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Our office locations include:</w:t>
      </w:r>
    </w:p>
    <w:p>
      <w:pPr>
        <w:spacing w:after="0" w:line="223" w:lineRule="exact"/>
        <w:rPr>
          <w:sz w:val="20"/>
          <w:szCs w:val="20"/>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Corporate headquarters in Alpharetta, Georgia with approximately 95,000 leased square feet;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Data management in Atlanta, Georgia with approximately 130 leased square feet;</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Data management in Austin, Texas with approximately 260 leased square feet; and</w:t>
      </w:r>
    </w:p>
    <w:p>
      <w:pPr>
        <w:spacing w:after="0" w:line="249" w:lineRule="exact"/>
        <w:rPr>
          <w:rFonts w:ascii="Arial" w:cs="Arial" w:eastAsia="Arial" w:hAnsi="Arial"/>
          <w:sz w:val="17"/>
          <w:szCs w:val="17"/>
          <w:color w:val="auto"/>
        </w:rPr>
      </w:pPr>
    </w:p>
    <w:p>
      <w:pPr>
        <w:ind w:left="640" w:right="80" w:hanging="321"/>
        <w:spacing w:after="0" w:line="288" w:lineRule="auto"/>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Telesales office in our Alpharetta, Georgia location with approximately 33,000 leased square feet which is part of our corporate headquarters’ total leased space.</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We lease several small facilities for sales and operations. Our current facilities meet our employee base and can accommodate our currently contemplated growth.</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we will be able to obtain suitable additional facilities on commercially reasonable term to meet any needs.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We are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our results of operations, financial condition, or cash flows. As more information becomes available, if we should determine that an unfavorable outcome is probable on a claim and that the amount of probable loss that we will incur on that claim is reasonably estimable, we will record an accrued expense for the claim in question. If and when we record such an accrual, it could be material and could adversely impact our results of operations, financial condition, and cash flows.</w:t>
      </w:r>
    </w:p>
    <w:p>
      <w:pPr>
        <w:spacing w:after="0" w:line="19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 During such time that the SEC bar remains in effect, the combined company will be required to monitor if any future offerings of our stock might be considered an offering of “penny stock” which would be prohibited under the bar.</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86" w:name="page87"/>
    <w:bookmarkEnd w:id="86"/>
    <w:p>
      <w:pPr>
        <w:jc w:val="center"/>
        <w:ind w:right="40"/>
        <w:spacing w:after="0"/>
        <w:rPr>
          <w:sz w:val="20"/>
          <w:szCs w:val="20"/>
          <w:color w:val="auto"/>
        </w:rPr>
      </w:pPr>
      <w:r>
        <w:rPr>
          <w:rFonts w:ascii="Arial" w:cs="Arial" w:eastAsia="Arial" w:hAnsi="Arial"/>
          <w:sz w:val="17"/>
          <w:szCs w:val="17"/>
          <w:b w:val="1"/>
          <w:bCs w:val="1"/>
          <w:color w:val="auto"/>
        </w:rPr>
        <w:t>MANAGEMENTS DISCUSSION AND ANALYSIS OF FINANCIAL CONDITION AND RESULTS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OPERATIONS</w:t>
      </w:r>
    </w:p>
    <w:p>
      <w:pPr>
        <w:spacing w:after="0" w:line="21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You should read the following management’s discussion and analysis together with “Selected Consolidated Financial and Other Data” and our audited financial statements and the related notes included elsewhere in this Prospectus/Offer to Exchange. This discussion contains forward-looking statements about our business, operations and industry that involve risks and uncertainties, such as statements regarding our plans, objectives, expectations and intentions. Our future results and financial condition may differ materially from those currently anticipated by us as a result of the factors described in the sections entitled “Risk Factors” and “Cautionary Note Regarding Forward Looking Statements.” Certain amounts in this section may not foot due to rounding.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9"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Headquartered near Atlanta in Alpharetta, Georgia, we began operations in 2005 with a mission to build a merchant inspired payments platform that would advance the goals of our customers and partners. Today, we are a leading provider of merchant acquiring and commercial payment solutions, offering unique product capabilities to primarily small and medium size businesses (“SMBs”) and enterprises and distribution partners in the United States. We operate from a purpose-built business platform that includes tailored customer service offerings and bespoke technology development, allowing the Company to provide end-to-end solutions for payment and payment-adjacent needs. We have grown from the 38th largest U.S. merchant acquirer to become the 13th largest as of the end of 2017, measured by Visa and MasterCard purchase volume provided by The Nilson Report. As of the end of 2017, we were also the 6th largest non-bank merchant acquirer in the United States. In 2017, we processed over 439.0 million bankcard transactions and over $34.0 billion in bankcard processing dollar value across approximately 174,000 merchants. For the nine months ended September 30, 2018, we processed over 351.3 million bankcard transactions and over $28.5 billion in bankcard processing dollar value across 178,000 merchants. We are headquartered near Atlanta in Alpharetta, GA. As of September 30, 2018, we had 553 employees led by an experienced group of payments executives.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We provide our services through two reportable segments: (1) Consumer Payments and (2) Commercial Payments and Managed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w:t>
      </w:r>
    </w:p>
    <w:p>
      <w:pPr>
        <w:spacing w:after="0" w:line="223"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Our Consumer Payments segment provides full-service merchant acquiring and payment processing solutions mainly to SMBs. Our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primarily on targeted marketing, website development, inventory management, and customer engagement. MX Merchant can be deployed on hardware from a variety of vendors and can operate either as a standalone product or integrated with third-party software. Our Consumer Payments segment partners with a diverse reseller community, including independent service organizations (“ISO”), financial institutions, independent software vendors (“ISV”), value-added resellers, and other referral partners. Through our MX Connect platform, we leverage and provide resellers with value-added tools and resources, including marketing resources, automated onboarding, merchant underwriting, and merchant activity monitoring and reporting. We believe MX Connect enables resellers to manage their merchant base and accelerate the growth of their businesses. We offer ISVs and value-added resellers a technology “agnostic” and feature-rich application processing interface (“API”) that provides developers with the ability to integrate electronic payment acceptance into their software and improve onboarding efficiency for their merchant base.</w:t>
      </w:r>
    </w:p>
    <w:p>
      <w:pPr>
        <w:spacing w:after="0" w:line="16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Through resellers and acquisition of merchant portfolios, we become a party to arrangements with merchants and sponsoring banks for the processing of merchant card transactions. Pursuant to each arrangement and with respect to each card transaction, the sponsoring bank receives payment from card associations (e.g., Visa, MasterCard) and we earn transaction fee revenue from the processing and related services that we provide to merchants. We receive these revenues net of interchange fees due to the issuing bank, card association fees and assessments, and processing and related fees due to payment processers (e.g., First Data, Total System Services). Our transaction fee revenues are based primarily on the number and a percentage of the dollar volume of payment transactions processed by a merchant customer and, to a lesser extent, from MX Merchant monthly subscription costs. Our Consumer Payments segment accounted for $302.5 million in revenue and $15.1 million of operating income for the nine months ended September 30, 2018. All of our shared corporate services expenses, including executive compensation and technology support services, have been allocated to our Consumer Payments segment.</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i w:val="1"/>
          <w:iCs w:val="1"/>
          <w:color w:val="auto"/>
        </w:rPr>
        <w:t>Commercial Payments and Managed Services</w:t>
      </w:r>
    </w:p>
    <w:p>
      <w:pPr>
        <w:spacing w:after="0" w:line="223" w:lineRule="exact"/>
        <w:rPr>
          <w:sz w:val="20"/>
          <w:szCs w:val="20"/>
          <w:color w:val="auto"/>
        </w:rPr>
      </w:pPr>
    </w:p>
    <w:p>
      <w:pPr>
        <w:jc w:val="both"/>
        <w:ind w:right="280"/>
        <w:spacing w:after="0" w:line="264" w:lineRule="auto"/>
        <w:rPr>
          <w:sz w:val="20"/>
          <w:szCs w:val="20"/>
          <w:color w:val="auto"/>
        </w:rPr>
      </w:pPr>
      <w:r>
        <w:rPr>
          <w:rFonts w:ascii="Arial" w:cs="Arial" w:eastAsia="Arial" w:hAnsi="Arial"/>
          <w:sz w:val="17"/>
          <w:szCs w:val="17"/>
          <w:color w:val="auto"/>
        </w:rPr>
        <w:t>Our Commercial Payments and Managed Services segment provides curated managed services and a robust suite of integrated automated payment solutions to leading financial institutions and card networks, including Citibank, MasterCard, Visa and American Express (“AMEX”). This segment supports a direct sales model that provides turnkey merchant development, product sales and supplier enablement programs. Through our Commercial Payments Exchange (“CPX”) platform, we provide our clients a seamless bridge for supplier payments by integrating a single payment instruction file to resolve account payables via virtual card, purchase card, ACH +, dynamic discounting, or check.</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This segment’s revenues are generated primarily through outsourced arrangements provided by our in-house sales force to financial institution customers on a cost-plus fee basis. As a partner to these financial institutions, we originate merchant financing arrangements, including AMEX buyer initiated payments (“BIP”) and AMEX merchant financing loans with the financial institutions’ merchant customers. Revenue is recognized primarily based on billable rates and hours worked, plus material and other billable items. In addition, through our CPX platform, we generate revenue from interchange fees based on a variable percentage of dollars transacted at on-boarded merchant locations, as well as subscription fees. Although CPX was only recently rolled out to customers, we believe it represents a high-growth opportunity for us since the commercial payments volume in the United States is over twice the size of consumer payments and has substantial additional opportunities for growth using electronic payments. Our Commercial Payments and Managed Services segment accounted for $21.4 million in revenue and incurred $0.4 million of operating loss for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and Ownership Structure</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On July 25, 2018, M I consummated the Business Combination which provided for the acquisition of 100% of the issued and outstanding equity securities of Priority by M I, which resulted in Priority becoming a wholly-owned subsidiary of M I. M I was originally incorporated as a special purpose acquisition company (“SPAC”) formed for the purpose of entering into a merger, share exchange, asset acquisition, stock purchase, recapitalization, reorganization or other similar business combination. Simultaneously with the Business Combination and Recapitalization (as defined below), we changed our name to “Priority Technology Holdings, Inc.”</w:t>
      </w:r>
    </w:p>
    <w:p>
      <w:pPr>
        <w:spacing w:after="0" w:line="18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As a SPAC, M I had substantially no business operations prior to July 25, 2018. For financial accounting and reporting purposes under U.S. GAAP, the acquisition was accounted for as a “reverse merger,” with no recognition of goodwill or other intangible assets. Under this method of accounting, M I was treated as the acquired entity whereby Priority was deemed to have issued common stock for the net assets and equity of M I consisting mainly of cash of $49.4 million, accompanied by a simultaneous equity recapitalization of Priority (the “Recapitalization”). The net assets of M I are stated at historical cost, and accordingly the equity and net assets of the combined Company have not been adjusted to fair value. As of July 25, 2018, the consolidated financial statements of the Company include the combined operations, cash flows, and financial positions of both M I and Priority. Prior to July 25, 2018, the results of operations, cash flows, and financial positions are those of Priority.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Factors Affecting the Comparability of Our Results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The comparability of our results for the periods discussed in this Prospectus/Offer to Exchange has been impacted and may, for future periods, be further impacted by the following factors: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Restructuring and Upsizing</w:t>
      </w:r>
    </w:p>
    <w:p>
      <w:pPr>
        <w:spacing w:after="0" w:line="22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On January 3, 2017, we restructured our long-term debt by extinguishing then-existing debt with Goldman Sachs of $88.7 million and acquiring new debt of $280 million, consisting of an $80 million subordinated secured term loan with Goldman Sachs (the “Subordinated Term Loan”) and a syndicated senior secured $200 million credit facility with SunTrust Bank (as administrative agent) (the “Senior Secured Credit Facility”). We also entered into a $25 million revolver with SunTrust (the “Revolver”), which remained undrawn as of September 30, 2018 and December 31, 2017, respectively. As a result of the increase in debt, we recognized $23.8 million of interest expense in 2017 compared to $4.1 million in 2016. In addition, in 2017, we recognized $1.8 million in other expense attributable to a write-off of unamortized deferred financing fees and original issue discount (OID) associated with the debt extinguishment.</w:t>
      </w:r>
    </w:p>
    <w:p>
      <w:pPr>
        <w:spacing w:after="0" w:line="16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Approximately $200 million of the additional debt proceeds were used to redeem then-outstanding Class A Common units from one of our investors. In addition, in connection with the debt restructuring, we cancelled an outstanding Goldman Sachs warrant to purchase 1.0% of our outstanding Class A Common units and issued a new warrant to Goldman Sachs to purchase 1.8% of our outstanding Class A Common units. The warrant has a term of 7 years, an exercise price of $0 and may be exercised at any time prior to termination date. The warrant, which must be settled with a number of Class A Common units that is variable, is accounted for as a liability, adjusted for changes in fair value in each reporting period until the earlier of its exercise or expiration. The fair value of the warrant was $8.7 million at December 31, 2017, reflecting a $4.3 million increase in fair value from December 31, 2016, which has been recorded as interest and other expense.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recorded $31.2 million in interest and other expense in 2017 compared to $6.0 million in 2016 and $5.5 million in 2015.</w:t>
      </w:r>
    </w:p>
    <w:p>
      <w:pPr>
        <w:spacing w:after="0" w:line="223" w:lineRule="exact"/>
        <w:rPr>
          <w:sz w:val="20"/>
          <w:szCs w:val="20"/>
          <w:color w:val="auto"/>
        </w:rPr>
      </w:pPr>
    </w:p>
    <w:p>
      <w:pPr>
        <w:jc w:val="both"/>
        <w:ind w:right="300"/>
        <w:spacing w:after="0" w:line="272" w:lineRule="auto"/>
        <w:rPr>
          <w:sz w:val="20"/>
          <w:szCs w:val="20"/>
          <w:color w:val="auto"/>
        </w:rPr>
      </w:pPr>
      <w:r>
        <w:rPr>
          <w:rFonts w:ascii="Arial" w:cs="Arial" w:eastAsia="Arial" w:hAnsi="Arial"/>
          <w:sz w:val="17"/>
          <w:szCs w:val="17"/>
          <w:color w:val="auto"/>
        </w:rPr>
        <w:t>Priority Holdings, LLC redeemed 411,585 Class A Common units for $31.0 million on January 17, 2018, 445,410 Class A Common Units for $39.0 million on January 19, 2018 and redeemed an additional 96,999 Class A Common Units for $4.2 million on February 23, 2018. As a result of these redemptions, Priority Holdings, LLC was 100% owned by PIH.</w:t>
      </w:r>
    </w:p>
    <w:p>
      <w:pPr>
        <w:spacing w:after="0" w:line="17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On January 11, 2018, we upsized our Senior Secured Credit Facility to $267.5 million, resulting in an additional $67.5 million in debt and the 1.8% warrant was amended to provide Goldman Sachs with warrants to purchase 2.2% of our outstanding Class A Common units. The warrants have a term of 7 years, an exercise price of $0 and may be exercised at any time prior to expiration date. The additional debt proceeds were used for redemption of Class A Common units held by certain investors. In addition, on July 25, 2018, we and Goldman Sachs agreed to redeem the warrant in exchange for $12.7 million. The fair value of the warrant immediately prior to the redemption was $12.8 million, which resulted in a gain of $0.1 million. See “—Liquidity and Capital Resources—Long-term Debt” below and Note 6 to our unaudited interim condensed consolidated financial statements included elsewhere in this Prospectus/Offer to Exchange.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Merchant Portfolios, Residuals and Business Acquisitions</w:t>
      </w:r>
    </w:p>
    <w:p>
      <w:pPr>
        <w:spacing w:after="0" w:line="223"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In the ordinary course of our business, we acquire new businesses and merchant relationships through contracts and relationships with ISOs and other resellers, as well as residual rights to commissions payable to such resellers.</w:t>
      </w:r>
    </w:p>
    <w:p>
      <w:pPr>
        <w:spacing w:after="0" w:line="159" w:lineRule="exact"/>
        <w:rPr>
          <w:sz w:val="20"/>
          <w:szCs w:val="20"/>
          <w:color w:val="auto"/>
        </w:rPr>
      </w:pPr>
    </w:p>
    <w:p>
      <w:pPr>
        <w:ind w:right="700"/>
        <w:spacing w:after="0" w:line="272" w:lineRule="auto"/>
        <w:rPr>
          <w:sz w:val="20"/>
          <w:szCs w:val="20"/>
          <w:color w:val="auto"/>
        </w:rPr>
      </w:pPr>
      <w:r>
        <w:rPr>
          <w:rFonts w:ascii="Arial" w:cs="Arial" w:eastAsia="Arial" w:hAnsi="Arial"/>
          <w:sz w:val="17"/>
          <w:szCs w:val="17"/>
          <w:color w:val="auto"/>
        </w:rPr>
        <w:t>In addition, in June 2015, we agreed to purchase substantially all merchant acquiring related assets of American Credit Card Processing Corp. and certain subsidiaries and affiliates for approximately $27.6 million, including a contingent earnout payment. The acquisition was debt financed and contributed approximately $4 million in revenue in 2015, following the date of acquisition.</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April 2018, we purchased the majority of the operating assets and certain operating liabilities of PayRight, in which we previously owned a non-controlling interest and accounted for using the equity method. As a result, our consolidated financial statements now includes the financial position, results of operations, and cash flows of PayRight (within our Commercial Payments and Managed Services segment).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consummated three business acquisitions in the third quarter of 2018, as follows:</w:t>
      </w:r>
    </w:p>
    <w:p>
      <w:pPr>
        <w:spacing w:after="0" w:line="223" w:lineRule="exact"/>
        <w:rPr>
          <w:sz w:val="20"/>
          <w:szCs w:val="20"/>
          <w:color w:val="auto"/>
        </w:rPr>
      </w:pPr>
    </w:p>
    <w:p>
      <w:pPr>
        <w:ind w:left="1260" w:right="180" w:hanging="314"/>
        <w:spacing w:after="0" w:line="289"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July 2018, we acquired, in related asset purchase transactions, through our newly formed subsidiary, Priority Real Estate Technology, LLC (“PRET”), two businesses (RadPad and Landlord) that will operate under the “RadPad” name, providing a holistic marketplace model for the rental real estate industry, including lead generation and conversion, facilitation of tenant screening and other value added services such as rent payment processing. PRET is reported in our Commercial Payments and Managed Services segment.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89" w:name="page90"/>
    <w:bookmarkEnd w:id="89"/>
    <w:p>
      <w:pPr>
        <w:ind w:left="1260" w:right="140" w:hanging="314"/>
        <w:spacing w:after="0" w:line="267" w:lineRule="auto"/>
        <w:tabs>
          <w:tab w:leader="none" w:pos="1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July 2018, we acquired, in an asset purchase transaction, Priority Payment Systems Northeast, Inc. (“PPS Northeast”), previously an independent brand-licensed office of the Company that provided expertise in software-integrated payment services designed to manage turnkey installations of point-of-sale and supporting systems and marketing programs emphasizing online ordering systems and digital marketing campaigns. PPS Northeast is reported in our Consumer Payments segment.</w:t>
      </w:r>
    </w:p>
    <w:p>
      <w:pPr>
        <w:spacing w:after="0" w:line="176" w:lineRule="exact"/>
        <w:rPr>
          <w:rFonts w:ascii="Arial" w:cs="Arial" w:eastAsia="Arial" w:hAnsi="Arial"/>
          <w:sz w:val="17"/>
          <w:szCs w:val="17"/>
          <w:color w:val="auto"/>
        </w:rPr>
      </w:pPr>
    </w:p>
    <w:p>
      <w:pPr>
        <w:ind w:left="1260" w:right="100" w:hanging="314"/>
        <w:spacing w:after="0" w:line="325" w:lineRule="auto"/>
        <w:tabs>
          <w:tab w:leader="none" w:pos="12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 August 2018, we acquired, in an asset purchase transaction, M.Y. Capital, Inc. and Payments In Kind, Inc., collectively doing business as Priority Payment Systems Tech Partners (“PPS Tech”), previously an independent brand-licensed office of the Company that developed a track record and extensive network in the integrated payments and B2B marketplaces. PPS Tech is also reported in our Consumer Payments segment.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Seasonality</w:t>
      </w:r>
    </w:p>
    <w:p>
      <w:pPr>
        <w:spacing w:after="0" w:line="22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expect to experience, seasonal fluctuations in our revenues as a result of consumer spending patterns and the recognition of non-transaction based fees. We expect revenues to be lower in our first quarter and higher in our fourth quarter, primarily due to the seasonal shopping and buying patterns experienced by our merchant customers. Some variability may also result from seasonal events (such as retail sales events) and the number of processing days in a month or quarter. Our quarterly operating expenses, other than cost of services (which trend in the direction of revenues), should not fluctuate seasonally.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Business and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number of factors impact our business, results of operations and financial condition including:</w:t>
      </w:r>
    </w:p>
    <w:p>
      <w:pPr>
        <w:spacing w:after="0" w:line="223" w:lineRule="exact"/>
        <w:rPr>
          <w:sz w:val="20"/>
          <w:szCs w:val="20"/>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dollar amount and number of transactions that are processed by our merchants and merchant mix;</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consolidation in our industry;</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consolidation among our resellers, which may result in price compression;</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acquire new merchant customers and retain distribution partners and merchant customers on reasonable terms;</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emergence of new payment technologies and types and the resulting demand for our products and services;</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integrate and capitalize on recent acquisitions and identify and complete future acquisitions; and</w:t>
      </w:r>
    </w:p>
    <w:p>
      <w:pPr>
        <w:spacing w:after="0" w:line="223" w:lineRule="exact"/>
        <w:rPr>
          <w:rFonts w:ascii="Arial" w:cs="Arial" w:eastAsia="Arial" w:hAnsi="Arial"/>
          <w:sz w:val="17"/>
          <w:szCs w:val="17"/>
          <w:color w:val="auto"/>
        </w:rPr>
      </w:pPr>
    </w:p>
    <w:p>
      <w:pPr>
        <w:ind w:left="580" w:hanging="222"/>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general economic conditions and consumer spending trends.</w:t>
      </w:r>
    </w:p>
    <w:p>
      <w:pPr>
        <w:spacing w:after="0" w:line="24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results are driven primarily by the dollar volume and number of bankcard transactions processed by its merchant customers. Our total bankcard processing dollar volume for the years ended December 31, 2017, 2016 and 2015 was $34.7 billion, $30.4 billion and $27.2 billion, respectively, representing a compound annual growth rate of approximately 13.0% over the period. Our total number of bankcard transactions for the years ended December 31, 2017, 2016 and 2015 was 439.2 million, 398.6 million and 357.1 million, respectively. Our total bankcard processing dollar volume in the nine months ended September 30, 2018 and 2017 was $31.6 billion and $28.4 billion, respectively, and its total number of bankcard transactions in the same periods was 389.8 million and 363.0 million, respectively. Bankcard dollar volumes and numbers of transactions are driven primarily by the number of active merchants, number of bankcard transactions processed per merchant and sale amount per transaction. We had approximately 174 thousand merchants as of December 31, 2017.</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90" w:name="page91"/>
    <w:bookmarkEnd w:id="90"/>
    <w:p>
      <w:pPr>
        <w:ind w:right="60"/>
        <w:spacing w:after="0" w:line="289" w:lineRule="auto"/>
        <w:rPr>
          <w:sz w:val="20"/>
          <w:szCs w:val="20"/>
          <w:color w:val="auto"/>
        </w:rPr>
      </w:pPr>
      <w:r>
        <w:rPr>
          <w:rFonts w:ascii="Arial" w:cs="Arial" w:eastAsia="Arial" w:hAnsi="Arial"/>
          <w:sz w:val="16"/>
          <w:szCs w:val="16"/>
          <w:color w:val="auto"/>
        </w:rPr>
        <w:t>We grow the number of merchants primarily through the various reseller distribution channels described above in the section entitled “Sales and Distribution,” mainly ISOs and agents, as well as through acquisitions of merchant portfolios and complementary businesses. We periodically review our merchant portfolio for inactive merchants, which we may close from time to time. We generally consider merchants to be “inactive” if they have not processed a transaction in three months and are not considered seasonal merchants. In addition, We routinely close merchant accounts deemed to be a credit risk.</w:t>
      </w:r>
    </w:p>
    <w:p>
      <w:pPr>
        <w:spacing w:after="0" w:line="160"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Our payment processing revenue is recurring in nature, as we typically enter into multi-year service contracts with its merchants. Merchant attrition is expected in the merchant acquiring industry in the ordinary course of business. Our experiences attrition as a result of several factors, including business closures, transfers of merchants’ accounts to our competitors and account closures that we initiate due to heightened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Components of Revenue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Merchant card fees revenue.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our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Outsourced services revenue</w:t>
      </w:r>
      <w:r>
        <w:rPr>
          <w:rFonts w:ascii="Arial" w:cs="Arial" w:eastAsia="Arial" w:hAnsi="Arial"/>
          <w:sz w:val="17"/>
          <w:szCs w:val="17"/>
          <w:color w:val="auto"/>
        </w:rPr>
        <w:t>.</w:t>
      </w: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Outsourced services revenue consists mainly of cost-plus fees related to B2B services, merchant financing and buyer initiated payment programs sold on behalf of certain enterprise customers, originated through our in-house sales force, including incentives for meeting sales targets. Outsourced services revenue are attributable primarily to our Commercial Payments and Managed Services segment.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revenue</w:t>
      </w:r>
      <w:r>
        <w:rPr>
          <w:rFonts w:ascii="Arial" w:cs="Arial" w:eastAsia="Arial" w:hAnsi="Arial"/>
          <w:sz w:val="17"/>
          <w:szCs w:val="17"/>
          <w:color w:val="auto"/>
        </w:rPr>
        <w:t>.</w:t>
      </w:r>
    </w:p>
    <w:p>
      <w:pPr>
        <w:spacing w:after="0" w:line="223"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Other revenue is comprised of fees for products and services not specifically described above, mainly revenue from the sale of equipment (primarily point of sale terminals) and processing of ACH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Costs of merchant card fees</w:t>
      </w:r>
      <w:r>
        <w:rPr>
          <w:rFonts w:ascii="Arial" w:cs="Arial" w:eastAsia="Arial" w:hAnsi="Arial"/>
          <w:sz w:val="17"/>
          <w:szCs w:val="17"/>
          <w:color w:val="auto"/>
        </w:rPr>
        <w:t>.</w:t>
      </w:r>
    </w:p>
    <w:p>
      <w:pPr>
        <w:spacing w:after="0" w:line="223" w:lineRule="exact"/>
        <w:rPr>
          <w:sz w:val="20"/>
          <w:szCs w:val="20"/>
          <w:color w:val="auto"/>
        </w:rPr>
      </w:pPr>
    </w:p>
    <w:p>
      <w:pPr>
        <w:ind w:right="560"/>
        <w:spacing w:after="0" w:line="288" w:lineRule="auto"/>
        <w:rPr>
          <w:sz w:val="20"/>
          <w:szCs w:val="20"/>
          <w:color w:val="auto"/>
        </w:rPr>
      </w:pPr>
      <w:r>
        <w:rPr>
          <w:rFonts w:ascii="Arial" w:cs="Arial" w:eastAsia="Arial" w:hAnsi="Arial"/>
          <w:sz w:val="17"/>
          <w:szCs w:val="17"/>
          <w:color w:val="auto"/>
        </w:rPr>
        <w:t>Costs of merchant card fees is comprised mainly of residual payments to agents and ISOs and processing fees paid to third parties attributable to merchant acquisition and providing transaction processing and related services to our merchants.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costs of services</w:t>
      </w:r>
      <w:r>
        <w:rPr>
          <w:rFonts w:ascii="Arial" w:cs="Arial" w:eastAsia="Arial" w:hAnsi="Arial"/>
          <w:sz w:val="17"/>
          <w:szCs w:val="17"/>
          <w:color w:val="auto"/>
        </w:rPr>
        <w:t>.</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Other costs of services consist of salaries directly related to outsourced services revenue, the cost of equipment (point of sale terminals) sold and third-party fees and commissions related to our ACH processing activities.</w:t>
      </w: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40"/>
          </w:cols>
          <w:pgMar w:left="240" w:top="781" w:right="319" w:bottom="1440" w:gutter="0" w:footer="0" w:header="0"/>
        </w:sectPr>
      </w:pPr>
    </w:p>
    <w:bookmarkStart w:id="91" w:name="page92"/>
    <w:bookmarkEnd w:id="91"/>
    <w:p>
      <w:pPr>
        <w:ind w:left="320"/>
        <w:spacing w:after="0"/>
        <w:rPr>
          <w:sz w:val="20"/>
          <w:szCs w:val="20"/>
          <w:color w:val="auto"/>
        </w:rPr>
      </w:pPr>
      <w:r>
        <w:rPr>
          <w:rFonts w:ascii="Arial" w:cs="Arial" w:eastAsia="Arial" w:hAnsi="Arial"/>
          <w:sz w:val="17"/>
          <w:szCs w:val="17"/>
          <w:i w:val="1"/>
          <w:iCs w:val="1"/>
          <w:color w:val="auto"/>
        </w:rPr>
        <w:t>Salary and employee benefits</w:t>
      </w:r>
      <w:r>
        <w:rPr>
          <w:rFonts w:ascii="Arial" w:cs="Arial" w:eastAsia="Arial" w:hAnsi="Arial"/>
          <w:sz w:val="17"/>
          <w:szCs w:val="17"/>
          <w:color w:val="auto"/>
        </w:rPr>
        <w:t>.</w:t>
      </w:r>
    </w:p>
    <w:p>
      <w:pPr>
        <w:spacing w:after="0" w:line="223"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Salary and employee benefits includes expenses for salaries, wages, commissions and bonuses, as well as expenses related to equity-based compensation rewards using the estimated grant date fair value. We amortize equity-based compensation for awards granted on a straight line basis over the requisite service (vesting) period.</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Depreciation and amortization consists primarily of amortization of intangible assets, mainly including merchant portfolios, customer relationships and internally developed technology (software), and to a lesser extent depreciation on our investments in property, equipment and software, mainly computer software. Merchant portfolios are amortized over their estimated useful lives, which had a weighted average of 7.2 years at December 31, 2017,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Property, equipment and software depreciation expense is recognized on a straight-line basis over the estimated useful life of the asset, which ranged between 2 and 10 years at December 31, 2017.</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Selling, general and administrative (SG&amp;A)</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expenses include mainly professional services, advertising, rent and expenses related to the Business Combination.</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operating expenses</w:t>
      </w:r>
      <w:r>
        <w:rPr>
          <w:rFonts w:ascii="Arial" w:cs="Arial" w:eastAsia="Arial" w:hAnsi="Arial"/>
          <w:sz w:val="17"/>
          <w:szCs w:val="17"/>
          <w:color w:val="auto"/>
        </w:rPr>
        <w:t>.</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income</w:t>
      </w:r>
      <w:r>
        <w:rPr>
          <w:rFonts w:ascii="Arial" w:cs="Arial" w:eastAsia="Arial" w:hAnsi="Arial"/>
          <w:sz w:val="17"/>
          <w:szCs w:val="17"/>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Interest and other income consists mainly of interest received pursuant to notes receivable from independent sales agents.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expense.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and other expense consists mainly of interest on outstanding debt, changes in fair value of the Goldman Sachs warrant, amortization of deferred financing fees and original issue discounts and certain expenses related to debt extinguishment including the write-off of unamortized deferred financing fees and original issue discount relating to the extinguished debt.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Equity in loss and impairment of unconsolidated entities</w:t>
      </w:r>
    </w:p>
    <w:p>
      <w:pPr>
        <w:spacing w:after="0" w:line="22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Equity in loss and impairment of unconsolidated entities consists of the Company’s share of the income or loss of its equity method investment as well as any impairment charges related to such investments.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Certain Non-GAAP Measures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We regularly review the following key non-GAAP measures to evaluate our business and trends, measure our performance, prepare financial projections and make strategic decisions.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EBITDA, Adjusted EBITDA and Earnout Adjusted EBITDA</w:t>
      </w:r>
    </w:p>
    <w:p>
      <w:pPr>
        <w:spacing w:after="0" w:line="223"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Included in this presentation are discussions and reconciliations of earnings before interest, income tax and depreciation and amortization (“EBITDA”) and EBITDA adjusted for certain non-cash, non-recurring or non-core expenses (“Adjusted EBITDA”) to net income in accordance with GAAP. Adjusted EBITDA excludes certain non-cash and other expenses, litigation settlement costs, certain legal services costs, professional and consulting fees and expenses, severance, separation and employee settlements, share-based compensation and one-time Business Combination expenses and certain adjustments. 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68"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In addition, our financial covenants under our debt agreements and the earnout incentive plan pursuant to the Business Combination, are based on a measure similar to Adjusted EBITDA (“Earnout Adjusted EBITDA”). The calculations of Earnout Adjusted EBITDA under our debt agreements and the earnout incentive plan include adjustments for, among other things, pro forma effects related to acquired merchant portfolios and residual streams and run rate adjustments for certain contracted savings on an annualized basis, which are not included as adjustments to Adjusted EBITDA.</w:t>
      </w:r>
    </w:p>
    <w:p>
      <w:pPr>
        <w:spacing w:after="0" w:line="17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Adjusted EBITDA and Earnout Adjusted EBITDA may differ from the methods used by other companies to calculate their non-GAAP measures.</w:t>
      </w:r>
    </w:p>
    <w:p>
      <w:pPr>
        <w:spacing w:after="0" w:line="166" w:lineRule="exact"/>
        <w:rPr>
          <w:sz w:val="20"/>
          <w:szCs w:val="20"/>
          <w:color w:val="auto"/>
        </w:rPr>
      </w:pPr>
    </w:p>
    <w:p>
      <w:pPr>
        <w:ind w:right="740"/>
        <w:spacing w:after="0" w:line="288" w:lineRule="auto"/>
        <w:rPr>
          <w:sz w:val="20"/>
          <w:szCs w:val="20"/>
          <w:color w:val="auto"/>
        </w:rPr>
      </w:pPr>
      <w:r>
        <w:rPr>
          <w:rFonts w:ascii="Arial" w:cs="Arial" w:eastAsia="Arial" w:hAnsi="Arial"/>
          <w:sz w:val="17"/>
          <w:szCs w:val="17"/>
          <w:color w:val="auto"/>
        </w:rPr>
        <w:t>The reconciliations of EBITDA, Adjusted EBITDA and Earnout Adjusted EBITDA to net (loss) income, the most directly comparable financial measure calculated and presented in accordance with GAAP, are shown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Nine Months Ended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September 30,</w:t>
            </w:r>
          </w:p>
        </w:tc>
        <w:tc>
          <w:tcPr>
            <w:tcW w:w="200" w:type="dxa"/>
            <w:vAlign w:val="bottom"/>
          </w:tcPr>
          <w:p>
            <w:pPr>
              <w:spacing w:after="0"/>
              <w:rPr>
                <w:sz w:val="19"/>
                <w:szCs w:val="19"/>
                <w:color w:val="auto"/>
              </w:rPr>
            </w:pPr>
          </w:p>
        </w:tc>
        <w:tc>
          <w:tcPr>
            <w:tcW w:w="2520" w:type="dxa"/>
            <w:vAlign w:val="bottom"/>
            <w:gridSpan w:val="6"/>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2018</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w w:val="95"/>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7"/>
                <w:szCs w:val="17"/>
                <w:b w:val="1"/>
                <w:bCs w:val="1"/>
                <w:i w:val="1"/>
                <w:iCs w:val="1"/>
                <w:color w:val="auto"/>
                <w:w w:val="93"/>
              </w:rPr>
              <w:t>(dollars in thousands)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income (GAAP)</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(11,367)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2,719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4,594</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20,186</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9,267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Adjusted for:</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Interest expense, net (1)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21,893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18,600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26,676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Depreciation and amortization</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12,679</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11,254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14,674</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14,733</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Less: Income tax benefit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tcPr>
          <w:p>
            <w:pPr>
              <w:ind w:left="140"/>
              <w:spacing w:after="0"/>
              <w:rPr>
                <w:sz w:val="20"/>
                <w:szCs w:val="20"/>
                <w:color w:val="auto"/>
              </w:rPr>
            </w:pPr>
            <w:r>
              <w:rPr>
                <w:rFonts w:ascii="Arial" w:cs="Arial" w:eastAsia="Arial" w:hAnsi="Arial"/>
                <w:sz w:val="17"/>
                <w:szCs w:val="17"/>
                <w:b w:val="1"/>
                <w:bCs w:val="1"/>
                <w:color w:val="auto"/>
              </w:rPr>
              <w:t>EBITDA (non-GAAP)</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22,214</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32,573</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45,944</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39,696</w:t>
            </w: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28,952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Further adjusted for: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Non-cash and certain other expense(2)</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5,644</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3,010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4,195</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(1,418)</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Litigation settlement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1,596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Certain legal services(3)</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3,901</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3,286</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2,699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2,136</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Professional and consulting fees and expenses(4)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5,681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2,901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Severance, separation and employee settlements</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222</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139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Share-based compensation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1,063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One-time transaction-related expenses and adjustments(5)</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55</w:t>
            </w: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982</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Adjusted EBITDA (non-GAAP)</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40,376</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40,802</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58,033</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46,735</w:t>
            </w:r>
          </w:p>
        </w:tc>
        <w:tc>
          <w:tcPr>
            <w:tcW w:w="220" w:type="dxa"/>
            <w:vAlign w:val="bottom"/>
            <w:tcBorders>
              <w:bottom w:val="single" w:sz="8" w:color="CCEEFF"/>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36,518</w:t>
            </w: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140"/>
              <w:spacing w:after="0"/>
              <w:rPr>
                <w:sz w:val="20"/>
                <w:szCs w:val="20"/>
                <w:color w:val="auto"/>
              </w:rPr>
            </w:pPr>
            <w:r>
              <w:rPr>
                <w:rFonts w:ascii="Arial" w:cs="Arial" w:eastAsia="Arial" w:hAnsi="Arial"/>
                <w:sz w:val="17"/>
                <w:szCs w:val="17"/>
                <w:color w:val="auto"/>
              </w:rPr>
              <w:t>Further adjusted for:</w:t>
            </w: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3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Pro forma impacts for acquisitions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7,633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7"/>
                <w:szCs w:val="17"/>
                <w:color w:val="auto"/>
              </w:rPr>
              <w:t>Add: Contracted revenue and savings</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2,924</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1,743</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1,743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Other tax expense</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146</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253</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7"/>
                <w:szCs w:val="17"/>
                <w:b w:val="1"/>
                <w:bCs w:val="1"/>
                <w:color w:val="auto"/>
              </w:rPr>
              <w:t>Earnout Adjusted EBITDA (non-GAAP)(6)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51,079</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43,698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61,332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color w:val="auto"/>
              </w:rPr>
              <w:t>83</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93" w:name="page94"/>
    <w:bookmarkEnd w:id="93"/>
    <w:p>
      <w:pPr>
        <w:ind w:left="580" w:hanging="340"/>
        <w:spacing w:after="0" w:line="28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Interest expense, net does not include expense related to the change in the fair value of the warrants. This item is included as add-backs to Adjusted EBITDA under the caption “Non-cash and certain other expense,” below.</w:t>
      </w:r>
    </w:p>
    <w:p>
      <w:pPr>
        <w:spacing w:after="0" w:line="158" w:lineRule="exact"/>
        <w:rPr>
          <w:rFonts w:ascii="Arial" w:cs="Arial" w:eastAsia="Arial" w:hAnsi="Arial"/>
          <w:sz w:val="17"/>
          <w:szCs w:val="17"/>
          <w:color w:val="auto"/>
        </w:rPr>
      </w:pPr>
    </w:p>
    <w:p>
      <w:pPr>
        <w:ind w:left="580" w:hanging="340"/>
        <w:spacing w:after="0" w:line="321"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Primarily non-cash fair value and other adjustments, including changes in fair value of warrants, equity in loss and impairment of unconsolidated entities, change in fair value of earnout obligations, and, to a lesser extent, certain non-recurring business combination and integration-related costs.</w:t>
      </w:r>
    </w:p>
    <w:p>
      <w:pPr>
        <w:spacing w:after="0" w:line="135" w:lineRule="exact"/>
        <w:rPr>
          <w:rFonts w:ascii="Arial" w:cs="Arial" w:eastAsia="Arial" w:hAnsi="Arial"/>
          <w:sz w:val="16"/>
          <w:szCs w:val="16"/>
          <w:color w:val="auto"/>
        </w:rPr>
      </w:pPr>
    </w:p>
    <w:p>
      <w:pPr>
        <w:ind w:left="580" w:hanging="340"/>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Legal expenses related to acquisitions, legal settlements, and other litigation expenses.</w:t>
      </w:r>
    </w:p>
    <w:p>
      <w:pPr>
        <w:spacing w:after="0" w:line="223" w:lineRule="exact"/>
        <w:rPr>
          <w:rFonts w:ascii="Arial" w:cs="Arial" w:eastAsia="Arial" w:hAnsi="Arial"/>
          <w:sz w:val="17"/>
          <w:szCs w:val="17"/>
          <w:color w:val="auto"/>
        </w:rPr>
      </w:pPr>
    </w:p>
    <w:p>
      <w:pPr>
        <w:ind w:left="580" w:hanging="340"/>
        <w:spacing w:after="0" w:line="28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Primarily business combination related, capital markets, accounting advisory, IT consulting and sponsor management fees and expenses, as well as a consulting arrangement with a non-independent director.</w:t>
      </w:r>
    </w:p>
    <w:p>
      <w:pPr>
        <w:spacing w:after="0" w:line="158" w:lineRule="exact"/>
        <w:rPr>
          <w:rFonts w:ascii="Arial" w:cs="Arial" w:eastAsia="Arial" w:hAnsi="Arial"/>
          <w:sz w:val="17"/>
          <w:szCs w:val="17"/>
          <w:color w:val="auto"/>
        </w:rPr>
      </w:pPr>
    </w:p>
    <w:p>
      <w:pPr>
        <w:ind w:left="580" w:right="400" w:hanging="340"/>
        <w:spacing w:after="0" w:line="28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Primarily items related to write-offs of pre-acquisition receivables, settlement of pre-acquisition payables, settlement of a minimum payment shortfall related to a contract assumed in an acquisition and contract termination fees.</w:t>
      </w:r>
    </w:p>
    <w:p>
      <w:pPr>
        <w:spacing w:after="0" w:line="158" w:lineRule="exact"/>
        <w:rPr>
          <w:rFonts w:ascii="Arial" w:cs="Arial" w:eastAsia="Arial" w:hAnsi="Arial"/>
          <w:sz w:val="17"/>
          <w:szCs w:val="17"/>
          <w:color w:val="auto"/>
        </w:rPr>
      </w:pPr>
    </w:p>
    <w:p>
      <w:pPr>
        <w:ind w:left="580" w:right="540" w:hanging="340"/>
        <w:spacing w:after="0" w:line="28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Presented only for the nine-month periods ended September 30, 2018 and 2017 and the year ended December 31, 2017, reflecting definition in debt agreements entered into in connection with the January 2017 debt restructuring.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9"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color w:val="auto"/>
        </w:rPr>
        <w:t>This section includes a brief summary of our results of operations for the periods presented followed by a detailed discussion of our results for (i) the nine months ended September 30, 2018 compared to the nine months ended September 30, 2017, (ii) the year ended December 31, 2017 compared to the year ended December 31, 2016, and (iii) the year ended December 31, 2016 compared to the year ended December 31, 2015. We have derived this data from our unaudited interim condensed consolidated financial statements and audited consolidated financial statements included elsewhere in this Prospectus/Offer to Exchange.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Nine Months Ended September 30, 2018 Compared to Nine Months Ended September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2900" w:type="dxa"/>
            <w:vAlign w:val="bottom"/>
            <w:gridSpan w:val="6"/>
          </w:tcPr>
          <w:p>
            <w:pPr>
              <w:spacing w:after="0"/>
              <w:rPr>
                <w:sz w:val="20"/>
                <w:szCs w:val="20"/>
                <w:color w:val="auto"/>
              </w:rPr>
            </w:pPr>
            <w:r>
              <w:rPr>
                <w:rFonts w:ascii="Arial" w:cs="Arial" w:eastAsia="Arial" w:hAnsi="Arial"/>
                <w:sz w:val="17"/>
                <w:szCs w:val="17"/>
                <w:b w:val="1"/>
                <w:bCs w:val="1"/>
                <w:color w:val="auto"/>
              </w:rPr>
              <w:t>Nine Months Ended September 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2017</w:t>
            </w: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7"/>
                <w:szCs w:val="17"/>
                <w:b w:val="1"/>
                <w:bCs w:val="1"/>
                <w:color w:val="auto"/>
                <w:w w:val="92"/>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620" w:type="dxa"/>
            <w:vAlign w:val="bottom"/>
          </w:tcPr>
          <w:p>
            <w:pPr>
              <w:spacing w:after="0"/>
              <w:rPr>
                <w:sz w:val="17"/>
                <w:szCs w:val="17"/>
                <w:color w:val="auto"/>
              </w:rPr>
            </w:pPr>
          </w:p>
        </w:tc>
        <w:tc>
          <w:tcPr>
            <w:tcW w:w="196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dollars in thousands)</w:t>
            </w: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299,661</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286,208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13,453</w:t>
            </w: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18,426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17,135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r>
      <w:tr>
        <w:trPr>
          <w:trHeight w:val="222"/>
        </w:trPr>
        <w:tc>
          <w:tcPr>
            <w:tcW w:w="562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5,862</w:t>
            </w:r>
          </w:p>
        </w:tc>
        <w:tc>
          <w:tcPr>
            <w:tcW w:w="520" w:type="dxa"/>
            <w:vAlign w:val="bottom"/>
          </w:tcPr>
          <w:p>
            <w:pPr>
              <w:spacing w:after="0"/>
              <w:rPr>
                <w:sz w:val="19"/>
                <w:szCs w:val="19"/>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2,306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154.2%</w:t>
            </w:r>
          </w:p>
        </w:tc>
      </w:tr>
      <w:tr>
        <w:trPr>
          <w:trHeight w:val="203"/>
        </w:trPr>
        <w:tc>
          <w:tcPr>
            <w:tcW w:w="562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323,949</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6.0%</w:t>
            </w:r>
          </w:p>
        </w:tc>
      </w:tr>
      <w:tr>
        <w:trPr>
          <w:trHeight w:val="209"/>
        </w:trPr>
        <w:tc>
          <w:tcPr>
            <w:tcW w:w="56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230,276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219,507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10,769</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4.9%</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13,518</w:t>
            </w:r>
          </w:p>
        </w:tc>
        <w:tc>
          <w:tcPr>
            <w:tcW w:w="520" w:type="dxa"/>
            <w:vAlign w:val="bottom"/>
          </w:tcPr>
          <w:p>
            <w:pPr>
              <w:spacing w:after="0"/>
              <w:rPr>
                <w:sz w:val="18"/>
                <w:szCs w:val="18"/>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11,285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19.8%</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28,406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24,356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16.6%</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12,679</w:t>
            </w:r>
          </w:p>
        </w:tc>
        <w:tc>
          <w:tcPr>
            <w:tcW w:w="520" w:type="dxa"/>
            <w:vAlign w:val="bottom"/>
          </w:tcPr>
          <w:p>
            <w:pPr>
              <w:spacing w:after="0"/>
              <w:rPr>
                <w:sz w:val="18"/>
                <w:szCs w:val="18"/>
                <w:color w:val="auto"/>
              </w:rPr>
            </w:pP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11,254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12.7%</w:t>
            </w: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13,978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7,214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93.8%</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r>
      <w:tr>
        <w:trPr>
          <w:trHeight w:val="22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10,449</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8,143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28.3%</w:t>
            </w:r>
          </w:p>
        </w:tc>
      </w:tr>
      <w:tr>
        <w:trPr>
          <w:trHeight w:val="202"/>
        </w:trPr>
        <w:tc>
          <w:tcPr>
            <w:tcW w:w="562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309,306</w:t>
            </w:r>
          </w:p>
        </w:tc>
        <w:tc>
          <w:tcPr>
            <w:tcW w:w="2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281,349</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27,957</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9.9%</w:t>
            </w:r>
          </w:p>
        </w:tc>
      </w:tr>
      <w:tr>
        <w:trPr>
          <w:trHeight w:val="202"/>
        </w:trPr>
        <w:tc>
          <w:tcPr>
            <w:tcW w:w="562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14,643</w:t>
            </w:r>
          </w:p>
        </w:tc>
        <w:tc>
          <w:tcPr>
            <w:tcW w:w="2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24,300</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(9,657</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(39.7)%</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530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2"/>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18.3%</w:t>
            </w:r>
          </w:p>
        </w:tc>
      </w:tr>
      <w:tr>
        <w:trPr>
          <w:trHeight w:val="209"/>
        </w:trPr>
        <w:tc>
          <w:tcPr>
            <w:tcW w:w="5620" w:type="dxa"/>
            <w:vAlign w:val="bottom"/>
          </w:tcPr>
          <w:p>
            <w:pPr>
              <w:ind w:left="14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(26,674)</w:t>
            </w:r>
          </w:p>
        </w:tc>
        <w:tc>
          <w:tcPr>
            <w:tcW w:w="520" w:type="dxa"/>
            <w:vAlign w:val="bottom"/>
          </w:tcPr>
          <w:p>
            <w:pPr>
              <w:spacing w:after="0"/>
              <w:rPr>
                <w:sz w:val="18"/>
                <w:szCs w:val="18"/>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(21,808)</w:t>
            </w:r>
          </w:p>
        </w:tc>
        <w:tc>
          <w:tcPr>
            <w:tcW w:w="10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(4,866)</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22.3%</w:t>
            </w:r>
          </w:p>
        </w:tc>
      </w:tr>
      <w:tr>
        <w:trPr>
          <w:trHeight w:val="22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in loss and impairment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(857)</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(221)</w:t>
            </w: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(636)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287.8%</w:t>
            </w:r>
          </w:p>
        </w:tc>
      </w:tr>
      <w:tr>
        <w:trPr>
          <w:trHeight w:val="202"/>
        </w:trPr>
        <w:tc>
          <w:tcPr>
            <w:tcW w:w="5620" w:type="dxa"/>
            <w:vAlign w:val="bottom"/>
            <w:tcBorders>
              <w:bottom w:val="single" w:sz="8" w:color="CCEEFF"/>
            </w:tcBorders>
          </w:tcPr>
          <w:p>
            <w:pPr>
              <w:ind w:left="70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(27,001</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(21,581</w:t>
            </w:r>
          </w:p>
        </w:tc>
        <w:tc>
          <w:tcPr>
            <w:tcW w:w="200" w:type="dxa"/>
            <w:vAlign w:val="bottom"/>
            <w:tcBorders>
              <w:bottom w:val="single" w:sz="8" w:color="CCEEFF"/>
            </w:tcBorders>
          </w:tcPr>
          <w:p>
            <w:pPr>
              <w:jc w:val="right"/>
              <w:ind w:right="12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(5,420</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25.1%</w:t>
            </w:r>
          </w:p>
        </w:tc>
      </w:tr>
      <w:tr>
        <w:trPr>
          <w:trHeight w:val="202"/>
        </w:trPr>
        <w:tc>
          <w:tcPr>
            <w:tcW w:w="5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Income tax benefit</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nm</w:t>
            </w:r>
          </w:p>
        </w:tc>
      </w:tr>
      <w:tr>
        <w:trPr>
          <w:trHeight w:val="215"/>
        </w:trPr>
        <w:tc>
          <w:tcPr>
            <w:tcW w:w="5620" w:type="dxa"/>
            <w:vAlign w:val="bottom"/>
          </w:tcPr>
          <w:p>
            <w:pPr>
              <w:spacing w:after="0"/>
              <w:rPr>
                <w:sz w:val="20"/>
                <w:szCs w:val="20"/>
                <w:color w:val="auto"/>
              </w:rPr>
            </w:pPr>
            <w:r>
              <w:rPr>
                <w:rFonts w:ascii="Arial" w:cs="Arial" w:eastAsia="Arial" w:hAnsi="Arial"/>
                <w:sz w:val="17"/>
                <w:szCs w:val="17"/>
                <w:b w:val="1"/>
                <w:bCs w:val="1"/>
                <w:color w:val="auto"/>
              </w:rPr>
              <w:t>Net (loss) income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(11,367</w:t>
            </w:r>
          </w:p>
        </w:tc>
        <w:tc>
          <w:tcPr>
            <w:tcW w:w="200" w:type="dxa"/>
            <w:vAlign w:val="bottom"/>
          </w:tcPr>
          <w:p>
            <w:pPr>
              <w:jc w:val="right"/>
              <w:ind w:right="58"/>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62"/>
              <w:spacing w:after="0"/>
              <w:rPr>
                <w:sz w:val="20"/>
                <w:szCs w:val="20"/>
                <w:color w:val="auto"/>
              </w:rPr>
            </w:pPr>
            <w:r>
              <w:rPr>
                <w:rFonts w:ascii="Arial" w:cs="Arial" w:eastAsia="Arial" w:hAnsi="Arial"/>
                <w:sz w:val="17"/>
                <w:szCs w:val="17"/>
                <w:color w:val="auto"/>
              </w:rPr>
              <w:t>2,719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(14,086</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(518.1)%</w:t>
            </w:r>
          </w:p>
        </w:tc>
      </w:tr>
      <w:tr>
        <w:trPr>
          <w:trHeight w:val="20"/>
        </w:trPr>
        <w:tc>
          <w:tcPr>
            <w:tcW w:w="5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3000" w:type="dxa"/>
            <w:vAlign w:val="bottom"/>
            <w:gridSpan w:val="5"/>
          </w:tcPr>
          <w:p>
            <w:pPr>
              <w:spacing w:after="0"/>
              <w:rPr>
                <w:sz w:val="20"/>
                <w:szCs w:val="20"/>
                <w:color w:val="auto"/>
              </w:rPr>
            </w:pPr>
            <w:r>
              <w:rPr>
                <w:rFonts w:ascii="Arial" w:cs="Arial" w:eastAsia="Arial" w:hAnsi="Arial"/>
                <w:sz w:val="17"/>
                <w:szCs w:val="17"/>
                <w:b w:val="1"/>
                <w:bCs w:val="1"/>
                <w:color w:val="auto"/>
              </w:rPr>
              <w:t>Nine Months Ended September 30,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1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2017</w:t>
            </w: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576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302,514</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287,129</w:t>
            </w: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15,385</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expense</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(287,444)</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(264,672)</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income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15,070</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22,457</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(7,387)</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margin</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5.0%</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Key Indicators: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96"/>
              </w:rPr>
              <w:t>28,548,000</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25,632,000</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2,916,000</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tcPr>
          <w:p>
            <w:pPr>
              <w:spacing w:after="0"/>
              <w:rPr>
                <w:sz w:val="18"/>
                <w:szCs w:val="18"/>
                <w:color w:val="auto"/>
              </w:rPr>
            </w:pPr>
          </w:p>
        </w:tc>
        <w:tc>
          <w:tcPr>
            <w:tcW w:w="1100" w:type="dxa"/>
            <w:vAlign w:val="bottom"/>
          </w:tcPr>
          <w:p>
            <w:pPr>
              <w:jc w:val="right"/>
              <w:ind w:right="173"/>
              <w:spacing w:after="0"/>
              <w:rPr>
                <w:sz w:val="20"/>
                <w:szCs w:val="20"/>
                <w:color w:val="auto"/>
              </w:rPr>
            </w:pPr>
            <w:r>
              <w:rPr>
                <w:rFonts w:ascii="Arial" w:cs="Arial" w:eastAsia="Arial" w:hAnsi="Arial"/>
                <w:sz w:val="17"/>
                <w:szCs w:val="17"/>
                <w:color w:val="auto"/>
              </w:rPr>
              <w:t>331,305</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327,015</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4,290</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revenue</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21,435</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18,520</w:t>
            </w: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2,915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expense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13"/>
              <w:spacing w:after="0"/>
              <w:rPr>
                <w:sz w:val="20"/>
                <w:szCs w:val="20"/>
                <w:color w:val="auto"/>
              </w:rPr>
            </w:pPr>
            <w:r>
              <w:rPr>
                <w:rFonts w:ascii="Arial" w:cs="Arial" w:eastAsia="Arial" w:hAnsi="Arial"/>
                <w:sz w:val="17"/>
                <w:szCs w:val="17"/>
                <w:color w:val="auto"/>
              </w:rPr>
              <w:t>(21,862)</w:t>
            </w: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(16,677)</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(5,185)</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Segment operating income (loss)</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(427)</w:t>
            </w:r>
          </w:p>
        </w:tc>
        <w:tc>
          <w:tcPr>
            <w:tcW w:w="4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(123.2)%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40" w:type="dxa"/>
            <w:vAlign w:val="bottom"/>
          </w:tcPr>
          <w:p>
            <w:pPr>
              <w:ind w:left="12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hanging="315"/>
        <w:spacing w:after="0" w:line="288" w:lineRule="auto"/>
        <w:tabs>
          <w:tab w:leader="none" w:pos="3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For the nine months ended September 30, 2018, our consolidated revenue increased by $18.3 million, or 6.0%, from the corresponding prior year period, to $323.9 million. This increase was driven primarily by a $15.4 million, or 5.4%, increase in revenue from our Consumer Payments segment to $302.5 million. Commercial Payments and Managed Services segment revenue increased by $2.9 million, or 15.7%.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5" w:name="page96"/>
    <w:bookmarkEnd w:id="95"/>
    <w:p>
      <w:pPr>
        <w:spacing w:after="0" w:line="267" w:lineRule="auto"/>
        <w:rPr>
          <w:sz w:val="20"/>
          <w:szCs w:val="20"/>
          <w:color w:val="auto"/>
        </w:rPr>
      </w:pPr>
      <w:r>
        <w:rPr>
          <w:rFonts w:ascii="Arial" w:cs="Arial" w:eastAsia="Arial" w:hAnsi="Arial"/>
          <w:sz w:val="17"/>
          <w:szCs w:val="17"/>
          <w:color w:val="auto"/>
        </w:rPr>
        <w:t>For the nine months ended September 30, 2018, the increase in Consumer Payments revenue was primarily attributable to an increase in merchant bankcard processing dollar value and merchant bankcard transactions of 11.4% and 7.4%, respectively, compared to the corresponding prior year period, mainly due to the continuation of higher consumer spending trends in 2018 and positive net onboarding of new merchants. The average merchant processing transaction dollar value was substantially unchanged between periods.</w:t>
      </w:r>
    </w:p>
    <w:p>
      <w:pPr>
        <w:spacing w:after="0" w:line="17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increase in Commercial Payments and Managed Services revenue for the nine months ended September 30, 2018 was attributable primarily to an increase in headcount in our in-house sales force dedicated to selling merchant financing products on behalf of our financial institution partners, for which we record revenue on a cost-plus basis. CPX merchant bankcard processing dollar value and the number of merchant bankcard transactions increased 125.0% and 64.8%, respectively, for the nine months ended September 30, 2018, compared to the corresponding prior year period.</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Our consolidated operating expenses increased $28.0 million, or 9.9%, from $281.3 million for the nine months ended September 30, 2017 to $309.3 million for the nine months ended September 30, 2018, driven primarily by a $10.8 million, or 4.9%, increase in costs of merchant card fees, attributable primarily to growth in processing volume. Costs of merchant card fees as a percentage of merchant card fee revenue changed little from 76.8% for the nine months ended September 30, 2018 to 76.7% for the nine months ended September 30, 2017. Salary and employee benefits increased $4.1 million, or 16.6%, related to the aforementioned increases in corporate headcount and increases in headcount from business acquisitions in 2018. SG&amp;A expenses increased by $6.8 million, or 93.8%, primarily due to overall growth in our business operations and $3.6 million (and none for the corresponding prior year period) due to legal, accounting and other advisory and consulting expenses related to the Business Combination. Other operating expenses increased by $2.3 million due mainly to the aforementioned legal settlement. Other costs of services increased by $2.2 million due to the aforementioned in-house sales force expansion. Depreciation and amortization increased $1.4 million, or 12.7%, attributable to the internally developed software for the MX Connect and CPX platform and acquired merchant portfolios.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Consolidated income from operations decreased $9.7 million, or 39.7%, for the nine months ended September 30, 2018, compared to the corresponding prior year period. Our consolidated operating margin for the nine months ended September 30, 2018 was 4.5%, compared to 8.0%, for the corresponding prior year period. The margin decrease was due mainly to the change in merchant mix, increases in Business Combination expenses and other non-recurring operating expenses, and continued CPX business ramp up, each as described above.</w:t>
      </w:r>
    </w:p>
    <w:p>
      <w:pPr>
        <w:spacing w:after="0" w:line="177" w:lineRule="exact"/>
        <w:rPr>
          <w:sz w:val="20"/>
          <w:szCs w:val="20"/>
          <w:color w:val="auto"/>
        </w:rPr>
      </w:pPr>
    </w:p>
    <w:p>
      <w:pPr>
        <w:jc w:val="both"/>
        <w:ind w:right="400"/>
        <w:spacing w:after="0" w:line="272" w:lineRule="auto"/>
        <w:rPr>
          <w:sz w:val="20"/>
          <w:szCs w:val="20"/>
          <w:color w:val="auto"/>
        </w:rPr>
      </w:pPr>
      <w:r>
        <w:rPr>
          <w:rFonts w:ascii="Arial" w:cs="Arial" w:eastAsia="Arial" w:hAnsi="Arial"/>
          <w:sz w:val="17"/>
          <w:szCs w:val="17"/>
          <w:color w:val="auto"/>
        </w:rPr>
        <w:t>Our Consumer Payments segment contributed $15.1 million in segment operating income for the nine months ended September 30, 2018, a decrease of $7.4 million from $22.5 million segment operating income for the nine months ended September 30, 2017, reflecting the change in merchant mix and increases in Business Combination expenses and other non-recurring operating expenses described above.</w:t>
      </w:r>
    </w:p>
    <w:p>
      <w:pPr>
        <w:spacing w:after="0" w:line="173"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color w:val="auto"/>
        </w:rPr>
        <w:t>Our Commercial Payments and Managed Services segment incurred a $0.4 million segment operating loss for nine months ended September 30, 2018, compared to $1.8 million in segment operating income for the nine months ended September 30, 2017. The swing to loss was principally the result of increased headcount related to the CPX ramp up, as we commenced hiring management and staff for that segment in the middle of 2017.</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 (expenses) income</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Other expenses increased $5.4 million, or 25.1%, from $21.6 million for the nine months ended September 30, 2017 to $27.0 million for the nine months ended September 30, 2018. The primary component of our other expenses is interest expense. Interest expense on outstanding debt increased by $3.3 million for the nine months ended September 30, 2018 compared to the corresponding prior year period, primarily due to higher outstanding borrowings attributable to the January 2018 debt upsizing. The change in fair value of the Goldman Sachs warrant increased other expenses by $3.5 million and $1.5 million, respectively, for the nine months ended September 30, 2018 and September 30, 2017, respectively.</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81" w:right="299" w:bottom="1440" w:gutter="0" w:footer="0" w:header="0"/>
        </w:sectPr>
      </w:pPr>
    </w:p>
    <w:bookmarkStart w:id="96" w:name="page97"/>
    <w:bookmarkEnd w:id="96"/>
    <w:p>
      <w:pPr>
        <w:ind w:left="640"/>
        <w:spacing w:after="0"/>
        <w:rPr>
          <w:sz w:val="20"/>
          <w:szCs w:val="20"/>
          <w:color w:val="auto"/>
        </w:rPr>
      </w:pPr>
      <w:r>
        <w:rPr>
          <w:rFonts w:ascii="Arial" w:cs="Arial" w:eastAsia="Arial" w:hAnsi="Arial"/>
          <w:sz w:val="17"/>
          <w:szCs w:val="17"/>
          <w:i w:val="1"/>
          <w:iCs w:val="1"/>
          <w:color w:val="auto"/>
        </w:rPr>
        <w:t>Income tax expense (benefit)</w:t>
      </w:r>
    </w:p>
    <w:p>
      <w:pPr>
        <w:spacing w:after="0" w:line="22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We became part of a “C-corporation” reporting tax group on July 25, 2018 in connection with the Business Combination. As a result, periods after July 25, 2018 reflect applicable federal and state income tax rates for all of our operations. On July 25, 2018, we recognized a net deferred income tax asset of $47.5 million, which also resulted in a credit to our additional paid-in capital within our consolidated equity. The net deferred tax asset is the result of the difference between the initial tax bases in the assets and liabilities, generally substituted tax basis, and their respective carrying amounts for financial statement purposes. For 2018, we estimate that our effective income tax rate will be approximately 8.0%. This anticipated effective income tax rate for 2018 may not be indicative of our effective tax rates for future periods.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loss</w:t>
      </w:r>
    </w:p>
    <w:p>
      <w:pPr>
        <w:spacing w:after="0" w:line="223"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Our consolidated net loss for the nine months ended September 30, 2018 was $11.4 million compared to net income of $2.7 million for the nine months ended September 30, 2017 for the aforementioned reasons.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2017 Compared to Year Ended December 31, 2016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consolidated income statement data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5"/>
              </w:rPr>
              <w:t>Year Ended December 31,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2"/>
          </w:tcPr>
          <w:p>
            <w:pPr>
              <w:jc w:val="right"/>
              <w:ind w:right="598"/>
              <w:spacing w:after="0"/>
              <w:rPr>
                <w:sz w:val="20"/>
                <w:szCs w:val="20"/>
                <w:color w:val="auto"/>
              </w:rPr>
            </w:pPr>
            <w:r>
              <w:rPr>
                <w:rFonts w:ascii="Arial" w:cs="Arial" w:eastAsia="Arial" w:hAnsi="Arial"/>
                <w:sz w:val="17"/>
                <w:szCs w:val="17"/>
                <w:b w:val="1"/>
                <w:bCs w:val="1"/>
                <w:color w:val="auto"/>
                <w:w w:val="89"/>
              </w:rPr>
              <w:t>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620" w:type="dxa"/>
            <w:vAlign w:val="bottom"/>
          </w:tcPr>
          <w:p>
            <w:pPr>
              <w:spacing w:after="0"/>
              <w:rPr>
                <w:sz w:val="17"/>
                <w:szCs w:val="17"/>
                <w:color w:val="auto"/>
              </w:rPr>
            </w:pPr>
          </w:p>
        </w:tc>
        <w:tc>
          <w:tcPr>
            <w:tcW w:w="302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color w:val="auto"/>
                <w:w w:val="86"/>
              </w:rPr>
              <w:t>(</w:t>
            </w:r>
            <w:r>
              <w:rPr>
                <w:rFonts w:ascii="Arial" w:cs="Arial" w:eastAsia="Arial" w:hAnsi="Arial"/>
                <w:sz w:val="17"/>
                <w:szCs w:val="17"/>
                <w:b w:val="1"/>
                <w:bCs w:val="1"/>
                <w:i w:val="1"/>
                <w:iCs w:val="1"/>
                <w:color w:val="auto"/>
                <w:w w:val="86"/>
              </w:rPr>
              <w:t>dollars in thousands, except percentages</w:t>
            </w:r>
            <w:r>
              <w:rPr>
                <w:rFonts w:ascii="Arial" w:cs="Arial" w:eastAsia="Arial" w:hAnsi="Arial"/>
                <w:sz w:val="17"/>
                <w:szCs w:val="17"/>
                <w:b w:val="1"/>
                <w:bCs w:val="1"/>
                <w:color w:val="auto"/>
                <w:w w:val="86"/>
              </w:rPr>
              <w:t>)</w:t>
            </w: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398,988</w:t>
            </w:r>
          </w:p>
        </w:tc>
        <w:tc>
          <w:tcPr>
            <w:tcW w:w="5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321,091</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77,897</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24.3%</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23,308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20,061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16.2%</w:t>
            </w:r>
          </w:p>
        </w:tc>
      </w:tr>
      <w:tr>
        <w:trPr>
          <w:trHeight w:val="222"/>
        </w:trPr>
        <w:tc>
          <w:tcPr>
            <w:tcW w:w="5620" w:type="dxa"/>
            <w:vAlign w:val="bottom"/>
          </w:tcPr>
          <w:p>
            <w:pPr>
              <w:ind w:left="16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3,323</w:t>
            </w:r>
          </w:p>
        </w:tc>
        <w:tc>
          <w:tcPr>
            <w:tcW w:w="580" w:type="dxa"/>
            <w:vAlign w:val="bottom"/>
          </w:tcPr>
          <w:p>
            <w:pPr>
              <w:spacing w:after="0"/>
              <w:rPr>
                <w:sz w:val="19"/>
                <w:szCs w:val="19"/>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2,962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8"/>
              <w:spacing w:after="0"/>
              <w:rPr>
                <w:sz w:val="20"/>
                <w:szCs w:val="20"/>
                <w:color w:val="auto"/>
              </w:rPr>
            </w:pPr>
            <w:r>
              <w:rPr>
                <w:rFonts w:ascii="Arial" w:cs="Arial" w:eastAsia="Arial" w:hAnsi="Arial"/>
                <w:sz w:val="17"/>
                <w:szCs w:val="17"/>
                <w:color w:val="auto"/>
              </w:rPr>
              <w:t>361</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12.2%</w:t>
            </w:r>
          </w:p>
        </w:tc>
      </w:tr>
      <w:tr>
        <w:trPr>
          <w:trHeight w:val="203"/>
        </w:trPr>
        <w:tc>
          <w:tcPr>
            <w:tcW w:w="56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425,619</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81,505</w:t>
            </w: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w:t>
            </w:r>
          </w:p>
        </w:tc>
      </w:tr>
      <w:tr>
        <w:trPr>
          <w:trHeight w:val="209"/>
        </w:trPr>
        <w:tc>
          <w:tcPr>
            <w:tcW w:w="562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305,461</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243,049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62,412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15,743</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13,971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1,772</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12.7%</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32,357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32,330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14,674</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14,733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(0.4)%</w:t>
            </w: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9,088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7,790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16.7%</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(410)</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(2,665)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2,255</w:t>
            </w:r>
          </w:p>
        </w:tc>
        <w:tc>
          <w:tcPr>
            <w:tcW w:w="1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(84.6)%</w:t>
            </w:r>
          </w:p>
        </w:tc>
      </w:tr>
      <w:tr>
        <w:trPr>
          <w:trHeight w:val="222"/>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13,457</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4,391</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48.4%</w:t>
            </w:r>
          </w:p>
        </w:tc>
      </w:tr>
      <w:tr>
        <w:trPr>
          <w:trHeight w:val="202"/>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390,370</w:t>
            </w:r>
          </w:p>
        </w:tc>
        <w:tc>
          <w:tcPr>
            <w:tcW w:w="2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318,274</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72,096</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22.7%</w:t>
            </w:r>
          </w:p>
        </w:tc>
      </w:tr>
      <w:tr>
        <w:trPr>
          <w:trHeight w:val="202"/>
        </w:trPr>
        <w:tc>
          <w:tcPr>
            <w:tcW w:w="5620" w:type="dxa"/>
            <w:vAlign w:val="bottom"/>
            <w:shd w:val="clear" w:color="auto" w:fill="CCEEFF"/>
          </w:tcPr>
          <w:p>
            <w:pPr>
              <w:ind w:left="48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35,249</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9,409</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36.4%</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637</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149</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w:t>
            </w:r>
          </w:p>
        </w:tc>
      </w:tr>
      <w:tr>
        <w:trPr>
          <w:trHeight w:val="209"/>
        </w:trPr>
        <w:tc>
          <w:tcPr>
            <w:tcW w:w="5620" w:type="dxa"/>
            <w:vAlign w:val="bottom"/>
          </w:tcPr>
          <w:p>
            <w:pPr>
              <w:ind w:left="16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(31,159)</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(5,980)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(25,179)</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421.1%</w:t>
            </w:r>
          </w:p>
        </w:tc>
      </w:tr>
      <w:tr>
        <w:trPr>
          <w:trHeight w:val="222"/>
        </w:trPr>
        <w:tc>
          <w:tcPr>
            <w:tcW w:w="5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in loss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(133)</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(162)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02"/>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(30,655</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120" w:type="dxa"/>
            <w:vAlign w:val="bottom"/>
            <w:tcBorders>
              <w:bottom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442.2%</w:t>
            </w: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4,594</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20,186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(15,592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522"/>
        </w:trPr>
        <w:tc>
          <w:tcPr>
            <w:tcW w:w="5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87</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1"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1"/>
              </w:rPr>
              <w:t>Year Ended December 31,</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2017</w:t>
            </w:r>
          </w:p>
        </w:tc>
        <w:tc>
          <w:tcPr>
            <w:tcW w:w="104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7"/>
                <w:szCs w:val="17"/>
                <w:b w:val="1"/>
                <w:bCs w:val="1"/>
                <w:color w:val="auto"/>
              </w:rPr>
              <w:t>2016</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570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400,320</w:t>
            </w:r>
          </w:p>
        </w:tc>
        <w:tc>
          <w:tcPr>
            <w:tcW w:w="500" w:type="dxa"/>
            <w:vAlign w:val="bottom"/>
          </w:tcPr>
          <w:p>
            <w:pPr>
              <w:ind w:lef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322,666</w:t>
            </w:r>
          </w:p>
        </w:tc>
        <w:tc>
          <w:tcPr>
            <w:tcW w:w="2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77,654</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33,363</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23,188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10,175</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5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Key Indicators: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w w:val="96"/>
              </w:rPr>
              <w:t>34,465,600</w:t>
            </w:r>
          </w:p>
        </w:tc>
        <w:tc>
          <w:tcPr>
            <w:tcW w:w="5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30,335,776</w:t>
            </w:r>
          </w:p>
        </w:tc>
        <w:tc>
          <w:tcPr>
            <w:tcW w:w="3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4,129,824</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439,055</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398,498</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40,557</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25,299</w:t>
            </w:r>
          </w:p>
        </w:tc>
        <w:tc>
          <w:tcPr>
            <w:tcW w:w="50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21,448</w:t>
            </w:r>
          </w:p>
        </w:tc>
        <w:tc>
          <w:tcPr>
            <w:tcW w:w="380" w:type="dxa"/>
            <w:vAlign w:val="bottom"/>
          </w:tcPr>
          <w:p>
            <w:pPr>
              <w:ind w:lef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3"/>
              <w:spacing w:after="0"/>
              <w:rPr>
                <w:sz w:val="20"/>
                <w:szCs w:val="20"/>
                <w:color w:val="auto"/>
              </w:rPr>
            </w:pPr>
            <w:r>
              <w:rPr>
                <w:rFonts w:ascii="Arial" w:cs="Arial" w:eastAsia="Arial" w:hAnsi="Arial"/>
                <w:sz w:val="17"/>
                <w:szCs w:val="17"/>
                <w:color w:val="auto"/>
              </w:rPr>
              <w:t>3,851</w:t>
            </w:r>
          </w:p>
        </w:tc>
        <w:tc>
          <w:tcPr>
            <w:tcW w:w="1520" w:type="dxa"/>
            <w:vAlign w:val="bottom"/>
            <w:gridSpan w:val="2"/>
          </w:tcPr>
          <w:p>
            <w:pPr>
              <w:jc w:val="right"/>
              <w:ind w:right="6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1,886</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$81.5 million, or 23.7%, from $344.1 million in 2016 to $425.6 million in 2017. This increase was driven primarily by a $77.7 million, or</w:t>
      </w:r>
    </w:p>
    <w:p>
      <w:pPr>
        <w:spacing w:after="0" w:line="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24.1%, increase in revenue from our Consumer Payments segment and a $3.9 million, or 18.0%, increase in revenue from our Commercial Payments and Managed Services segment.</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81"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6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1.1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8" w:name="page99"/>
    <w:bookmarkEnd w:id="98"/>
    <w:p>
      <w:pPr>
        <w:ind w:left="420"/>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our increased debt following the January 2017 debt restructuring, including an increase in interest expense of $19.7 million, a $4.2 million increase in fair value of the Goldman Sachs warrant and a $1.8 million loss on debt extinguishment.</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income</w:t>
      </w:r>
    </w:p>
    <w:p>
      <w:pPr>
        <w:spacing w:after="0" w:line="2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2016 Compared to Year Ended December 31, 2015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consolidated income statement data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5"/>
              </w:rPr>
              <w:t>Year Ended December 31,</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 except percentages)</w:t>
            </w:r>
          </w:p>
        </w:tc>
        <w:tc>
          <w:tcPr>
            <w:tcW w:w="50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280" w:type="dxa"/>
            <w:vAlign w:val="bottom"/>
            <w:gridSpan w:val="2"/>
          </w:tcPr>
          <w:p>
            <w:pPr>
              <w:jc w:val="right"/>
              <w:ind w:right="598"/>
              <w:spacing w:after="0"/>
              <w:rPr>
                <w:sz w:val="20"/>
                <w:szCs w:val="20"/>
                <w:color w:val="auto"/>
              </w:rPr>
            </w:pPr>
            <w:r>
              <w:rPr>
                <w:rFonts w:ascii="Arial" w:cs="Arial" w:eastAsia="Arial" w:hAnsi="Arial"/>
                <w:sz w:val="17"/>
                <w:szCs w:val="17"/>
                <w:b w:val="1"/>
                <w:bCs w:val="1"/>
                <w:color w:val="auto"/>
                <w:w w:val="92"/>
              </w:rPr>
              <w:t>Change</w:t>
            </w:r>
          </w:p>
        </w:tc>
        <w:tc>
          <w:tcPr>
            <w:tcW w:w="15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 Change</w:t>
            </w:r>
          </w:p>
        </w:tc>
      </w:tr>
      <w:tr>
        <w:trPr>
          <w:trHeight w:val="202"/>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Merchant card fees revenue</w:t>
            </w:r>
          </w:p>
        </w:tc>
        <w:tc>
          <w:tcPr>
            <w:tcW w:w="5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321,091</w:t>
            </w:r>
          </w:p>
        </w:tc>
        <w:tc>
          <w:tcPr>
            <w:tcW w:w="5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268,221</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52,870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19.7%</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Outsourced services revenue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20,061</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14,815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5,246</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35.4%</w:t>
            </w:r>
          </w:p>
        </w:tc>
      </w:tr>
      <w:tr>
        <w:trPr>
          <w:trHeight w:val="222"/>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Other revenue</w:t>
            </w:r>
          </w:p>
        </w:tc>
        <w:tc>
          <w:tcPr>
            <w:tcW w:w="500" w:type="dxa"/>
            <w:vAlign w:val="bottom"/>
          </w:tcPr>
          <w:p>
            <w:pPr>
              <w:spacing w:after="0"/>
              <w:rPr>
                <w:sz w:val="19"/>
                <w:szCs w:val="19"/>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2,962</w:t>
            </w:r>
          </w:p>
        </w:tc>
        <w:tc>
          <w:tcPr>
            <w:tcW w:w="580" w:type="dxa"/>
            <w:vAlign w:val="bottom"/>
          </w:tcPr>
          <w:p>
            <w:pPr>
              <w:spacing w:after="0"/>
              <w:rPr>
                <w:sz w:val="19"/>
                <w:szCs w:val="19"/>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3,208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(246)</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(7.7)%</w:t>
            </w:r>
          </w:p>
        </w:tc>
      </w:tr>
      <w:tr>
        <w:trPr>
          <w:trHeight w:val="203"/>
        </w:trPr>
        <w:tc>
          <w:tcPr>
            <w:tcW w:w="562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Total revenue</w:t>
            </w: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286,244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57,870</w:t>
            </w:r>
          </w:p>
        </w:tc>
        <w:tc>
          <w:tcPr>
            <w:tcW w:w="1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20.2%</w:t>
            </w:r>
          </w:p>
        </w:tc>
      </w:tr>
      <w:tr>
        <w:trPr>
          <w:trHeight w:val="209"/>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OPERATING EXPENSES:</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Costs of merchant card fees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243,049</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199,067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43,982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22.1%</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Other costs of services</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13,971</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13,133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7"/>
                <w:szCs w:val="17"/>
                <w:color w:val="auto"/>
              </w:rPr>
              <w:t>838</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6.4%</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Salary and employee benefits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32,330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27,258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5,072</w:t>
            </w:r>
          </w:p>
        </w:tc>
        <w:tc>
          <w:tcPr>
            <w:tcW w:w="1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18.6%</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w:t>
            </w:r>
          </w:p>
        </w:tc>
        <w:tc>
          <w:tcPr>
            <w:tcW w:w="500" w:type="dxa"/>
            <w:vAlign w:val="bottom"/>
          </w:tcPr>
          <w:p>
            <w:pPr>
              <w:spacing w:after="0"/>
              <w:rPr>
                <w:sz w:val="18"/>
                <w:szCs w:val="18"/>
                <w:color w:val="auto"/>
              </w:rPr>
            </w:pPr>
          </w:p>
        </w:tc>
        <w:tc>
          <w:tcPr>
            <w:tcW w:w="940" w:type="dxa"/>
            <w:vAlign w:val="bottom"/>
            <w:gridSpan w:val="2"/>
          </w:tcPr>
          <w:p>
            <w:pPr>
              <w:jc w:val="right"/>
              <w:ind w:right="118"/>
              <w:spacing w:after="0"/>
              <w:rPr>
                <w:sz w:val="20"/>
                <w:szCs w:val="20"/>
                <w:color w:val="auto"/>
              </w:rPr>
            </w:pPr>
            <w:r>
              <w:rPr>
                <w:rFonts w:ascii="Arial" w:cs="Arial" w:eastAsia="Arial" w:hAnsi="Arial"/>
                <w:sz w:val="17"/>
                <w:szCs w:val="17"/>
                <w:color w:val="auto"/>
              </w:rPr>
              <w:t>14,733</w:t>
            </w:r>
          </w:p>
        </w:tc>
        <w:tc>
          <w:tcPr>
            <w:tcW w:w="580" w:type="dxa"/>
            <w:vAlign w:val="bottom"/>
          </w:tcPr>
          <w:p>
            <w:pPr>
              <w:spacing w:after="0"/>
              <w:rPr>
                <w:sz w:val="18"/>
                <w:szCs w:val="18"/>
                <w:color w:val="auto"/>
              </w:rPr>
            </w:pPr>
          </w:p>
        </w:tc>
        <w:tc>
          <w:tcPr>
            <w:tcW w:w="800" w:type="dxa"/>
            <w:vAlign w:val="bottom"/>
            <w:gridSpan w:val="2"/>
          </w:tcPr>
          <w:p>
            <w:pPr>
              <w:jc w:val="right"/>
              <w:ind w:right="82"/>
              <w:spacing w:after="0"/>
              <w:rPr>
                <w:sz w:val="20"/>
                <w:szCs w:val="20"/>
                <w:color w:val="auto"/>
              </w:rPr>
            </w:pPr>
            <w:r>
              <w:rPr>
                <w:rFonts w:ascii="Arial" w:cs="Arial" w:eastAsia="Arial" w:hAnsi="Arial"/>
                <w:sz w:val="17"/>
                <w:szCs w:val="17"/>
                <w:color w:val="auto"/>
              </w:rPr>
              <w:t>15,633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(900)</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(5.8)%</w:t>
            </w: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7,790</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7,294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496</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6.8%</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Change in fair value of contingent consideration</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(2,665)</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(2,090)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363.5%</w:t>
            </w:r>
          </w:p>
        </w:tc>
      </w:tr>
      <w:tr>
        <w:trPr>
          <w:trHeight w:val="222"/>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operating expenses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9,066</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9,875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02"/>
        </w:trPr>
        <w:tc>
          <w:tcPr>
            <w:tcW w:w="562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Total operating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318,274</w:t>
            </w:r>
          </w:p>
        </w:tc>
        <w:tc>
          <w:tcPr>
            <w:tcW w:w="2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271,685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46,589</w:t>
            </w:r>
          </w:p>
        </w:tc>
        <w:tc>
          <w:tcPr>
            <w:tcW w:w="14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17.1%</w:t>
            </w:r>
          </w:p>
        </w:tc>
      </w:tr>
      <w:tr>
        <w:trPr>
          <w:trHeight w:val="202"/>
        </w:trPr>
        <w:tc>
          <w:tcPr>
            <w:tcW w:w="5620" w:type="dxa"/>
            <w:vAlign w:val="bottom"/>
            <w:gridSpan w:val="2"/>
            <w:shd w:val="clear" w:color="auto" w:fill="CCEEFF"/>
          </w:tcPr>
          <w:p>
            <w:pPr>
              <w:ind w:left="640"/>
              <w:spacing w:after="0"/>
              <w:rPr>
                <w:sz w:val="20"/>
                <w:szCs w:val="20"/>
                <w:color w:val="auto"/>
              </w:rPr>
            </w:pPr>
            <w:r>
              <w:rPr>
                <w:rFonts w:ascii="Arial" w:cs="Arial" w:eastAsia="Arial" w:hAnsi="Arial"/>
                <w:sz w:val="17"/>
                <w:szCs w:val="17"/>
                <w:b w:val="1"/>
                <w:bCs w:val="1"/>
                <w:color w:val="auto"/>
              </w:rPr>
              <w:t>Income from operations</w:t>
            </w:r>
          </w:p>
        </w:tc>
        <w:tc>
          <w:tcPr>
            <w:tcW w:w="5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25,840</w:t>
            </w:r>
          </w:p>
        </w:tc>
        <w:tc>
          <w:tcPr>
            <w:tcW w:w="2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11,281</w:t>
            </w:r>
          </w:p>
        </w:tc>
        <w:tc>
          <w:tcPr>
            <w:tcW w:w="14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77.5%</w:t>
            </w:r>
          </w:p>
        </w:tc>
      </w:tr>
      <w:tr>
        <w:trPr>
          <w:trHeight w:val="202"/>
        </w:trPr>
        <w:tc>
          <w:tcPr>
            <w:tcW w:w="5620" w:type="dxa"/>
            <w:vAlign w:val="bottom"/>
            <w:gridSpan w:val="2"/>
          </w:tcPr>
          <w:p>
            <w:pPr>
              <w:spacing w:after="0"/>
              <w:rPr>
                <w:sz w:val="20"/>
                <w:szCs w:val="20"/>
                <w:color w:val="auto"/>
              </w:rPr>
            </w:pPr>
            <w:r>
              <w:rPr>
                <w:rFonts w:ascii="Arial" w:cs="Arial" w:eastAsia="Arial" w:hAnsi="Arial"/>
                <w:sz w:val="17"/>
                <w:szCs w:val="17"/>
                <w:b w:val="1"/>
                <w:bCs w:val="1"/>
                <w:color w:val="auto"/>
              </w:rPr>
              <w:t>OTHER INCOME (EXPENSES):</w:t>
            </w: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9"/>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and other income</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488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220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82.1%</w:t>
            </w:r>
          </w:p>
        </w:tc>
      </w:tr>
      <w:tr>
        <w:trPr>
          <w:trHeight w:val="209"/>
        </w:trPr>
        <w:tc>
          <w:tcPr>
            <w:tcW w:w="5620" w:type="dxa"/>
            <w:vAlign w:val="bottom"/>
            <w:gridSpan w:val="2"/>
          </w:tcPr>
          <w:p>
            <w:pPr>
              <w:ind w:left="160"/>
              <w:spacing w:after="0"/>
              <w:rPr>
                <w:sz w:val="20"/>
                <w:szCs w:val="20"/>
                <w:color w:val="auto"/>
              </w:rPr>
            </w:pPr>
            <w:r>
              <w:rPr>
                <w:rFonts w:ascii="Arial" w:cs="Arial" w:eastAsia="Arial" w:hAnsi="Arial"/>
                <w:sz w:val="17"/>
                <w:szCs w:val="17"/>
                <w:color w:val="auto"/>
              </w:rPr>
              <w:t>Interest and other expense</w:t>
            </w:r>
          </w:p>
        </w:tc>
        <w:tc>
          <w:tcPr>
            <w:tcW w:w="500" w:type="dxa"/>
            <w:vAlign w:val="bottom"/>
          </w:tcPr>
          <w:p>
            <w:pPr>
              <w:spacing w:after="0"/>
              <w:rPr>
                <w:sz w:val="18"/>
                <w:szCs w:val="18"/>
                <w:color w:val="auto"/>
              </w:rPr>
            </w:pPr>
          </w:p>
        </w:tc>
        <w:tc>
          <w:tcPr>
            <w:tcW w:w="940" w:type="dxa"/>
            <w:vAlign w:val="bottom"/>
            <w:gridSpan w:val="2"/>
          </w:tcPr>
          <w:p>
            <w:pPr>
              <w:jc w:val="right"/>
              <w:ind w:right="58"/>
              <w:spacing w:after="0"/>
              <w:rPr>
                <w:sz w:val="20"/>
                <w:szCs w:val="20"/>
                <w:color w:val="auto"/>
              </w:rPr>
            </w:pPr>
            <w:r>
              <w:rPr>
                <w:rFonts w:ascii="Arial" w:cs="Arial" w:eastAsia="Arial" w:hAnsi="Arial"/>
                <w:sz w:val="17"/>
                <w:szCs w:val="17"/>
                <w:color w:val="auto"/>
              </w:rPr>
              <w:t>(5,980)</w:t>
            </w:r>
          </w:p>
        </w:tc>
        <w:tc>
          <w:tcPr>
            <w:tcW w:w="580" w:type="dxa"/>
            <w:vAlign w:val="bottom"/>
          </w:tcPr>
          <w:p>
            <w:pPr>
              <w:spacing w:after="0"/>
              <w:rPr>
                <w:sz w:val="18"/>
                <w:szCs w:val="18"/>
                <w:color w:val="auto"/>
              </w:rPr>
            </w:pPr>
          </w:p>
        </w:tc>
        <w:tc>
          <w:tcPr>
            <w:tcW w:w="800" w:type="dxa"/>
            <w:vAlign w:val="bottom"/>
            <w:gridSpan w:val="2"/>
          </w:tcPr>
          <w:p>
            <w:pPr>
              <w:jc w:val="right"/>
              <w:ind w:right="42"/>
              <w:spacing w:after="0"/>
              <w:rPr>
                <w:sz w:val="20"/>
                <w:szCs w:val="20"/>
                <w:color w:val="auto"/>
              </w:rPr>
            </w:pPr>
            <w:r>
              <w:rPr>
                <w:rFonts w:ascii="Arial" w:cs="Arial" w:eastAsia="Arial" w:hAnsi="Arial"/>
                <w:sz w:val="17"/>
                <w:szCs w:val="17"/>
                <w:color w:val="auto"/>
              </w:rPr>
              <w:t>(5,490)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(490)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8.9%</w:t>
            </w:r>
          </w:p>
        </w:tc>
      </w:tr>
      <w:tr>
        <w:trPr>
          <w:trHeight w:val="222"/>
        </w:trPr>
        <w:tc>
          <w:tcPr>
            <w:tcW w:w="5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Equity in loss of unconsolidated entities</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(162)</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2"/>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131.4%</w:t>
            </w:r>
          </w:p>
        </w:tc>
      </w:tr>
      <w:tr>
        <w:trPr>
          <w:trHeight w:val="202"/>
        </w:trPr>
        <w:tc>
          <w:tcPr>
            <w:tcW w:w="5620" w:type="dxa"/>
            <w:vAlign w:val="bottom"/>
            <w:tcBorders>
              <w:bottom w:val="single" w:sz="8" w:color="CCEEFF"/>
            </w:tcBorders>
            <w:gridSpan w:val="2"/>
          </w:tcPr>
          <w:p>
            <w:pPr>
              <w:ind w:left="640"/>
              <w:spacing w:after="0"/>
              <w:rPr>
                <w:sz w:val="20"/>
                <w:szCs w:val="20"/>
                <w:color w:val="auto"/>
              </w:rPr>
            </w:pPr>
            <w:r>
              <w:rPr>
                <w:rFonts w:ascii="Arial" w:cs="Arial" w:eastAsia="Arial" w:hAnsi="Arial"/>
                <w:sz w:val="17"/>
                <w:szCs w:val="17"/>
                <w:color w:val="auto"/>
              </w:rPr>
              <w:t>Total other expenses</w:t>
            </w:r>
          </w:p>
        </w:tc>
        <w:tc>
          <w:tcPr>
            <w:tcW w:w="5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200" w:type="dxa"/>
            <w:vAlign w:val="bottom"/>
            <w:tcBorders>
              <w:bottom w:val="single" w:sz="8" w:color="CCEEFF"/>
            </w:tcBorders>
          </w:tcPr>
          <w:p>
            <w:pPr>
              <w:jc w:val="right"/>
              <w:ind w:right="58"/>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w:t>
            </w:r>
          </w:p>
        </w:tc>
        <w:tc>
          <w:tcPr>
            <w:tcW w:w="120" w:type="dxa"/>
            <w:vAlign w:val="bottom"/>
            <w:tcBorders>
              <w:bottom w:val="single" w:sz="8" w:color="CCEEFF"/>
            </w:tcBorders>
          </w:tcPr>
          <w:p>
            <w:pPr>
              <w:jc w:val="right"/>
              <w:ind w:right="42"/>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5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6.8%</w:t>
            </w:r>
          </w:p>
        </w:tc>
      </w:tr>
      <w:tr>
        <w:trPr>
          <w:trHeight w:val="21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18"/>
              <w:spacing w:after="0"/>
              <w:rPr>
                <w:sz w:val="20"/>
                <w:szCs w:val="20"/>
                <w:color w:val="auto"/>
              </w:rPr>
            </w:pPr>
            <w:r>
              <w:rPr>
                <w:rFonts w:ascii="Arial" w:cs="Arial" w:eastAsia="Arial" w:hAnsi="Arial"/>
                <w:sz w:val="17"/>
                <w:szCs w:val="17"/>
                <w:color w:val="auto"/>
              </w:rPr>
              <w:t>20,186</w:t>
            </w: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82"/>
              <w:spacing w:after="0"/>
              <w:rPr>
                <w:sz w:val="20"/>
                <w:szCs w:val="20"/>
                <w:color w:val="auto"/>
              </w:rPr>
            </w:pPr>
            <w:r>
              <w:rPr>
                <w:rFonts w:ascii="Arial" w:cs="Arial" w:eastAsia="Arial" w:hAnsi="Arial"/>
                <w:sz w:val="17"/>
                <w:szCs w:val="17"/>
                <w:color w:val="auto"/>
              </w:rPr>
              <w:t>9,267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10,919</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117.8%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our segment income statement data and selected performance measures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2"/>
              </w:rPr>
              <w:t>Year Ended December 31,</w:t>
            </w: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104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b w:val="1"/>
                <w:bCs w:val="1"/>
                <w:color w:val="auto"/>
              </w:rPr>
              <w:t>2015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b w:val="1"/>
                <w:bCs w:val="1"/>
                <w:color w:val="auto"/>
              </w:rPr>
              <w:t>$/# Change</w:t>
            </w:r>
          </w:p>
        </w:tc>
        <w:tc>
          <w:tcPr>
            <w:tcW w:w="15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70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i w:val="1"/>
                <w:iCs w:val="1"/>
                <w:color w:val="auto"/>
              </w:rPr>
              <w:t>(in thousands of dollars, except transaction volume and percentages)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Consumer Payments: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322,666</w:t>
            </w:r>
          </w:p>
        </w:tc>
        <w:tc>
          <w:tcPr>
            <w:tcW w:w="52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270,610</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52,056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23,188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13,790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9,398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operating margin</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w:t>
            </w:r>
          </w:p>
        </w:tc>
        <w:tc>
          <w:tcPr>
            <w:tcW w:w="5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Key Indicators: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Merchant Bankcard processing dollar value(1)</w:t>
            </w:r>
          </w:p>
        </w:tc>
        <w:tc>
          <w:tcPr>
            <w:tcW w:w="400" w:type="dxa"/>
            <w:vAlign w:val="bottom"/>
          </w:tcPr>
          <w:p>
            <w:pPr>
              <w:spacing w:after="0"/>
              <w:rPr>
                <w:sz w:val="18"/>
                <w:szCs w:val="18"/>
                <w:color w:val="auto"/>
              </w:rPr>
            </w:pPr>
          </w:p>
        </w:tc>
        <w:tc>
          <w:tcPr>
            <w:tcW w:w="1040" w:type="dxa"/>
            <w:vAlign w:val="bottom"/>
          </w:tcPr>
          <w:p>
            <w:pPr>
              <w:jc w:val="right"/>
              <w:ind w:right="113"/>
              <w:spacing w:after="0"/>
              <w:rPr>
                <w:sz w:val="20"/>
                <w:szCs w:val="20"/>
                <w:color w:val="auto"/>
              </w:rPr>
            </w:pPr>
            <w:r>
              <w:rPr>
                <w:rFonts w:ascii="Arial" w:cs="Arial" w:eastAsia="Arial" w:hAnsi="Arial"/>
                <w:sz w:val="17"/>
                <w:szCs w:val="17"/>
                <w:color w:val="auto"/>
                <w:w w:val="96"/>
              </w:rPr>
              <w:t>30,335,776</w:t>
            </w:r>
          </w:p>
        </w:tc>
        <w:tc>
          <w:tcPr>
            <w:tcW w:w="5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w w:val="91"/>
              </w:rPr>
              <w:t>27,109,700</w:t>
            </w:r>
          </w:p>
        </w:tc>
        <w:tc>
          <w:tcPr>
            <w:tcW w:w="360" w:type="dxa"/>
            <w:vAlign w:val="bottom"/>
          </w:tcPr>
          <w:p>
            <w:pPr>
              <w:spacing w:after="0"/>
              <w:rPr>
                <w:sz w:val="18"/>
                <w:szCs w:val="18"/>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3,226,076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Merchant bankcard transaction volume(1)</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398,498</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357,049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41,449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Commercial Payments and Managed Services: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Segment revenue</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13"/>
              <w:spacing w:after="0"/>
              <w:rPr>
                <w:sz w:val="20"/>
                <w:szCs w:val="20"/>
                <w:color w:val="auto"/>
              </w:rPr>
            </w:pPr>
            <w:r>
              <w:rPr>
                <w:rFonts w:ascii="Arial" w:cs="Arial" w:eastAsia="Arial" w:hAnsi="Arial"/>
                <w:sz w:val="17"/>
                <w:szCs w:val="17"/>
                <w:color w:val="auto"/>
              </w:rPr>
              <w:t>21,448</w:t>
            </w:r>
          </w:p>
        </w:tc>
        <w:tc>
          <w:tcPr>
            <w:tcW w:w="520" w:type="dxa"/>
            <w:vAlign w:val="bottom"/>
          </w:tcPr>
          <w:p>
            <w:pPr>
              <w:ind w:lef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15,634</w:t>
            </w:r>
          </w:p>
        </w:tc>
        <w:tc>
          <w:tcPr>
            <w:tcW w:w="360" w:type="dxa"/>
            <w:vAlign w:val="bottom"/>
          </w:tcPr>
          <w:p>
            <w:pPr>
              <w:ind w:left="6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5,814</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Segment operating income</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2,652</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769</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244.9%</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Bankcard processing dollar values and transaction volumes presented in this table exclude data attributable to our Commercial Payments and Managed Services segment, related mainly to the CPX business.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99" w:name="page100"/>
    <w:bookmarkEnd w:id="99"/>
    <w:p>
      <w:pPr>
        <w:ind w:left="320"/>
        <w:spacing w:after="0"/>
        <w:rPr>
          <w:sz w:val="20"/>
          <w:szCs w:val="20"/>
          <w:color w:val="auto"/>
        </w:rPr>
      </w:pPr>
      <w:r>
        <w:rPr>
          <w:rFonts w:ascii="Arial" w:cs="Arial" w:eastAsia="Arial" w:hAnsi="Arial"/>
          <w:sz w:val="17"/>
          <w:szCs w:val="17"/>
          <w:i w:val="1"/>
          <w:iCs w:val="1"/>
          <w:color w:val="auto"/>
        </w:rPr>
        <w:t>Revenue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$57.9 million, or 20.2%, from $286.2 million in 2015 to $344.1 million in 2016. This increase was driven primarily by a $52.1 million, or</w:t>
      </w:r>
    </w:p>
    <w:p>
      <w:pPr>
        <w:spacing w:after="0" w:line="3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19.2%, increase in revenue from our Consumer Payments segment and a $5.8 million, or 37.2%, increase in revenue from our Commercial Payments and Managed Services segment.</w:t>
      </w:r>
    </w:p>
    <w:p>
      <w:pPr>
        <w:spacing w:after="0" w:line="17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increase in Consumer Payments revenue was attributable primarily to an 11.9% increase in bankcard merchant processing dollar value and an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54"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increase in Commercial Payments and Managed Services revenue was attributable primarily to an increase in headcount in our in-house sales force dedicated to selling merchant financing products on behalf of our financial institution partners.</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Operating expenses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Income from operations</w:t>
      </w:r>
    </w:p>
    <w:p>
      <w:pPr>
        <w:spacing w:after="0" w:line="2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Other income (expense)</w:t>
      </w:r>
    </w:p>
    <w:p>
      <w:pPr>
        <w:spacing w:after="0" w:line="223"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Other expenses increased $0.4 million, or 6.8%, from $5.3 million in 2015 to $5.7 million in 2016, mainly due to an increase in interest expense that was partially offset by an increase in interest income.</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Net income increased $10.9 million, or 117.8%, from $9.3 million in 2015 to $20.2 million in 2016, for the reasons described above.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7"/>
          <w:szCs w:val="17"/>
          <w:color w:val="auto"/>
        </w:rPr>
        <w:t>Our principal uses of cash are to pay commissions to our distribution partners and internal sales staff, merchant portfolio, other asset and business acquisitions and distribution partner advances, operating expenses, interest expense and investments in technology infrastructure.</w:t>
      </w:r>
    </w:p>
    <w:p>
      <w:pPr>
        <w:spacing w:after="0" w:line="15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Our working capital, defined as current assets less current liabilities, was $24.0 million at September 30, 2018 and $39.5 million at December 31, 2017. As of September 30, 2018, we had cash totaling $17.2 million compared to $28.0 million at December 31, 2017. These balances do not include restricted cash, which reflects cash accounts holding reserves for potential losses and customer settlement funds, of $18.3 million at September 30, 2018 and $16.2 million at December 31,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580" w:type="dxa"/>
            <w:vAlign w:val="bottom"/>
            <w:gridSpan w:val="2"/>
          </w:tcPr>
          <w:p>
            <w:pPr>
              <w:spacing w:after="0"/>
              <w:rPr>
                <w:sz w:val="20"/>
                <w:szCs w:val="20"/>
                <w:color w:val="auto"/>
              </w:rPr>
            </w:pPr>
            <w:r>
              <w:rPr>
                <w:rFonts w:ascii="Arial" w:cs="Arial" w:eastAsia="Arial" w:hAnsi="Arial"/>
                <w:sz w:val="17"/>
                <w:szCs w:val="17"/>
                <w:color w:val="auto"/>
                <w:w w:val="98"/>
              </w:rPr>
              <w:t>The following tables and narrative reflect our changes in cash flows for the comparative interim and annual periods.</w:t>
            </w: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580" w:type="dxa"/>
            <w:vAlign w:val="bottom"/>
            <w:gridSpan w:val="2"/>
          </w:tcPr>
          <w:p>
            <w:pPr>
              <w:spacing w:after="0"/>
              <w:rPr>
                <w:sz w:val="20"/>
                <w:szCs w:val="20"/>
                <w:color w:val="auto"/>
              </w:rPr>
            </w:pPr>
            <w:r>
              <w:rPr>
                <w:rFonts w:ascii="Arial" w:cs="Arial" w:eastAsia="Arial" w:hAnsi="Arial"/>
                <w:sz w:val="17"/>
                <w:szCs w:val="17"/>
                <w:i w:val="1"/>
                <w:iCs w:val="1"/>
                <w:color w:val="auto"/>
              </w:rPr>
              <w:t>Nine Months Ended September 30, 2018 Compared to Nine Months Ended September 30, 2017</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2018</w:t>
            </w:r>
          </w:p>
        </w:tc>
        <w:tc>
          <w:tcPr>
            <w:tcW w:w="7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2017</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740" w:type="dxa"/>
            <w:vAlign w:val="bottom"/>
            <w:gridSpan w:val="5"/>
          </w:tcPr>
          <w:p>
            <w:pPr>
              <w:spacing w:after="0"/>
              <w:rPr>
                <w:sz w:val="20"/>
                <w:szCs w:val="20"/>
                <w:color w:val="auto"/>
              </w:rPr>
            </w:pPr>
            <w:r>
              <w:rPr>
                <w:rFonts w:ascii="Arial" w:cs="Arial" w:eastAsia="Arial" w:hAnsi="Arial"/>
                <w:sz w:val="17"/>
                <w:szCs w:val="17"/>
                <w:b w:val="1"/>
                <w:bCs w:val="1"/>
                <w:color w:val="auto"/>
              </w:rPr>
              <w:t>(dollar amounts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8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7"/>
                <w:szCs w:val="17"/>
                <w:color w:val="auto"/>
              </w:rPr>
              <w:t>Operating activities</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38"/>
              <w:spacing w:after="0"/>
              <w:rPr>
                <w:sz w:val="20"/>
                <w:szCs w:val="20"/>
                <w:color w:val="auto"/>
              </w:rPr>
            </w:pPr>
            <w:r>
              <w:rPr>
                <w:rFonts w:ascii="Arial" w:cs="Arial" w:eastAsia="Arial" w:hAnsi="Arial"/>
                <w:sz w:val="17"/>
                <w:szCs w:val="17"/>
                <w:color w:val="auto"/>
              </w:rPr>
              <w:t>24,836</w:t>
            </w:r>
          </w:p>
        </w:tc>
        <w:tc>
          <w:tcPr>
            <w:tcW w:w="5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8"/>
              <w:spacing w:after="0"/>
              <w:rPr>
                <w:sz w:val="20"/>
                <w:szCs w:val="20"/>
                <w:color w:val="auto"/>
              </w:rPr>
            </w:pPr>
            <w:r>
              <w:rPr>
                <w:rFonts w:ascii="Arial" w:cs="Arial" w:eastAsia="Arial" w:hAnsi="Arial"/>
                <w:sz w:val="17"/>
                <w:szCs w:val="17"/>
                <w:color w:val="auto"/>
              </w:rPr>
              <w:t>28,979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Investing activities</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(42,345)</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Arial" w:cs="Arial" w:eastAsia="Arial" w:hAnsi="Arial"/>
                <w:sz w:val="17"/>
                <w:szCs w:val="17"/>
                <w:color w:val="auto"/>
              </w:rPr>
              <w:t>Financing activities</w:t>
            </w:r>
          </w:p>
        </w:tc>
        <w:tc>
          <w:tcPr>
            <w:tcW w:w="540" w:type="dxa"/>
            <w:vAlign w:val="bottom"/>
          </w:tcPr>
          <w:p>
            <w:pPr>
              <w:spacing w:after="0"/>
              <w:rPr>
                <w:sz w:val="19"/>
                <w:szCs w:val="19"/>
                <w:color w:val="auto"/>
              </w:rPr>
            </w:pPr>
          </w:p>
        </w:tc>
        <w:tc>
          <w:tcPr>
            <w:tcW w:w="960" w:type="dxa"/>
            <w:vAlign w:val="bottom"/>
            <w:gridSpan w:val="2"/>
          </w:tcPr>
          <w:p>
            <w:pPr>
              <w:jc w:val="right"/>
              <w:ind w:right="138"/>
              <w:spacing w:after="0"/>
              <w:rPr>
                <w:sz w:val="20"/>
                <w:szCs w:val="20"/>
                <w:color w:val="auto"/>
              </w:rPr>
            </w:pPr>
            <w:r>
              <w:rPr>
                <w:rFonts w:ascii="Arial" w:cs="Arial" w:eastAsia="Arial" w:hAnsi="Arial"/>
                <w:sz w:val="17"/>
                <w:szCs w:val="17"/>
                <w:color w:val="auto"/>
              </w:rPr>
              <w:t>8,827</w:t>
            </w:r>
          </w:p>
        </w:tc>
        <w:tc>
          <w:tcPr>
            <w:tcW w:w="5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decrease in cash and restricted cash</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(8,682</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cash provided by operating activities was $24.8 million and $29.0 million for the nine months ended September 30, 2018 and 2017, respectively. The $4.1 million, or 14.3%, decrease was principally the result of our swing to a net loss, reflecting a $14.1 million change in net (loss) income, partially offset by changes in operating working capital. Changes in operating working capital increased by $7.4 million for the nine months ended September 30, 2018 compared to the same period in 2017, mainly reflecting decreases in accounts receivable and notes receivable compared to the corresponding prior year period, partially offset by a substantially lower increase in accounts payable compared to the corresponding prior year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23"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Net cash used in investing activities was $42.3 million and $7.4 million for the nine months ended September 30, 2018 and 2017, respectively. Cash flow used in investing activities includes the acquisitions of merchant portfolios, purchases of property, equipment and software and current period acquisitions. For the nine months ended September 30, 2018, we invested $26.4 million in merchant portfolio acquisitions, a $23.9 million increase from the nine months ended September 30, 2017. We used $7.5 million for business acquisitions in the nine months ended September 30, 2018, compared to zero in the corresponding prior year period. Cash used for purchases of property, plant and equipment for the nine months ended September 30, 2018 was $8.4 million, an increase of $3.5 million from the nine months ended September 30, 2017. The increase in purchases was driven primarily by equipment purchases for MX Connect and CPX, capitalization of internally developed software and improvements to the legal and CPX office space.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Net cash from financing activities was $8.8 million in the nine months ended September 30, 2018 compared to net cash used in financing activities of $24.9 million in the corresponding prior year period. Cash flow from financing activities for the nine months ended September 30, 2018 reflected primarily proceeds from the January 2018 debt upsizing and proceeds from the Recapitalization, offset in part by cash used in equity redemptions, the redemption of the Goldman Sachs warrant, and distributions to members prior to July 25, 2018. Cash flows used in financing activities for the nine months ended September 30, 2017 reflected primarily equity redemptions partially offset by a net increase in long term debt.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Year Ended December 31, 2017 Compared to Year Ended December 31, 2016 and Year Ended December 31, 2015</w:t>
      </w:r>
    </w:p>
    <w:p>
      <w:pPr>
        <w:sectPr>
          <w:pgSz w:w="11900" w:h="16838" w:orient="portrait"/>
          <w:cols w:equalWidth="0" w:num="1">
            <w:col w:w="11420"/>
          </w:cols>
          <w:pgMar w:left="240" w:top="7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Operating activities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Investing activities</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Financing activities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Net increase in cash and restricted cash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22510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 w:leader="none" w:pos="2520" w:val="left"/>
        </w:tabs>
        <w:rPr>
          <w:sz w:val="20"/>
          <w:szCs w:val="20"/>
          <w:color w:val="auto"/>
        </w:rPr>
      </w:pPr>
      <w:r>
        <w:rPr>
          <w:rFonts w:ascii="Arial" w:cs="Arial" w:eastAsia="Arial" w:hAnsi="Arial"/>
          <w:sz w:val="17"/>
          <w:szCs w:val="17"/>
          <w:b w:val="1"/>
          <w:bCs w:val="1"/>
          <w:color w:val="auto"/>
        </w:rPr>
        <w:t>2017</w:t>
      </w:r>
      <w:r>
        <w:rPr>
          <w:sz w:val="20"/>
          <w:szCs w:val="20"/>
          <w:color w:val="auto"/>
        </w:rPr>
        <w:tab/>
      </w:r>
      <w:r>
        <w:rPr>
          <w:rFonts w:ascii="Arial" w:cs="Arial" w:eastAsia="Arial" w:hAnsi="Arial"/>
          <w:sz w:val="17"/>
          <w:szCs w:val="17"/>
          <w:b w:val="1"/>
          <w:bCs w:val="1"/>
          <w:color w:val="auto"/>
        </w:rPr>
        <w:t>2016</w:t>
      </w:r>
      <w:r>
        <w:rPr>
          <w:sz w:val="20"/>
          <w:szCs w:val="20"/>
          <w:color w:val="auto"/>
        </w:rPr>
        <w:tab/>
      </w:r>
      <w:r>
        <w:rPr>
          <w:rFonts w:ascii="Arial" w:cs="Arial" w:eastAsia="Arial" w:hAnsi="Arial"/>
          <w:sz w:val="15"/>
          <w:szCs w:val="15"/>
          <w:b w:val="1"/>
          <w:bCs w:val="1"/>
          <w:color w:val="auto"/>
        </w:rPr>
        <w:t>2015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(dollar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149860</wp:posOffset>
            </wp:positionV>
            <wp:extent cx="7251065" cy="132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-123190</wp:posOffset>
            </wp:positionV>
            <wp:extent cx="225107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107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36,869</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22,275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25,308</w:t>
            </w:r>
          </w:p>
        </w:tc>
        <w:tc>
          <w:tcPr>
            <w:tcW w:w="60" w:type="dxa"/>
            <w:vAlign w:val="bottom"/>
          </w:tcPr>
          <w:p>
            <w:pPr>
              <w:spacing w:after="0"/>
              <w:rPr>
                <w:sz w:val="18"/>
                <w:szCs w:val="18"/>
                <w:color w:val="auto"/>
              </w:rPr>
            </w:pPr>
          </w:p>
        </w:tc>
      </w:tr>
      <w:tr>
        <w:trPr>
          <w:trHeight w:val="209"/>
        </w:trPr>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(9,037)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(6,362)</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(31,888)</w:t>
            </w:r>
          </w:p>
        </w:tc>
      </w:tr>
      <w:tr>
        <w:trPr>
          <w:trHeight w:val="235"/>
        </w:trPr>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(25,375)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(10,548)</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18,714</w:t>
            </w:r>
          </w:p>
        </w:tc>
        <w:tc>
          <w:tcPr>
            <w:tcW w:w="60" w:type="dxa"/>
            <w:vAlign w:val="bottom"/>
          </w:tcPr>
          <w:p>
            <w:pPr>
              <w:spacing w:after="0"/>
              <w:rPr>
                <w:sz w:val="20"/>
                <w:szCs w:val="20"/>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2,457</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5,365</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12,134</w:t>
            </w:r>
          </w:p>
        </w:tc>
        <w:tc>
          <w:tcPr>
            <w:tcW w:w="60" w:type="dxa"/>
            <w:vAlign w:val="bottom"/>
          </w:tcPr>
          <w:p>
            <w:pPr>
              <w:spacing w:after="0"/>
              <w:rPr>
                <w:sz w:val="18"/>
                <w:szCs w:val="18"/>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-447675</wp:posOffset>
            </wp:positionV>
            <wp:extent cx="7251065" cy="132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-173990</wp:posOffset>
            </wp:positionV>
            <wp:extent cx="7251065" cy="158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1065"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81"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Operating Activities</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Investing Activities</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Debt</w:t>
      </w:r>
    </w:p>
    <w:p>
      <w:pPr>
        <w:spacing w:after="0" w:line="22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As of September 30, 2018, we had outstanding long-term debt of $352.2 million (compared to $283.1 million at December 31, 2017), an increase of $69.1 million, consisting of outstanding debt of $263.5 million under the Senior Secured Credit Facility (including $2.7 million in current portion of long-term debt) and $88.7 million under the Subordinated Term Loan (including accrued payment-in-kind (“PIK”) interest through September 30, 2018). We have a $25.0 million revolving credit facility with SunTrust Bank, which was undrawn as of September 30, 2018 and December 31, 2017. We drew $8.0 million on our revolving credit facility in October 2018 to partially finance a merchant portfolio acquisition.</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On December 24, 2018, the Senior Secured Credit Facility was amended to immediately increase the amount of the term loan by $60.0 million and to allow us to borrow an additional $70.0 million on a delayed basis. Until the additional $70.0 million is drawn, we will pay a fee on the undrawn amounts at a rate of 2.50% per annum from the 31st day after the date of the amendment to the 60th day and 5.00% per annum thereafter for so long as the amounts remain committed and undrawn. Once drawn, we will no longer owe such fees. In addition, we will be required to pay a fee at a rate of 0.50% of any of the additional $70.0 million that we draw. On December 24, 2018, we also amended the Subordinated Term Loan to permit the additional $130.0 million of borrowings under the Senior Secured Credit Facility.</w:t>
      </w:r>
    </w:p>
    <w:p>
      <w:pPr>
        <w:spacing w:after="0" w:line="180" w:lineRule="exact"/>
        <w:rPr>
          <w:sz w:val="20"/>
          <w:szCs w:val="20"/>
          <w:color w:val="auto"/>
        </w:rPr>
      </w:pPr>
    </w:p>
    <w:p>
      <w:pPr>
        <w:ind w:right="260"/>
        <w:spacing w:after="0" w:line="288" w:lineRule="auto"/>
        <w:rPr>
          <w:sz w:val="20"/>
          <w:szCs w:val="20"/>
          <w:color w:val="auto"/>
        </w:rPr>
      </w:pPr>
      <w:r>
        <w:rPr>
          <w:rFonts w:ascii="Arial" w:cs="Arial" w:eastAsia="Arial" w:hAnsi="Arial"/>
          <w:sz w:val="17"/>
          <w:szCs w:val="17"/>
          <w:color w:val="auto"/>
        </w:rPr>
        <w:t>The initial $60.0 million was used on December 24, 2018 to fund the acquisition of merchant portfolio assets from Direct Connect Merchant Services, LLC and Blue Parasol Group, LLC. We intend to use the additional $70.0 million to acquire additional merchant portfolio assets.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type w:val="continuous"/>
        </w:sectPr>
      </w:pPr>
    </w:p>
    <w:bookmarkStart w:id="102" w:name="page103"/>
    <w:bookmarkEnd w:id="102"/>
    <w:p>
      <w:pPr>
        <w:spacing w:after="0" w:line="297" w:lineRule="auto"/>
        <w:rPr>
          <w:sz w:val="20"/>
          <w:szCs w:val="20"/>
          <w:color w:val="auto"/>
        </w:rPr>
      </w:pPr>
      <w:r>
        <w:rPr>
          <w:rFonts w:ascii="Arial" w:cs="Arial" w:eastAsia="Arial" w:hAnsi="Arial"/>
          <w:sz w:val="15"/>
          <w:szCs w:val="15"/>
          <w:color w:val="auto"/>
        </w:rPr>
        <w:t>Outstanding borrowings under the Senior Secured Credit Facility bear interest at the London Interbank Offered Rate (LIBOR) with a floor of 1.0%, plus an applicable margin. The margin stood at 5.0% as of September 30, 2018, which was a reduction from 6% as of December 31, 2017, due to amendments made in connection with the January 2018 debt upsizing. The Senior Secured Credit Facility is secured by a pledge of substantially all of our assets, all of the capital stock of our subsidiaries, and 65% of our outstanding voting equity interests and all of our outstanding non-voting equity interests in the Company. The Subordinated Term Loan provides for cash and PIK interest components. Cash interest is payable at an annual rate of 5.0% while PIK interest resets on a quarterly basis based on our Total Net Leverage Ratio, as defined in the credit agreement relating to the Subordinated Term Loan, with a floor of 5.0%. The Subordinated Term Loan is secured by a subordinate pledge of substantially all of our assets. As of September 30, 2018, the outstanding amount on the Subordinated Term Loan totaled $88.7 million, a $3.6 million increase from December 31, 2017 attributable to the accrual of PIK interest. The outstanding principal amounts under the Senior Secured Credit Facility and the Subordinated Term Loan mature in January 2023 and July 2023, respectively. The $25 million revolving credit facility expires in January 2022. The PIK interest payable on the Subordinated Term Loan decreased from 6.25% as of December 31, 2017 to 5.5% in January 2018 (which remained the applicable PIK rate as of September 30, 2018) due to our improved Total Net Leverage Ratio, as defined in the credit agreement.</w:t>
      </w:r>
    </w:p>
    <w:p>
      <w:pPr>
        <w:spacing w:after="0" w:line="163"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The Senior Secured Credit Facility and the Subordinated Term Loan contain representations and warranties, financial and collateral requirements, mandatory payment events, and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8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As of September 30, 2018, financial covenants under the Senior Secured Credit Facility required the Total Net Leverage Ratio, as defined in the agreement, not to exceed 6.25:1.00 and a First Lien Net Leverage Ratio, as defined in the agreement, not to exceed 4.25:1.00. The Net Leverage Ratios are determined using the outstanding debt balance and Earnout Adjusted EBITDA, as defined above. For a reconciliation of Earnout Adjusted EBITDA to net income, see above under “— Certain Non-GAAP Measures.” We are required to make quarterly principal payments under the Senior Secured Credit Facility as well as additional mandatory prepayments based on Excess Cash Flow, as determined and defined in the credit agreement. The Subordinated Term Loan contains financial covenants similar to the Senior Secured Credit Facility. As of September 30, 2018, we were in compliance with our financial covenants.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contractual obligations and commitments for the periods indicated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w w:val="94"/>
              </w:rPr>
              <w:t>Payments Due by Period (in thousands)</w:t>
            </w: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3"/>
          </w:tcPr>
          <w:p>
            <w:pPr>
              <w:spacing w:after="0" w:line="185" w:lineRule="exact"/>
              <w:rPr>
                <w:sz w:val="20"/>
                <w:szCs w:val="20"/>
                <w:color w:val="auto"/>
              </w:rPr>
            </w:pPr>
            <w:r>
              <w:rPr>
                <w:rFonts w:ascii="Arial" w:cs="Arial" w:eastAsia="Arial" w:hAnsi="Arial"/>
                <w:sz w:val="17"/>
                <w:szCs w:val="17"/>
                <w:b w:val="1"/>
                <w:bCs w:val="1"/>
                <w:color w:val="auto"/>
              </w:rPr>
              <w:t>Less than</w:t>
            </w: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spacing w:after="0" w:line="185" w:lineRule="exact"/>
              <w:rPr>
                <w:sz w:val="20"/>
                <w:szCs w:val="20"/>
                <w:color w:val="auto"/>
              </w:rPr>
            </w:pPr>
            <w:r>
              <w:rPr>
                <w:rFonts w:ascii="Arial" w:cs="Arial" w:eastAsia="Arial" w:hAnsi="Arial"/>
                <w:sz w:val="17"/>
                <w:szCs w:val="17"/>
                <w:b w:val="1"/>
                <w:bCs w:val="1"/>
                <w:color w:val="auto"/>
              </w:rPr>
              <w:t>More than</w:t>
            </w:r>
          </w:p>
        </w:tc>
        <w:tc>
          <w:tcPr>
            <w:tcW w:w="100" w:type="dxa"/>
            <w:vAlign w:val="bottom"/>
          </w:tcPr>
          <w:p>
            <w:pPr>
              <w:spacing w:after="0"/>
              <w:rPr>
                <w:sz w:val="16"/>
                <w:szCs w:val="16"/>
                <w:color w:val="auto"/>
              </w:rPr>
            </w:pPr>
          </w:p>
        </w:tc>
      </w:tr>
      <w:tr>
        <w:trPr>
          <w:trHeight w:val="228"/>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Contractual Obligations</w:t>
            </w:r>
          </w:p>
        </w:tc>
        <w:tc>
          <w:tcPr>
            <w:tcW w:w="420" w:type="dxa"/>
            <w:vAlign w:val="bottom"/>
          </w:tcPr>
          <w:p>
            <w:pPr>
              <w:spacing w:after="0"/>
              <w:rPr>
                <w:sz w:val="20"/>
                <w:szCs w:val="20"/>
                <w:color w:val="auto"/>
              </w:rPr>
            </w:pPr>
            <w:r>
              <w:rPr>
                <w:rFonts w:ascii="Arial" w:cs="Arial" w:eastAsia="Arial" w:hAnsi="Arial"/>
                <w:sz w:val="17"/>
                <w:szCs w:val="17"/>
                <w:b w:val="1"/>
                <w:bCs w:val="1"/>
                <w:color w:val="auto"/>
                <w:w w:val="98"/>
              </w:rPr>
              <w:t>Total</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7"/>
                <w:szCs w:val="17"/>
                <w:b w:val="1"/>
                <w:bCs w:val="1"/>
                <w:color w:val="auto"/>
                <w:w w:val="93"/>
              </w:rPr>
              <w:t>1 year</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1 to 3 years</w:t>
            </w:r>
          </w:p>
        </w:tc>
        <w:tc>
          <w:tcPr>
            <w:tcW w:w="1220" w:type="dxa"/>
            <w:vAlign w:val="bottom"/>
            <w:gridSpan w:val="3"/>
          </w:tcPr>
          <w:p>
            <w:pPr>
              <w:spacing w:after="0"/>
              <w:rPr>
                <w:sz w:val="20"/>
                <w:szCs w:val="20"/>
                <w:color w:val="auto"/>
              </w:rPr>
            </w:pPr>
            <w:r>
              <w:rPr>
                <w:rFonts w:ascii="Arial" w:cs="Arial" w:eastAsia="Arial" w:hAnsi="Arial"/>
                <w:sz w:val="17"/>
                <w:szCs w:val="17"/>
                <w:b w:val="1"/>
                <w:bCs w:val="1"/>
                <w:color w:val="auto"/>
              </w:rPr>
              <w:t>3 to 5 Years</w:t>
            </w:r>
          </w:p>
        </w:tc>
        <w:tc>
          <w:tcPr>
            <w:tcW w:w="1100" w:type="dxa"/>
            <w:vAlign w:val="bottom"/>
            <w:gridSpan w:val="3"/>
          </w:tcPr>
          <w:p>
            <w:pPr>
              <w:spacing w:after="0"/>
              <w:rPr>
                <w:sz w:val="20"/>
                <w:szCs w:val="20"/>
                <w:color w:val="auto"/>
              </w:rPr>
            </w:pPr>
            <w:r>
              <w:rPr>
                <w:rFonts w:ascii="Arial" w:cs="Arial" w:eastAsia="Arial" w:hAnsi="Arial"/>
                <w:sz w:val="17"/>
                <w:szCs w:val="17"/>
                <w:b w:val="1"/>
                <w:bCs w:val="1"/>
                <w:color w:val="auto"/>
              </w:rPr>
              <w:t>5 years</w:t>
            </w:r>
          </w:p>
        </w:tc>
      </w:tr>
      <w:tr>
        <w:trPr>
          <w:trHeight w:val="203"/>
        </w:trPr>
        <w:tc>
          <w:tcPr>
            <w:tcW w:w="5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i w:val="1"/>
                <w:iCs w:val="1"/>
                <w:color w:val="auto"/>
              </w:rPr>
              <w:t>(dollars in thousands)</w:t>
            </w:r>
          </w:p>
        </w:tc>
        <w:tc>
          <w:tcPr>
            <w:tcW w:w="5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Facility and other leases(a)</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10,027</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1,476</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1,898</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1,784</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4,869</w:t>
            </w:r>
          </w:p>
        </w:tc>
      </w:tr>
      <w:tr>
        <w:trPr>
          <w:trHeight w:val="209"/>
        </w:trPr>
        <w:tc>
          <w:tcPr>
            <w:tcW w:w="5260" w:type="dxa"/>
            <w:vAlign w:val="bottom"/>
            <w:gridSpan w:val="2"/>
          </w:tcPr>
          <w:p>
            <w:pPr>
              <w:spacing w:after="0"/>
              <w:rPr>
                <w:sz w:val="20"/>
                <w:szCs w:val="20"/>
                <w:color w:val="auto"/>
              </w:rPr>
            </w:pPr>
            <w:r>
              <w:rPr>
                <w:rFonts w:ascii="Arial" w:cs="Arial" w:eastAsia="Arial" w:hAnsi="Arial"/>
                <w:sz w:val="17"/>
                <w:szCs w:val="17"/>
                <w:color w:val="auto"/>
              </w:rPr>
              <w:t>Debt(b)</w:t>
            </w:r>
          </w:p>
        </w:tc>
        <w:tc>
          <w:tcPr>
            <w:tcW w:w="4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w w:val="94"/>
              </w:rPr>
              <w:t>283,118</w:t>
            </w:r>
          </w:p>
        </w:tc>
        <w:tc>
          <w:tcPr>
            <w:tcW w:w="4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7,582(c)</w:t>
            </w:r>
          </w:p>
        </w:tc>
        <w:tc>
          <w:tcPr>
            <w:tcW w:w="4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4,000</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4,000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267,536</w:t>
            </w:r>
          </w:p>
        </w:tc>
      </w:tr>
      <w:tr>
        <w:trPr>
          <w:trHeight w:val="209"/>
        </w:trPr>
        <w:tc>
          <w:tcPr>
            <w:tcW w:w="5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on debt(d)</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2"/>
              </w:rPr>
              <w:t>114,138(e)</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16,545</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33,830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30,290</w:t>
            </w:r>
          </w:p>
        </w:tc>
      </w:tr>
      <w:tr>
        <w:trPr>
          <w:trHeight w:val="222"/>
        </w:trPr>
        <w:tc>
          <w:tcPr>
            <w:tcW w:w="5260" w:type="dxa"/>
            <w:vAlign w:val="bottom"/>
            <w:gridSpan w:val="2"/>
          </w:tcPr>
          <w:p>
            <w:pPr>
              <w:spacing w:after="0"/>
              <w:rPr>
                <w:sz w:val="20"/>
                <w:szCs w:val="20"/>
                <w:color w:val="auto"/>
              </w:rPr>
            </w:pPr>
            <w:r>
              <w:rPr>
                <w:rFonts w:ascii="Arial" w:cs="Arial" w:eastAsia="Arial" w:hAnsi="Arial"/>
                <w:sz w:val="17"/>
                <w:szCs w:val="17"/>
                <w:color w:val="auto"/>
              </w:rPr>
              <w:t>Processing minimums(f)</w:t>
            </w:r>
          </w:p>
        </w:tc>
        <w:tc>
          <w:tcPr>
            <w:tcW w:w="4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13,400</w:t>
            </w:r>
          </w:p>
        </w:tc>
        <w:tc>
          <w:tcPr>
            <w:tcW w:w="48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color w:val="auto"/>
              </w:rPr>
              <w:t>6,700</w:t>
            </w:r>
          </w:p>
        </w:tc>
        <w:tc>
          <w:tcPr>
            <w:tcW w:w="4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6,700</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5"/>
        </w:trPr>
        <w:tc>
          <w:tcPr>
            <w:tcW w:w="5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4"/>
              </w:rPr>
              <w:t>420,683</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6"/>
              </w:rPr>
              <w:t>32,303</w:t>
            </w: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46,070</w:t>
            </w:r>
          </w:p>
        </w:tc>
        <w:tc>
          <w:tcPr>
            <w:tcW w:w="3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39,614</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302,695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320" w:hanging="315"/>
        <w:spacing w:after="0" w:line="288" w:lineRule="auto"/>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We have entered into, or assumed via acquisitions, several operating leases for office space in the states of Georgia, New York, Tennessee, Texas and Florida, as well as equipment leases.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03" w:name="page104"/>
    <w:bookmarkEnd w:id="103"/>
    <w:p>
      <w:pPr>
        <w:jc w:val="both"/>
        <w:ind w:left="320" w:right="120" w:hanging="315"/>
        <w:spacing w:after="0" w:line="272"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contractual principal payments. As a result of the January 2018 debt upsizing, total outstanding long-term debt increased to $350.6 million. Does not include Goldman Sachs warrant amended in connection with the 2017 debt restructuring, which had a fair value of $8.7 million as of December 31, 2017 and is classified as a long-term liability. See “—Liquidity and Capital Resources—Long-term Debt” above.</w:t>
      </w:r>
    </w:p>
    <w:p>
      <w:pPr>
        <w:spacing w:after="0" w:line="172" w:lineRule="exact"/>
        <w:rPr>
          <w:rFonts w:ascii="Arial" w:cs="Arial" w:eastAsia="Arial" w:hAnsi="Arial"/>
          <w:sz w:val="17"/>
          <w:szCs w:val="17"/>
          <w:color w:val="auto"/>
        </w:rPr>
      </w:pPr>
    </w:p>
    <w:p>
      <w:pPr>
        <w:ind w:left="320" w:right="1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Includes mandatory principal prepayment obligation of $5.6 million. This prepayment obligation was waived in April 2018 and reclassified to long-term debt as of September 30, 2018.</w:t>
      </w:r>
    </w:p>
    <w:p>
      <w:pPr>
        <w:spacing w:after="0" w:line="184" w:lineRule="exact"/>
        <w:rPr>
          <w:rFonts w:ascii="Arial" w:cs="Arial" w:eastAsia="Arial" w:hAnsi="Arial"/>
          <w:sz w:val="17"/>
          <w:szCs w:val="17"/>
          <w:color w:val="auto"/>
        </w:rPr>
      </w:pPr>
    </w:p>
    <w:p>
      <w:pPr>
        <w:ind w:left="320" w:right="20" w:hanging="315"/>
        <w:spacing w:after="0" w:line="300" w:lineRule="auto"/>
        <w:tabs>
          <w:tab w:leader="none" w:pos="3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we have assumed the LIBOR floor rate of 1.0% for purposes of calculating interest payable on the Senior Secured Credit Facility. The $25.0 million revolving credit facility, which was undrawn at September 30, 2018, is subject to a 0.50% fee on the unutilized amount of the facility, which is included as interest payable. The Subordinated Term Loan has two components of interest, the cash interest, which is based on a fixed 5.0% margin, and the PIK interest. The PIK interest varies between 5.0% and 6.25% per annum from period to period based on our leverage ratio calculated pursuant to the credit agreement. We have assumed the minimum rate of 5.0% for purposes of calculating the PIK interest payable accrual of $27.4 million over the remaining duration of the Subordinated Term Loan, which is payable on the maturity date of the Subordinated Term Loan.</w:t>
      </w:r>
    </w:p>
    <w:p>
      <w:pPr>
        <w:spacing w:after="0" w:line="184" w:lineRule="exact"/>
        <w:rPr>
          <w:rFonts w:ascii="Arial" w:cs="Arial" w:eastAsia="Arial" w:hAnsi="Arial"/>
          <w:sz w:val="15"/>
          <w:szCs w:val="15"/>
          <w:color w:val="auto"/>
        </w:rPr>
      </w:pPr>
    </w:p>
    <w:p>
      <w:pPr>
        <w:ind w:left="3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As a result of the January 2018 debt upsizing, we are committed to pay an additional approximately $18.5 million in interest over the remaining duration of the Senior Secured Credit Facility.</w:t>
      </w:r>
    </w:p>
    <w:p>
      <w:pPr>
        <w:spacing w:after="0" w:line="184"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Reflects minimum annual spend commitments with third-party processor partners. In the event we fail to meet the minimum annual spend commitment, we are required to pay the difference between the minimum and the actual dollar amount spent in the year.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9"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We have not entered into any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accounting principles followed by us and the methods of applying these principles are in accordance with GAAP, which often require the judgment of management in the selection and application of certain accounting principles and methods. We consider the following accounting policies to be critical to understanding our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Classification of Deferred Income Taxes</w:t>
      </w:r>
    </w:p>
    <w:p>
      <w:pPr>
        <w:spacing w:after="0" w:line="22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connection with the Business Combination and Recapitalization, we prospectively adopted the provisions of ASU No. 2015-17, </w:t>
      </w:r>
      <w:r>
        <w:rPr>
          <w:rFonts w:ascii="Arial" w:cs="Arial" w:eastAsia="Arial" w:hAnsi="Arial"/>
          <w:sz w:val="16"/>
          <w:szCs w:val="16"/>
          <w:i w:val="1"/>
          <w:iCs w:val="1"/>
          <w:color w:val="auto"/>
        </w:rPr>
        <w:t>Balance Sheet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Deferred Taxes </w:t>
      </w:r>
      <w:r>
        <w:rPr>
          <w:rFonts w:ascii="Arial" w:cs="Arial" w:eastAsia="Arial" w:hAnsi="Arial"/>
          <w:sz w:val="16"/>
          <w:szCs w:val="16"/>
          <w:color w:val="auto"/>
        </w:rPr>
        <w:t>(“ASU 2015-17”), during the third quarter of 2018. ASU 2015-17 requires a balance sheet presentation of deferred income taxes reports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deferred tax assets and liabilities for each tax-paying jurisdiction as non-current on the balance sheet. Our prospective adoption of ASU 2015-17 impacts the classification of deferred tax assets and liabilities on any balance sheet that reports our financial position for any date after June 30, 2018. Balance sheets for prior periods have not been adjusted. The adoption of ASU 2015-17 had no impact on our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Incurred to Develop Software for Internal Use</w:t>
      </w:r>
    </w:p>
    <w:p>
      <w:pPr>
        <w:spacing w:after="0" w:line="22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we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i w:val="1"/>
          <w:iCs w:val="1"/>
          <w:color w:val="auto"/>
        </w:rPr>
        <w:t>Goodwill</w:t>
      </w:r>
    </w:p>
    <w:p>
      <w:pPr>
        <w:spacing w:after="0" w:line="22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test goodwill for impairment for each of our reporting units on an annual basis, or when events occur or circumstances indicate the fair value of a reporting unit is below our carrying value. If the fair value of a reporting unit is less than its carrying value, an impairment loss is recorded to the extent that implied fair value of the goodwill within the reporting unit is less than its carrying value. We performed our most recent annual goodwill impairment test as of November 30, 2017 using market data and discounted cash flow analyses. Based on this analysis, it was determined that the fair value exceeded the carrying value of each of our reporting units. We have concluded there have been no indicators impairment for the years ended December 31, 2017, 2016 and 2015.</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Intangible Assets.</w:t>
      </w:r>
    </w:p>
    <w:p>
      <w:pPr>
        <w:spacing w:after="0" w:line="223" w:lineRule="exact"/>
        <w:rPr>
          <w:sz w:val="20"/>
          <w:szCs w:val="20"/>
          <w:color w:val="auto"/>
        </w:rPr>
      </w:pPr>
    </w:p>
    <w:p>
      <w:pPr>
        <w:jc w:val="both"/>
        <w:ind w:right="120"/>
        <w:spacing w:after="0" w:line="272" w:lineRule="auto"/>
        <w:rPr>
          <w:sz w:val="20"/>
          <w:szCs w:val="20"/>
          <w:color w:val="auto"/>
        </w:rPr>
      </w:pPr>
      <w:r>
        <w:rPr>
          <w:rFonts w:ascii="Arial" w:cs="Arial" w:eastAsia="Arial" w:hAnsi="Arial"/>
          <w:sz w:val="17"/>
          <w:szCs w:val="17"/>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Portfolios</w:t>
      </w:r>
      <w:r>
        <w:rPr>
          <w:rFonts w:ascii="Arial" w:cs="Arial" w:eastAsia="Arial" w:hAnsi="Arial"/>
          <w:sz w:val="17"/>
          <w:szCs w:val="17"/>
          <w:color w:val="auto"/>
        </w:rPr>
        <w:t>.</w:t>
      </w:r>
    </w:p>
    <w:p>
      <w:pPr>
        <w:spacing w:after="0" w:line="2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Merchant portfolios represent the value of the acquired merchant customer base at the time of acquisition. We amortize the cost of our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r>
        <w:rPr>
          <w:rFonts w:ascii="Arial" w:cs="Arial" w:eastAsia="Arial" w:hAnsi="Arial"/>
          <w:sz w:val="17"/>
          <w:szCs w:val="17"/>
          <w:color w:val="auto"/>
        </w:rPr>
        <w:t>.</w:t>
      </w:r>
    </w:p>
    <w:p>
      <w:pPr>
        <w:spacing w:after="0" w:line="223"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Long-lived Assets</w:t>
      </w:r>
    </w:p>
    <w:p>
      <w:pPr>
        <w:spacing w:after="0" w:line="22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We review our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We concluded there were no indications of impairment for the years ended December 31, 2017, 2016 and 2015.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Measurements</w:t>
      </w:r>
    </w:p>
    <w:p>
      <w:pPr>
        <w:spacing w:after="0" w:line="22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measure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We use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 – Quoted market prices in active markets for identical assets or liabilities as of the reporting date.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2 – Observable market based inputs or unobservable inputs that are corroborated by market data.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05" w:name="page106"/>
    <w:bookmarkEnd w:id="105"/>
    <w:p>
      <w:pPr>
        <w:ind w:left="320"/>
        <w:spacing w:after="0"/>
        <w:rPr>
          <w:sz w:val="20"/>
          <w:szCs w:val="20"/>
          <w:color w:val="auto"/>
        </w:rPr>
      </w:pPr>
      <w:r>
        <w:rPr>
          <w:rFonts w:ascii="Arial" w:cs="Arial" w:eastAsia="Arial" w:hAnsi="Arial"/>
          <w:sz w:val="17"/>
          <w:szCs w:val="17"/>
          <w:color w:val="auto"/>
        </w:rPr>
        <w:t>Level 3 – Unobservable inputs that are not corroborated by market data.</w:t>
      </w:r>
    </w:p>
    <w:p>
      <w:pPr>
        <w:spacing w:after="0" w:line="22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fair values of our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our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Prior to July 25, 2018, we were defined as a non-public entity for purposes of applying transition guidance related to new or revised accounting standards under U.S. GAAP, and as such were typically required to adopt new or revised accounting standards subsequent to the required adoption dates that applied to public companies. M I was classified as an emerging growth company (EGC). Subsequent to the July 25, 2018 Business Combination, we retain EGC status until no later than December 31, 2021. We will maintain the election available to an EGC to use any extended transition period applicable to non-public companies when complying with a new or revised accounting standards. Therefore, as long as we retain EGC status, before December 31, 2021 we can continue to elect to adopt any new or revised accounting standards on the adoption date (including early adoption) required for a private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Share-Based Payments to Employees (ASU 2016-09)</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which amends ASC Topic 718, </w:t>
      </w:r>
      <w:r>
        <w:rPr>
          <w:rFonts w:ascii="Arial" w:cs="Arial" w:eastAsia="Arial" w:hAnsi="Arial"/>
          <w:sz w:val="16"/>
          <w:szCs w:val="16"/>
          <w:i w:val="1"/>
          <w:iCs w:val="1"/>
          <w:color w:val="auto"/>
        </w:rPr>
        <w:t>Compensation –</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This new ASU has the following effects:</w:t>
      </w:r>
    </w:p>
    <w:p>
      <w:pPr>
        <w:spacing w:after="0" w:line="21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color w:val="auto"/>
        </w:rPr>
        <w:t>Additionally, ASU 2016-09 clarifies that:</w:t>
      </w:r>
    </w:p>
    <w:p>
      <w:pPr>
        <w:spacing w:after="0" w:line="223" w:lineRule="exact"/>
        <w:rPr>
          <w:sz w:val="20"/>
          <w:szCs w:val="20"/>
          <w:color w:val="auto"/>
        </w:rPr>
      </w:pPr>
    </w:p>
    <w:p>
      <w:pPr>
        <w:ind w:left="640" w:right="580" w:hanging="635"/>
        <w:spacing w:after="0" w:line="28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 cash payments made to taxing authorities on the employees’ behalf for withheld shares at settlement are presented as financing activities on the statement of cash flows. This change must be applied retrospectively.</w:t>
      </w:r>
    </w:p>
    <w:p>
      <w:pPr>
        <w:spacing w:after="0" w:line="158" w:lineRule="exact"/>
        <w:rPr>
          <w:rFonts w:ascii="Arial" w:cs="Arial" w:eastAsia="Arial" w:hAnsi="Arial"/>
          <w:sz w:val="17"/>
          <w:szCs w:val="17"/>
          <w:color w:val="auto"/>
        </w:rPr>
      </w:pPr>
    </w:p>
    <w:p>
      <w:pPr>
        <w:ind w:left="640" w:hanging="635"/>
        <w:spacing w:after="0" w:line="313" w:lineRule="auto"/>
        <w:tabs>
          <w:tab w:leader="none" w:pos="6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4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an EGC, this ASU is effective for us for annual reporting periods beginning 2018 and interim periods beginning first quarter 2019. The adoption of the ASU is not expected to have a material effect on our financial position, results of operations, or cash flows. Its impact on periods after adoption will depend on future grants of share-based compensation that we may make under our 2018 Equity Incentive Plan.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Payments to Non-Employees (ASU 2018-07)</w:t>
      </w:r>
    </w:p>
    <w:p>
      <w:pPr>
        <w:spacing w:after="0" w:line="2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We are evaluating the impact this ASU will have on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Implementation Costs Incurred in Cloud Computing Arrangements (ASU 2018-15)</w:t>
      </w:r>
    </w:p>
    <w:p>
      <w:pPr>
        <w:spacing w:after="0" w:line="22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us for annual reporting periods beginning after December 15, 2020, and interim periods within annual periods beginning after December 15, 2021. The amendments should be applied either retrospectively or prospectively to all implementation costs incurred after the date of adoption. We are evaluating the impact this ASU will have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of a Business (ASU 2017-01)</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us for annual reporting periods beginning after December 15, 2018 and interim periods within years beginning after December 15, 2019. The impact that ASU 2017-01 may have on our position, results of operations or cash flows will depend on the nature of any acquisition commencing after our adoption of the ASU.</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for Fair Value Measurements (ASU 2018-13)</w:t>
      </w:r>
    </w:p>
    <w:p>
      <w:pPr>
        <w:spacing w:after="0" w:line="2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This ASU eliminates, adds and modifies certain disclosure requirements for fair value measurements as part of the FASB’s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our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 (ASU 2016-15)</w:t>
      </w:r>
    </w:p>
    <w:p>
      <w:pPr>
        <w:spacing w:after="0" w:line="223"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Statement of Cash Flows (Topic 230)</w:t>
      </w:r>
      <w:r>
        <w:rPr>
          <w:rFonts w:ascii="Arial" w:cs="Arial" w:eastAsia="Arial" w:hAnsi="Arial"/>
          <w:sz w:val="15"/>
          <w:szCs w:val="15"/>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contingent consideration liability will be classified as cash outflows from operating activities. As an EGC, this ASU is effective for us for years beginning after December 15, 2018 and interim periods within years beginning after December 15, 2019. We are evaluating the effect this ASU will have on its consolidated statement of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Testing (ASU 2017-04)</w:t>
      </w:r>
    </w:p>
    <w:p>
      <w:pPr>
        <w:spacing w:after="0" w:line="223" w:lineRule="exact"/>
        <w:rPr>
          <w:sz w:val="20"/>
          <w:szCs w:val="20"/>
          <w:color w:val="auto"/>
        </w:rPr>
      </w:pPr>
    </w:p>
    <w:p>
      <w:pPr>
        <w:ind w:right="240"/>
        <w:spacing w:after="0" w:line="26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our financial condition or results of operations will depend on the circumstances of any goodwill impairment event that may occur after adoption.</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307" w:gutter="0" w:footer="0" w:header="0"/>
        </w:sectPr>
      </w:pPr>
    </w:p>
    <w:bookmarkStart w:id="107" w:name="page108"/>
    <w:bookmarkEnd w:id="107"/>
    <w:p>
      <w:pPr>
        <w:spacing w:after="0"/>
        <w:rPr>
          <w:sz w:val="20"/>
          <w:szCs w:val="20"/>
          <w:color w:val="auto"/>
        </w:rPr>
      </w:pPr>
      <w:r>
        <w:rPr>
          <w:rFonts w:ascii="Arial" w:cs="Arial" w:eastAsia="Arial" w:hAnsi="Arial"/>
          <w:sz w:val="17"/>
          <w:szCs w:val="17"/>
          <w:i w:val="1"/>
          <w:iCs w:val="1"/>
          <w:color w:val="auto"/>
        </w:rPr>
        <w:t>Revenue Recognition (ASC 606)</w:t>
      </w:r>
    </w:p>
    <w:p>
      <w:pPr>
        <w:spacing w:after="0" w:line="223"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This guidance clarifies the principles for recognizing revenue and will be applicable to all contracts with customers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our software systems to assist in both internally capturing accounting differences and externally reporting such differences through enhanced disclosure requirements. As an EGC, the standard is effective for our 2019 annual reporting period and for interim periods after 2019. The standard permits the use of either the retrospective or cumulative effect transition method. We have not yet selected a transition method and we are currently evaluating the effect that the standard may have on our consolidated financial statements and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(ASU 2016-02)</w:t>
      </w:r>
    </w:p>
    <w:p>
      <w:pPr>
        <w:spacing w:after="0" w:line="2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In February 2016, the FASB issued new lease accounting guidance in ASU No. 2016-02, </w:t>
      </w:r>
      <w:r>
        <w:rPr>
          <w:rFonts w:ascii="Arial" w:cs="Arial" w:eastAsia="Arial" w:hAnsi="Arial"/>
          <w:sz w:val="16"/>
          <w:szCs w:val="16"/>
          <w:i w:val="1"/>
          <w:iCs w:val="1"/>
          <w:color w:val="auto"/>
        </w:rPr>
        <w:t>Leases-Topic 842</w:t>
      </w:r>
      <w:r>
        <w:rPr>
          <w:rFonts w:ascii="Arial" w:cs="Arial" w:eastAsia="Arial" w:hAnsi="Arial"/>
          <w:sz w:val="16"/>
          <w:szCs w:val="16"/>
          <w:color w:val="auto"/>
        </w:rPr>
        <w:t xml:space="preserve">, which has been codified in ASC 842, </w:t>
      </w:r>
      <w:r>
        <w:rPr>
          <w:rFonts w:ascii="Arial" w:cs="Arial" w:eastAsia="Arial" w:hAnsi="Arial"/>
          <w:sz w:val="16"/>
          <w:szCs w:val="16"/>
          <w:i w:val="1"/>
          <w:iCs w:val="1"/>
          <w:color w:val="auto"/>
        </w:rPr>
        <w:t>Leases</w:t>
      </w:r>
      <w:r>
        <w:rPr>
          <w:rFonts w:ascii="Arial" w:cs="Arial" w:eastAsia="Arial" w:hAnsi="Arial"/>
          <w:sz w:val="16"/>
          <w:szCs w:val="16"/>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our annual reporting period beginning in 2020 and interim reporting periods beginning first quarter of 2021. The new standard requires a modified retrospective basis. The adoption of ASC 842 will require us to recognize non-current assets and liabilities for right-of-use assets and operating lease liabilities on our consolidated balance sheet, but is not expected to have a material effect on our results of operations or cash flows. ASC 842 will also require additional footnote disclosures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Losses (ASU 2016-13)</w:t>
      </w:r>
    </w:p>
    <w:p>
      <w:pPr>
        <w:spacing w:after="0" w:line="2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We are currently evaluating the potential impact that ASU 2016-13 may have on the timing of recognizing future provisions for expected losses on our accounts receivable. As an EGC, the ASU is effective for annual periods beginning after December 15, 2020 and interim periods within annual periods beginning after December 15,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23"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Senior Secured Credit Facility bears interest at a rate based on LIBOR plus a fixed margin. As of December 31, 2017, we had $198 million in outstanding borrowings under our Senior Secured Credit Facility. A hypothetical 1% increase in 2017 in the applicable LIBOR rate on our outstanding indebtedness under the Senior Secured Credit Facility would have increased cash interest expense on our indebtedness by approximately $1.8 million per annum, while a hypothetical 1% decrease in the applicable LIBOR rate would have decreased cash interest expense on our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As of September 30, 2018, we had $263.5 million in outstanding borrowings under our Senior Secured Credit Facility. The applicable LIBOR rate stood at 2.1% at September 30, 2018 and the fixed margin stood at 5%, for an interest rate of 7.1%. A hypothetical 1.0% increase or decrease in the applicable LIBOR rate on our outstanding indebtedness under the Senior Secured Credit Facility for the nine months ended September 30, 2018 would have increased or decreased interest expense by approximately $2.0 million. Per annum, a 1% hypothetical increase or decrease in the applicable LIBOR on this debt rate would increase annual interest expense by approximately $2.6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do not currently hedge against interest rate risk.</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81" w:right="259" w:bottom="1440" w:gutter="0" w:footer="0" w:header="0"/>
        </w:sectPr>
      </w:pPr>
    </w:p>
    <w:bookmarkStart w:id="108" w:name="page109"/>
    <w:bookmarkEnd w:id="108"/>
    <w:p>
      <w:pPr>
        <w:jc w:val="center"/>
        <w:ind w:right="-59"/>
        <w:spacing w:after="0"/>
        <w:rPr>
          <w:sz w:val="20"/>
          <w:szCs w:val="20"/>
          <w:color w:val="auto"/>
        </w:rPr>
      </w:pPr>
      <w:r>
        <w:rPr>
          <w:rFonts w:ascii="Arial" w:cs="Arial" w:eastAsia="Arial" w:hAnsi="Arial"/>
          <w:sz w:val="17"/>
          <w:szCs w:val="17"/>
          <w:b w:val="1"/>
          <w:bCs w:val="1"/>
          <w:color w:val="auto"/>
        </w:rPr>
        <w:t>MANAGEMENT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executive officers of Priority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Age</w:t>
            </w:r>
          </w:p>
        </w:tc>
        <w:tc>
          <w:tcPr>
            <w:tcW w:w="90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Position</w:t>
            </w:r>
          </w:p>
        </w:tc>
      </w:tr>
      <w:tr>
        <w:trPr>
          <w:trHeight w:val="190"/>
        </w:trPr>
        <w:tc>
          <w:tcPr>
            <w:tcW w:w="1660" w:type="dxa"/>
            <w:vAlign w:val="bottom"/>
          </w:tcPr>
          <w:p>
            <w:pPr>
              <w:spacing w:after="0" w:line="190" w:lineRule="exact"/>
              <w:rPr>
                <w:sz w:val="20"/>
                <w:szCs w:val="20"/>
                <w:color w:val="auto"/>
              </w:rPr>
            </w:pPr>
            <w:r>
              <w:rPr>
                <w:rFonts w:ascii="Arial" w:cs="Arial" w:eastAsia="Arial" w:hAnsi="Arial"/>
                <w:sz w:val="17"/>
                <w:szCs w:val="17"/>
                <w:color w:val="auto"/>
              </w:rPr>
              <w:t>Thomas Priore</w:t>
            </w:r>
          </w:p>
        </w:tc>
        <w:tc>
          <w:tcPr>
            <w:tcW w:w="680" w:type="dxa"/>
            <w:vAlign w:val="bottom"/>
          </w:tcPr>
          <w:p>
            <w:pPr>
              <w:ind w:left="180"/>
              <w:spacing w:after="0" w:line="190" w:lineRule="exact"/>
              <w:rPr>
                <w:sz w:val="20"/>
                <w:szCs w:val="20"/>
                <w:color w:val="auto"/>
              </w:rPr>
            </w:pPr>
            <w:r>
              <w:rPr>
                <w:rFonts w:ascii="Arial" w:cs="Arial" w:eastAsia="Arial" w:hAnsi="Arial"/>
                <w:sz w:val="17"/>
                <w:szCs w:val="17"/>
                <w:color w:val="auto"/>
              </w:rPr>
              <w:t>50</w:t>
            </w:r>
          </w:p>
        </w:tc>
        <w:tc>
          <w:tcPr>
            <w:tcW w:w="9080" w:type="dxa"/>
            <w:vAlign w:val="bottom"/>
          </w:tcPr>
          <w:p>
            <w:pPr>
              <w:ind w:left="240"/>
              <w:spacing w:after="0" w:line="190" w:lineRule="exact"/>
              <w:rPr>
                <w:sz w:val="20"/>
                <w:szCs w:val="20"/>
                <w:color w:val="auto"/>
              </w:rPr>
            </w:pPr>
            <w:r>
              <w:rPr>
                <w:rFonts w:ascii="Arial" w:cs="Arial" w:eastAsia="Arial" w:hAnsi="Arial"/>
                <w:sz w:val="17"/>
                <w:szCs w:val="17"/>
                <w:color w:val="auto"/>
              </w:rPr>
              <w:t>President, Chief Executive Officer and Chairman</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John Priore</w:t>
            </w:r>
          </w:p>
        </w:tc>
        <w:tc>
          <w:tcPr>
            <w:tcW w:w="680" w:type="dxa"/>
            <w:vAlign w:val="bottom"/>
          </w:tcPr>
          <w:p>
            <w:pPr>
              <w:ind w:left="180"/>
              <w:spacing w:after="0"/>
              <w:rPr>
                <w:sz w:val="20"/>
                <w:szCs w:val="20"/>
                <w:color w:val="auto"/>
              </w:rPr>
            </w:pPr>
            <w:r>
              <w:rPr>
                <w:rFonts w:ascii="Arial" w:cs="Arial" w:eastAsia="Arial" w:hAnsi="Arial"/>
                <w:sz w:val="17"/>
                <w:szCs w:val="17"/>
                <w:color w:val="auto"/>
              </w:rPr>
              <w:t>55</w:t>
            </w:r>
          </w:p>
        </w:tc>
        <w:tc>
          <w:tcPr>
            <w:tcW w:w="9080" w:type="dxa"/>
            <w:vAlign w:val="bottom"/>
          </w:tcPr>
          <w:p>
            <w:pPr>
              <w:ind w:left="220"/>
              <w:spacing w:after="0"/>
              <w:rPr>
                <w:sz w:val="20"/>
                <w:szCs w:val="20"/>
                <w:color w:val="auto"/>
              </w:rPr>
            </w:pPr>
            <w:r>
              <w:rPr>
                <w:rFonts w:ascii="Arial" w:cs="Arial" w:eastAsia="Arial" w:hAnsi="Arial"/>
                <w:sz w:val="17"/>
                <w:szCs w:val="17"/>
                <w:color w:val="auto"/>
              </w:rPr>
              <w:t>Vice-Chairman</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Bruce Mattox</w:t>
            </w:r>
          </w:p>
        </w:tc>
        <w:tc>
          <w:tcPr>
            <w:tcW w:w="680" w:type="dxa"/>
            <w:vAlign w:val="bottom"/>
          </w:tcPr>
          <w:p>
            <w:pPr>
              <w:ind w:left="180"/>
              <w:spacing w:after="0"/>
              <w:rPr>
                <w:sz w:val="20"/>
                <w:szCs w:val="20"/>
                <w:color w:val="auto"/>
              </w:rPr>
            </w:pPr>
            <w:r>
              <w:rPr>
                <w:rFonts w:ascii="Arial" w:cs="Arial" w:eastAsia="Arial" w:hAnsi="Arial"/>
                <w:sz w:val="17"/>
                <w:szCs w:val="17"/>
                <w:color w:val="auto"/>
              </w:rPr>
              <w:t>62</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Accounting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Michael Vollkommer</w:t>
            </w:r>
          </w:p>
        </w:tc>
        <w:tc>
          <w:tcPr>
            <w:tcW w:w="680" w:type="dxa"/>
            <w:vAlign w:val="bottom"/>
          </w:tcPr>
          <w:p>
            <w:pPr>
              <w:ind w:left="180"/>
              <w:spacing w:after="0"/>
              <w:rPr>
                <w:sz w:val="20"/>
                <w:szCs w:val="20"/>
                <w:color w:val="auto"/>
              </w:rPr>
            </w:pPr>
            <w:r>
              <w:rPr>
                <w:rFonts w:ascii="Arial" w:cs="Arial" w:eastAsia="Arial" w:hAnsi="Arial"/>
                <w:sz w:val="17"/>
                <w:szCs w:val="17"/>
                <w:color w:val="auto"/>
              </w:rPr>
              <w:t>60</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Financial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Sean Kiewiet</w:t>
            </w:r>
          </w:p>
        </w:tc>
        <w:tc>
          <w:tcPr>
            <w:tcW w:w="680" w:type="dxa"/>
            <w:vAlign w:val="bottom"/>
          </w:tcPr>
          <w:p>
            <w:pPr>
              <w:ind w:left="180"/>
              <w:spacing w:after="0"/>
              <w:rPr>
                <w:sz w:val="20"/>
                <w:szCs w:val="20"/>
                <w:color w:val="auto"/>
              </w:rPr>
            </w:pPr>
            <w:r>
              <w:rPr>
                <w:rFonts w:ascii="Arial" w:cs="Arial" w:eastAsia="Arial" w:hAnsi="Arial"/>
                <w:sz w:val="17"/>
                <w:szCs w:val="17"/>
                <w:color w:val="auto"/>
              </w:rPr>
              <w:t>46</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Technology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Timothy Schneible</w:t>
            </w:r>
          </w:p>
        </w:tc>
        <w:tc>
          <w:tcPr>
            <w:tcW w:w="680" w:type="dxa"/>
            <w:vAlign w:val="bottom"/>
          </w:tcPr>
          <w:p>
            <w:pPr>
              <w:ind w:left="180"/>
              <w:spacing w:after="0"/>
              <w:rPr>
                <w:sz w:val="20"/>
                <w:szCs w:val="20"/>
                <w:color w:val="auto"/>
              </w:rPr>
            </w:pPr>
            <w:r>
              <w:rPr>
                <w:rFonts w:ascii="Arial" w:cs="Arial" w:eastAsia="Arial" w:hAnsi="Arial"/>
                <w:sz w:val="17"/>
                <w:szCs w:val="17"/>
                <w:color w:val="auto"/>
              </w:rPr>
              <w:t>45</w:t>
            </w:r>
          </w:p>
        </w:tc>
        <w:tc>
          <w:tcPr>
            <w:tcW w:w="9080" w:type="dxa"/>
            <w:vAlign w:val="bottom"/>
          </w:tcPr>
          <w:p>
            <w:pPr>
              <w:ind w:left="240"/>
              <w:spacing w:after="0"/>
              <w:rPr>
                <w:sz w:val="20"/>
                <w:szCs w:val="20"/>
                <w:color w:val="auto"/>
              </w:rPr>
            </w:pPr>
            <w:r>
              <w:rPr>
                <w:rFonts w:ascii="Arial" w:cs="Arial" w:eastAsia="Arial" w:hAnsi="Arial"/>
                <w:sz w:val="17"/>
                <w:szCs w:val="17"/>
                <w:color w:val="auto"/>
              </w:rPr>
              <w:t>Chief Operating Officer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Cindy O’Neill</w:t>
            </w:r>
          </w:p>
        </w:tc>
        <w:tc>
          <w:tcPr>
            <w:tcW w:w="680" w:type="dxa"/>
            <w:vAlign w:val="bottom"/>
          </w:tcPr>
          <w:p>
            <w:pPr>
              <w:ind w:left="180"/>
              <w:spacing w:after="0"/>
              <w:rPr>
                <w:sz w:val="20"/>
                <w:szCs w:val="20"/>
                <w:color w:val="auto"/>
              </w:rPr>
            </w:pPr>
            <w:r>
              <w:rPr>
                <w:rFonts w:ascii="Arial" w:cs="Arial" w:eastAsia="Arial" w:hAnsi="Arial"/>
                <w:sz w:val="17"/>
                <w:szCs w:val="17"/>
                <w:color w:val="auto"/>
              </w:rPr>
              <w:t>50</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Commercial Payments</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David McMiller</w:t>
            </w:r>
          </w:p>
        </w:tc>
        <w:tc>
          <w:tcPr>
            <w:tcW w:w="680" w:type="dxa"/>
            <w:vAlign w:val="bottom"/>
          </w:tcPr>
          <w:p>
            <w:pPr>
              <w:ind w:left="180"/>
              <w:spacing w:after="0"/>
              <w:rPr>
                <w:sz w:val="20"/>
                <w:szCs w:val="20"/>
                <w:color w:val="auto"/>
              </w:rPr>
            </w:pPr>
            <w:r>
              <w:rPr>
                <w:rFonts w:ascii="Arial" w:cs="Arial" w:eastAsia="Arial" w:hAnsi="Arial"/>
                <w:sz w:val="17"/>
                <w:szCs w:val="17"/>
                <w:color w:val="auto"/>
              </w:rPr>
              <w:t>63</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Commercial Business Services</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Afshin Yazdian</w:t>
            </w:r>
          </w:p>
        </w:tc>
        <w:tc>
          <w:tcPr>
            <w:tcW w:w="680" w:type="dxa"/>
            <w:vAlign w:val="bottom"/>
          </w:tcPr>
          <w:p>
            <w:pPr>
              <w:ind w:left="180"/>
              <w:spacing w:after="0"/>
              <w:rPr>
                <w:sz w:val="20"/>
                <w:szCs w:val="20"/>
                <w:color w:val="auto"/>
              </w:rPr>
            </w:pPr>
            <w:r>
              <w:rPr>
                <w:rFonts w:ascii="Arial" w:cs="Arial" w:eastAsia="Arial" w:hAnsi="Arial"/>
                <w:sz w:val="17"/>
                <w:szCs w:val="17"/>
                <w:color w:val="auto"/>
              </w:rPr>
              <w:t>46</w:t>
            </w:r>
          </w:p>
        </w:tc>
        <w:tc>
          <w:tcPr>
            <w:tcW w:w="9080" w:type="dxa"/>
            <w:vAlign w:val="bottom"/>
          </w:tcPr>
          <w:p>
            <w:pPr>
              <w:ind w:left="240"/>
              <w:spacing w:after="0"/>
              <w:rPr>
                <w:sz w:val="20"/>
                <w:szCs w:val="20"/>
                <w:color w:val="auto"/>
              </w:rPr>
            </w:pPr>
            <w:r>
              <w:rPr>
                <w:rFonts w:ascii="Arial" w:cs="Arial" w:eastAsia="Arial" w:hAnsi="Arial"/>
                <w:sz w:val="17"/>
                <w:szCs w:val="17"/>
                <w:color w:val="auto"/>
              </w:rPr>
              <w:t>President of Core Acquiring</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Chris Prince</w:t>
            </w:r>
          </w:p>
        </w:tc>
        <w:tc>
          <w:tcPr>
            <w:tcW w:w="680" w:type="dxa"/>
            <w:vAlign w:val="bottom"/>
          </w:tcPr>
          <w:p>
            <w:pPr>
              <w:ind w:left="180"/>
              <w:spacing w:after="0"/>
              <w:rPr>
                <w:sz w:val="20"/>
                <w:szCs w:val="20"/>
                <w:color w:val="auto"/>
              </w:rPr>
            </w:pPr>
            <w:r>
              <w:rPr>
                <w:rFonts w:ascii="Arial" w:cs="Arial" w:eastAsia="Arial" w:hAnsi="Arial"/>
                <w:sz w:val="17"/>
                <w:szCs w:val="17"/>
                <w:color w:val="auto"/>
              </w:rPr>
              <w:t>45</w:t>
            </w:r>
          </w:p>
        </w:tc>
        <w:tc>
          <w:tcPr>
            <w:tcW w:w="9080" w:type="dxa"/>
            <w:vAlign w:val="bottom"/>
          </w:tcPr>
          <w:p>
            <w:pPr>
              <w:ind w:left="240"/>
              <w:spacing w:after="0"/>
              <w:rPr>
                <w:sz w:val="20"/>
                <w:szCs w:val="20"/>
                <w:color w:val="auto"/>
              </w:rPr>
            </w:pPr>
            <w:r>
              <w:rPr>
                <w:rFonts w:ascii="Arial" w:cs="Arial" w:eastAsia="Arial" w:hAnsi="Arial"/>
                <w:sz w:val="17"/>
                <w:szCs w:val="17"/>
                <w:color w:val="auto"/>
              </w:rPr>
              <w:t>General Counsel</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Marc Manuel</w:t>
            </w:r>
          </w:p>
        </w:tc>
        <w:tc>
          <w:tcPr>
            <w:tcW w:w="680" w:type="dxa"/>
            <w:vAlign w:val="bottom"/>
          </w:tcPr>
          <w:p>
            <w:pPr>
              <w:ind w:left="180"/>
              <w:spacing w:after="0"/>
              <w:rPr>
                <w:sz w:val="20"/>
                <w:szCs w:val="20"/>
                <w:color w:val="auto"/>
              </w:rPr>
            </w:pPr>
            <w:r>
              <w:rPr>
                <w:rFonts w:ascii="Arial" w:cs="Arial" w:eastAsia="Arial" w:hAnsi="Arial"/>
                <w:sz w:val="17"/>
                <w:szCs w:val="17"/>
                <w:color w:val="auto"/>
              </w:rPr>
              <w:t>49</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09"/>
        </w:trPr>
        <w:tc>
          <w:tcPr>
            <w:tcW w:w="1660" w:type="dxa"/>
            <w:vAlign w:val="bottom"/>
          </w:tcPr>
          <w:p>
            <w:pPr>
              <w:spacing w:after="0"/>
              <w:rPr>
                <w:sz w:val="20"/>
                <w:szCs w:val="20"/>
                <w:color w:val="auto"/>
              </w:rPr>
            </w:pPr>
            <w:r>
              <w:rPr>
                <w:rFonts w:ascii="Arial" w:cs="Arial" w:eastAsia="Arial" w:hAnsi="Arial"/>
                <w:sz w:val="17"/>
                <w:szCs w:val="17"/>
                <w:color w:val="auto"/>
              </w:rPr>
              <w:t>William Gahan</w:t>
            </w:r>
          </w:p>
        </w:tc>
        <w:tc>
          <w:tcPr>
            <w:tcW w:w="680" w:type="dxa"/>
            <w:vAlign w:val="bottom"/>
          </w:tcPr>
          <w:p>
            <w:pPr>
              <w:ind w:left="180"/>
              <w:spacing w:after="0"/>
              <w:rPr>
                <w:sz w:val="20"/>
                <w:szCs w:val="20"/>
                <w:color w:val="auto"/>
              </w:rPr>
            </w:pPr>
            <w:r>
              <w:rPr>
                <w:rFonts w:ascii="Arial" w:cs="Arial" w:eastAsia="Arial" w:hAnsi="Arial"/>
                <w:sz w:val="17"/>
                <w:szCs w:val="17"/>
                <w:color w:val="auto"/>
              </w:rPr>
              <w:t>52</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r>
        <w:trPr>
          <w:trHeight w:val="221"/>
        </w:trPr>
        <w:tc>
          <w:tcPr>
            <w:tcW w:w="1660" w:type="dxa"/>
            <w:vAlign w:val="bottom"/>
          </w:tcPr>
          <w:p>
            <w:pPr>
              <w:spacing w:after="0"/>
              <w:rPr>
                <w:sz w:val="20"/>
                <w:szCs w:val="20"/>
                <w:color w:val="auto"/>
              </w:rPr>
            </w:pPr>
            <w:r>
              <w:rPr>
                <w:rFonts w:ascii="Arial" w:cs="Arial" w:eastAsia="Arial" w:hAnsi="Arial"/>
                <w:sz w:val="17"/>
                <w:szCs w:val="17"/>
                <w:color w:val="auto"/>
              </w:rPr>
              <w:t>Matthew Kearney</w:t>
            </w:r>
          </w:p>
        </w:tc>
        <w:tc>
          <w:tcPr>
            <w:tcW w:w="680" w:type="dxa"/>
            <w:vAlign w:val="bottom"/>
          </w:tcPr>
          <w:p>
            <w:pPr>
              <w:ind w:left="180"/>
              <w:spacing w:after="0"/>
              <w:rPr>
                <w:sz w:val="20"/>
                <w:szCs w:val="20"/>
                <w:color w:val="auto"/>
              </w:rPr>
            </w:pPr>
            <w:r>
              <w:rPr>
                <w:rFonts w:ascii="Arial" w:cs="Arial" w:eastAsia="Arial" w:hAnsi="Arial"/>
                <w:sz w:val="17"/>
                <w:szCs w:val="17"/>
                <w:color w:val="auto"/>
              </w:rPr>
              <w:t>57</w:t>
            </w:r>
          </w:p>
        </w:tc>
        <w:tc>
          <w:tcPr>
            <w:tcW w:w="9080" w:type="dxa"/>
            <w:vAlign w:val="bottom"/>
          </w:tcPr>
          <w:p>
            <w:pPr>
              <w:ind w:left="240"/>
              <w:spacing w:after="0"/>
              <w:rPr>
                <w:sz w:val="20"/>
                <w:szCs w:val="20"/>
                <w:color w:val="auto"/>
              </w:rPr>
            </w:pPr>
            <w:r>
              <w:rPr>
                <w:rFonts w:ascii="Arial" w:cs="Arial" w:eastAsia="Arial" w:hAnsi="Arial"/>
                <w:sz w:val="17"/>
                <w:szCs w:val="17"/>
                <w:color w:val="auto"/>
              </w:rPr>
              <w:t>Director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1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b w:val="1"/>
          <w:bCs w:val="1"/>
          <w:color w:val="auto"/>
        </w:rPr>
        <w:t xml:space="preserve">Thomas Priore </w:t>
      </w:r>
      <w:r>
        <w:rPr>
          <w:rFonts w:ascii="Arial" w:cs="Arial" w:eastAsia="Arial" w:hAnsi="Arial"/>
          <w:sz w:val="15"/>
          <w:szCs w:val="15"/>
          <w:color w:val="auto"/>
        </w:rPr>
        <w:t>has served as President and Chief Executive Officer since December 2018 and as Executive Chairman and founding member of Priority since</w:t>
      </w:r>
      <w:r>
        <w:rPr>
          <w:rFonts w:ascii="Arial" w:cs="Arial" w:eastAsia="Arial" w:hAnsi="Arial"/>
          <w:sz w:val="15"/>
          <w:szCs w:val="15"/>
          <w:b w:val="1"/>
          <w:bCs w:val="1"/>
          <w:color w:val="auto"/>
        </w:rPr>
        <w:t xml:space="preserve"> </w:t>
      </w:r>
      <w:r>
        <w:rPr>
          <w:rFonts w:ascii="Arial" w:cs="Arial" w:eastAsia="Arial" w:hAnsi="Arial"/>
          <w:sz w:val="15"/>
          <w:szCs w:val="15"/>
          <w:color w:val="auto"/>
        </w:rPr>
        <w:t>August 2005. Under Mr. Priore’s strategic direction, Priority has 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15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color w:val="auto"/>
        </w:rPr>
        <w:t xml:space="preserve">John Priore </w:t>
      </w:r>
      <w:r>
        <w:rPr>
          <w:rFonts w:ascii="Arial" w:cs="Arial" w:eastAsia="Arial" w:hAnsi="Arial"/>
          <w:sz w:val="16"/>
          <w:szCs w:val="16"/>
          <w:color w:val="auto"/>
        </w:rPr>
        <w:t>is the co-founder of Priority and has served as Vice-Chairman of Priority since December 2018. Prior to that, John Priore served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15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b w:val="1"/>
          <w:bCs w:val="1"/>
          <w:color w:val="auto"/>
        </w:rPr>
        <w:t xml:space="preserve">Bruce Mattox </w:t>
      </w:r>
      <w:r>
        <w:rPr>
          <w:rFonts w:ascii="Arial" w:cs="Arial" w:eastAsia="Arial" w:hAnsi="Arial"/>
          <w:sz w:val="17"/>
          <w:szCs w:val="17"/>
          <w:color w:val="auto"/>
        </w:rPr>
        <w:t>has served as Chief Accounting Officer of Priority since December 2018. Prior to that, Mr. Mattox served as Chief Financial Officer of Priority</w:t>
      </w:r>
      <w:r>
        <w:rPr>
          <w:rFonts w:ascii="Arial" w:cs="Arial" w:eastAsia="Arial" w:hAnsi="Arial"/>
          <w:sz w:val="17"/>
          <w:szCs w:val="17"/>
          <w:b w:val="1"/>
          <w:bCs w:val="1"/>
          <w:color w:val="auto"/>
        </w:rPr>
        <w:t xml:space="preserve"> </w:t>
      </w:r>
      <w:r>
        <w:rPr>
          <w:rFonts w:ascii="Arial" w:cs="Arial" w:eastAsia="Arial" w:hAnsi="Arial"/>
          <w:sz w:val="17"/>
          <w:szCs w:val="17"/>
          <w:color w:val="auto"/>
        </w:rPr>
        <w:t>since April 2011. Mr. Mattox has over 30 years of experience in the payments industry and is a 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w:t>
      </w:r>
    </w:p>
    <w:p>
      <w:pPr>
        <w:spacing w:after="0" w:line="175"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b w:val="1"/>
          <w:bCs w:val="1"/>
          <w:color w:val="auto"/>
        </w:rPr>
        <w:t xml:space="preserve">Michael Vollkommer </w:t>
      </w:r>
      <w:r>
        <w:rPr>
          <w:rFonts w:ascii="Arial" w:cs="Arial" w:eastAsia="Arial" w:hAnsi="Arial"/>
          <w:sz w:val="15"/>
          <w:szCs w:val="15"/>
          <w:color w:val="auto"/>
        </w:rPr>
        <w:t>has served as Chief Financial Officer of Priority since December 2018. Mr. Vollkommer is a CPA who has over 30 years of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 in a variety of industries, serving in executive-level positions within several global corporations. Prior to joining Priority, Mr. Vollkommer most recently served as the Chief Financial Officer of Vesta Corporation, a worldwide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w:t>
      </w:r>
    </w:p>
    <w:p>
      <w:pPr>
        <w:spacing w:after="0" w:line="142"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b w:val="1"/>
          <w:bCs w:val="1"/>
          <w:color w:val="auto"/>
        </w:rPr>
        <w:t xml:space="preserve">Sean Kiewiet </w:t>
      </w:r>
      <w:r>
        <w:rPr>
          <w:rFonts w:ascii="Arial" w:cs="Arial" w:eastAsia="Arial" w:hAnsi="Arial"/>
          <w:sz w:val="17"/>
          <w:szCs w:val="17"/>
          <w:color w:val="auto"/>
        </w:rPr>
        <w:t>co-founded Priority after serving as the Director of Technology for Cornerstone Payment Systems. Mr. Kiewiet has served as Chief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Priority since August 2005. Mr. Kiewiet previously worked in software development and architecture for Hypercom and Syntellect. Mr. Kiewiet’s technology development background drives his vision for Priority to develop high-performing teams that deliberately target technologies at areas where the industry has been complacent and customers have been under-served.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09" w:name="page110"/>
    <w:bookmarkEnd w:id="109"/>
    <w:p>
      <w:pPr>
        <w:spacing w:after="0" w:line="316" w:lineRule="auto"/>
        <w:rPr>
          <w:sz w:val="20"/>
          <w:szCs w:val="20"/>
          <w:color w:val="auto"/>
        </w:rPr>
      </w:pPr>
      <w:r>
        <w:rPr>
          <w:rFonts w:ascii="Arial" w:cs="Arial" w:eastAsia="Arial" w:hAnsi="Arial"/>
          <w:sz w:val="15"/>
          <w:szCs w:val="15"/>
          <w:b w:val="1"/>
          <w:bCs w:val="1"/>
          <w:color w:val="auto"/>
        </w:rPr>
        <w:t xml:space="preserve">Timothy Schneible </w:t>
      </w:r>
      <w:r>
        <w:rPr>
          <w:rFonts w:ascii="Arial" w:cs="Arial" w:eastAsia="Arial" w:hAnsi="Arial"/>
          <w:sz w:val="15"/>
          <w:szCs w:val="15"/>
          <w:color w:val="auto"/>
        </w:rPr>
        <w:t>has served as Priority’s Chief Operating Officer since October 2018. Prior to joining Priority, Mr. Schneible spent 18 years holding operational</w:t>
      </w:r>
      <w:r>
        <w:rPr>
          <w:rFonts w:ascii="Arial" w:cs="Arial" w:eastAsia="Arial" w:hAnsi="Arial"/>
          <w:sz w:val="15"/>
          <w:szCs w:val="15"/>
          <w:b w:val="1"/>
          <w:bCs w:val="1"/>
          <w:color w:val="auto"/>
        </w:rPr>
        <w:t xml:space="preserve"> </w:t>
      </w:r>
      <w:r>
        <w:rPr>
          <w:rFonts w:ascii="Arial" w:cs="Arial" w:eastAsia="Arial" w:hAnsi="Arial"/>
          <w:sz w:val="15"/>
          <w:szCs w:val="15"/>
          <w:color w:val="auto"/>
        </w:rPr>
        <w:t>and leadership positions in risk management, fraud and credit operations, call center management, and executive officer roles in payment operations for organizations including Bank One Corp., Barclaycard U.S., Worldpay, Inc., and Merchant e-Solutions, Inc. Between March 2015 and October 2018, Mr. Schneible served as Executive Vice President of Operations at Merchant e-Solutions, Inc. He previously served as a Senior Vice President at WorldPay, Inc. since June 2010.</w:t>
      </w:r>
    </w:p>
    <w:p>
      <w:pPr>
        <w:spacing w:after="0" w:line="13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 xml:space="preserve">Cindy O’Neill </w:t>
      </w:r>
      <w:r>
        <w:rPr>
          <w:rFonts w:ascii="Arial" w:cs="Arial" w:eastAsia="Arial" w:hAnsi="Arial"/>
          <w:sz w:val="17"/>
          <w:szCs w:val="17"/>
          <w:color w:val="auto"/>
        </w:rPr>
        <w:t>has served as Priority’s President of Commercial Payments since March 2017. From July 2016 to March 2017, Ms. O’Neill worked as a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Ms. O’Neill served as Managing Director, Group Head of Cash Management Product, at Bank of the West. From June 2010 to February 2015, Ms. O’Neill served as the Head of Global Product Management and Region Head of U.S. Commercial Business at Visa. Prior to assuming those positions, Ms. O’Neill spent 17 years in treasury management, holding leadership positions at Wells Fargo (February 2007 to June 2010) and Bank of America (October 1994 to February 2007).</w:t>
      </w:r>
    </w:p>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b w:val="1"/>
          <w:bCs w:val="1"/>
          <w:color w:val="auto"/>
        </w:rPr>
        <w:t xml:space="preserve">David McMiller </w:t>
      </w:r>
      <w:r>
        <w:rPr>
          <w:rFonts w:ascii="Arial" w:cs="Arial" w:eastAsia="Arial" w:hAnsi="Arial"/>
          <w:sz w:val="17"/>
          <w:szCs w:val="17"/>
          <w:color w:val="auto"/>
        </w:rPr>
        <w:t>has served as Priority’s President of Commercial Business Services since January 2015. Mr. McMiller previously served as VP of Association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Franchise at Priority since October 2008. Mr. McMiller brings over thirty-five years of executive development experience after serving as the Executive Vice President for NOVA and development roles for Uptons and Kohl’s.</w:t>
      </w:r>
    </w:p>
    <w:p>
      <w:pPr>
        <w:spacing w:after="0" w:line="16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Mr. Yazdian was previously President &amp; CEO of Cynergy Data from</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color w:val="auto"/>
        </w:rPr>
        <w:t xml:space="preserve">Chris Prince </w:t>
      </w:r>
      <w:r>
        <w:rPr>
          <w:rFonts w:ascii="Arial" w:cs="Arial" w:eastAsia="Arial" w:hAnsi="Arial"/>
          <w:sz w:val="17"/>
          <w:szCs w:val="17"/>
          <w:color w:val="auto"/>
        </w:rPr>
        <w:t>has served as Priority’s General Counsel since August 2010. Prior to joining Priority, Mr. Prince was Counsel at the international law firm of King &amp;</w:t>
      </w:r>
      <w:r>
        <w:rPr>
          <w:rFonts w:ascii="Arial" w:cs="Arial" w:eastAsia="Arial" w:hAnsi="Arial"/>
          <w:sz w:val="17"/>
          <w:szCs w:val="17"/>
          <w:b w:val="1"/>
          <w:bCs w:val="1"/>
          <w:color w:val="auto"/>
        </w:rPr>
        <w:t xml:space="preserve"> </w:t>
      </w:r>
      <w:r>
        <w:rPr>
          <w:rFonts w:ascii="Arial" w:cs="Arial" w:eastAsia="Arial" w:hAnsi="Arial"/>
          <w:sz w:val="17"/>
          <w:szCs w:val="17"/>
          <w:color w:val="auto"/>
        </w:rPr>
        <w:t>Spalding LLP, where he was a member of the Corporate, Technology and Global Transactions practice groups, focusing on M&amp;A, joint venture and strategic alliances for domestic and international licensing of intellectual property and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Non-Employee Directors</w:t>
      </w:r>
    </w:p>
    <w:p>
      <w:pPr>
        <w:spacing w:after="0" w:line="2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b w:val="1"/>
          <w:bCs w:val="1"/>
          <w:color w:val="auto"/>
        </w:rPr>
        <w:t xml:space="preserve">Marc Manuel </w:t>
      </w:r>
      <w:r>
        <w:rPr>
          <w:rFonts w:ascii="Arial" w:cs="Arial" w:eastAsia="Arial" w:hAnsi="Arial"/>
          <w:sz w:val="16"/>
          <w:szCs w:val="16"/>
          <w:color w:val="auto"/>
        </w:rPr>
        <w:t>served as Chief Financial Officer and Director of M I from July 12, 2016 until the Business Combination. Mr. Manuel served as a Managing</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for Magna Management 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59"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 xml:space="preserve">William Gahan </w:t>
      </w:r>
      <w:r>
        <w:rPr>
          <w:rFonts w:ascii="Arial" w:cs="Arial" w:eastAsia="Arial" w:hAnsi="Arial"/>
          <w:sz w:val="17"/>
          <w:szCs w:val="17"/>
          <w:color w:val="auto"/>
        </w:rPr>
        <w:t>is a risk management specialist focused on institutional fixed income asset management and debt capital markets. Most recently, from 2011 until</w:t>
      </w:r>
      <w:r>
        <w:rPr>
          <w:rFonts w:ascii="Arial" w:cs="Arial" w:eastAsia="Arial" w:hAnsi="Arial"/>
          <w:sz w:val="17"/>
          <w:szCs w:val="17"/>
          <w:b w:val="1"/>
          <w:bCs w:val="1"/>
          <w:color w:val="auto"/>
        </w:rPr>
        <w:t xml:space="preserve"> </w:t>
      </w:r>
      <w:r>
        <w:rPr>
          <w:rFonts w:ascii="Arial" w:cs="Arial" w:eastAsia="Arial" w:hAnsi="Arial"/>
          <w:sz w:val="17"/>
          <w:szCs w:val="17"/>
          <w:color w:val="auto"/>
        </w:rPr>
        <w:t>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110" w:name="page111"/>
    <w:bookmarkEnd w:id="110"/>
    <w:p>
      <w:pPr>
        <w:spacing w:after="0" w:line="302" w:lineRule="auto"/>
        <w:rPr>
          <w:sz w:val="20"/>
          <w:szCs w:val="20"/>
          <w:color w:val="auto"/>
        </w:rPr>
      </w:pPr>
      <w:r>
        <w:rPr>
          <w:rFonts w:ascii="Arial" w:cs="Arial" w:eastAsia="Arial" w:hAnsi="Arial"/>
          <w:sz w:val="15"/>
          <w:szCs w:val="15"/>
          <w:b w:val="1"/>
          <w:bCs w:val="1"/>
          <w:color w:val="auto"/>
        </w:rPr>
        <w:t xml:space="preserve">Matthew Kearney </w:t>
      </w:r>
      <w:r>
        <w:rPr>
          <w:rFonts w:ascii="Arial" w:cs="Arial" w:eastAsia="Arial" w:hAnsi="Arial"/>
          <w:sz w:val="15"/>
          <w:szCs w:val="15"/>
          <w:color w:val="auto"/>
        </w:rPr>
        <w:t>has been an Operating Partner at Rockbridge Growth Equity, LLC since March 2015. Mr. Kearney is responsible for driving a range of</w:t>
      </w:r>
      <w:r>
        <w:rPr>
          <w:rFonts w:ascii="Arial" w:cs="Arial" w:eastAsia="Arial" w:hAnsi="Arial"/>
          <w:sz w:val="15"/>
          <w:szCs w:val="15"/>
          <w:b w:val="1"/>
          <w:bCs w:val="1"/>
          <w:color w:val="auto"/>
        </w:rPr>
        <w:t xml:space="preserve"> </w:t>
      </w:r>
      <w:r>
        <w:rPr>
          <w:rFonts w:ascii="Arial" w:cs="Arial" w:eastAsia="Arial" w:hAnsi="Arial"/>
          <w:sz w:val="15"/>
          <w:szCs w:val="15"/>
          <w:color w:val="auto"/>
        </w:rPr>
        <w:t>strategic and operational improvement and initiatives across the firm while also overseeing Rockbridge’s media portfolio and advising on new media investments. During his time at Rockbridge, Mr. Kearney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TEL) and had served as an advisor to the board of directors of M I. Mr. Kearney previously served as CEO of Screenvision, a cinema advertising and media distribution company. Mr. Kearney holds a B.S. degree in Aeronautical Engineering from the University of Manchester and an MBA from London Business School.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Thomas Priore, our President, Chief Executive Officer and Chairman, and John Priore, our Vice-Chairman, are brothers.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29"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As a result of our Common Stock being listed on NASDAQ, Priority adheres to the rules of such exchange in determining whether a director is independent. The board of directors has consulted, and will consult, with its counsel to ensure that the board’s determinations are consistent with those rules and all relevant securities and other laws and regulations regarding the independence of directors. The NASDAQ listing standards generally define an “independent director” as a person, other than an executive officer of a company or any other individual having a relationship which, in the opinion of the issuer’s board of directors, would interfere with the exercise of independent judgment in carrying out the responsibilities of a director. The parties have determined that Messrs. Manuel, Gahan and Kearney will be considered independent directors. Our independent directors will have regularly scheduled meetings at which only independent directors are present.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Status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Thomas Priore continues to control a majority of the voting power of our outstanding Common Stock.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w:t>
      </w:r>
    </w:p>
    <w:p>
      <w:pPr>
        <w:spacing w:after="0" w:line="154" w:lineRule="exact"/>
        <w:rPr>
          <w:sz w:val="20"/>
          <w:szCs w:val="20"/>
          <w:color w:val="auto"/>
        </w:rPr>
      </w:pPr>
    </w:p>
    <w:p>
      <w:pPr>
        <w:ind w:left="640" w:hanging="321"/>
        <w:spacing w:after="0"/>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requirement that a majority of our board of directors consist of independent directors;</w:t>
      </w:r>
    </w:p>
    <w:p>
      <w:pPr>
        <w:spacing w:after="0" w:line="249" w:lineRule="exact"/>
        <w:rPr>
          <w:rFonts w:ascii="Arial" w:cs="Arial" w:eastAsia="Arial" w:hAnsi="Arial"/>
          <w:sz w:val="17"/>
          <w:szCs w:val="17"/>
          <w:color w:val="auto"/>
        </w:rPr>
      </w:pPr>
    </w:p>
    <w:p>
      <w:pPr>
        <w:ind w:left="640" w:right="200" w:hanging="321"/>
        <w:spacing w:after="0" w:line="28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requirement that we have a Nominating/Corporate Governance Committee that is composed entirely of independent directors with a written charter addressing the Committee’s purpose and responsibilities; and</w:t>
      </w:r>
    </w:p>
    <w:p>
      <w:pPr>
        <w:spacing w:after="0" w:line="184" w:lineRule="exact"/>
        <w:rPr>
          <w:rFonts w:ascii="Arial" w:cs="Arial" w:eastAsia="Arial" w:hAnsi="Arial"/>
          <w:sz w:val="17"/>
          <w:szCs w:val="17"/>
          <w:color w:val="auto"/>
        </w:rPr>
      </w:pPr>
    </w:p>
    <w:p>
      <w:pPr>
        <w:ind w:left="640" w:right="620" w:hanging="321"/>
        <w:spacing w:after="0" w:line="288"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requirement that we have a Compensation Committee that is composed entirely of independent directors with a written charter addressing the committee’s purpose and responsibilities</w:t>
      </w:r>
    </w:p>
    <w:p>
      <w:pPr>
        <w:spacing w:after="0" w:line="185"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We utilize and intend to continue to utilize these exemptions. As a result, we do not currently have a majority of independent directors and our Compensation Committee and Nominating/Corporate Governance Committee does not consist entirely of independent directors. Accordingly, you will not have the same protections afforded to stockholders of companies that are subject to all of the corporate governance requirements of NASDAQ.</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29"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board of directors oversees the risk management activities designed and implemented by our management. Our board of directors executes its oversight responsibility both directly and through its committees. Our board of directors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of directors and the audit committee. Our board of directors delegates to the audit committee oversight of its risk management process, and our other committees also consider risk as they perform their respective committee responsibilities. All committees report to the board of directors as appropriate, including when a matter rises to the level of material or enterprise risk.</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75" w:right="27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color w:val="auto"/>
        </w:rPr>
        <w:t>Meetings and Committees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Priority has established a separately standing audit committee, corporate governance and nominating committee and compensation committee.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Information</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Priority has established an audit committee comprised of independent directors. The audit committee consists of Marc Manuel, William Gahan and Matthew Kearney. Each of the member of the audit committee is independent under the applicable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Experts on Audit Committee</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Mr. Manuel serves as a financial expert on the Audit Committee.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Governance and Nominating Committee Information</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Priority has established a corporate governance and nominating committee of the board of directors comprised of Thomas Priore, John Priore and William Gahan, with Thomas Priore as the chairman of the corporate governance and nominating committee. Each member of the corporate governance and nominating committee is independent under the applicable listing standards. The corporate governance and nominating committee has a written charter. The corporate governance and nominating committee is responsible for overseeing the selection of persons to be nominated to serve on our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Guidelines for Selecting Director Nominees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corporate governance and nominating committee considers persons identified by its members, management, stockholders, investment bankers and others. The guidelines for selecting nominees, which are specified in the corporate governance and nominating committee charter, generally provide that persons to be nominated:</w:t>
      </w:r>
    </w:p>
    <w:p>
      <w:pPr>
        <w:spacing w:after="0" w:line="173" w:lineRule="exact"/>
        <w:rPr>
          <w:sz w:val="20"/>
          <w:szCs w:val="20"/>
          <w:color w:val="auto"/>
        </w:rPr>
      </w:pPr>
    </w:p>
    <w:p>
      <w:pPr>
        <w:ind w:left="640" w:hanging="32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should have demonstrated notable or significant achievements in business, education or public service;</w:t>
      </w:r>
    </w:p>
    <w:p>
      <w:pPr>
        <w:spacing w:after="0" w:line="223" w:lineRule="exact"/>
        <w:rPr>
          <w:rFonts w:ascii="Arial" w:cs="Arial" w:eastAsia="Arial" w:hAnsi="Arial"/>
          <w:sz w:val="17"/>
          <w:szCs w:val="17"/>
          <w:color w:val="auto"/>
        </w:rPr>
      </w:pPr>
    </w:p>
    <w:p>
      <w:pPr>
        <w:ind w:left="640" w:right="100" w:hanging="321"/>
        <w:spacing w:after="0" w:line="288"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58" w:lineRule="exact"/>
        <w:rPr>
          <w:rFonts w:ascii="Arial" w:cs="Arial" w:eastAsia="Arial" w:hAnsi="Arial"/>
          <w:sz w:val="17"/>
          <w:szCs w:val="17"/>
          <w:color w:val="auto"/>
        </w:rPr>
      </w:pPr>
    </w:p>
    <w:p>
      <w:pPr>
        <w:ind w:left="640" w:hanging="321"/>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stockholders.</w:t>
      </w:r>
    </w:p>
    <w:p>
      <w:pPr>
        <w:spacing w:after="0" w:line="23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corporate governance and nominating committee considers a number of qualifications relating to management and leadership experience, background and integrity and professionalism in evaluating a person’s candidacy for membership on the board of directors. The corporate governance and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corporate governance and nominating committee does not distinguish among nominees recommended by stockholders and other persons.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color w:val="auto"/>
        </w:rPr>
        <w:t>Compensation Committee Information</w:t>
      </w:r>
    </w:p>
    <w:p>
      <w:pPr>
        <w:spacing w:after="0" w:line="229"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board of directors of Priority has established a compensation committee consisting of Thomas Priore, John Priore and William Gahan, with Thomas Priore as the chairman of the compensation committee. The compensation committee has a written charter. The purpose of the compensation committee is to review and approve compensation paid to our officers and directors and to administer incentive compensation plans, including authority to make and modify awards under such plans.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Priority has adopted a Code of Ethics that applies to all of its employees, officers and directors. This includes our principal executive officer, principal financial officer, and principal accounting officer or controller, or persons performing similar functions. The full text of the Code of Ethics is posted on its website at </w:t>
      </w:r>
      <w:r>
        <w:rPr>
          <w:rFonts w:ascii="Arial" w:cs="Arial" w:eastAsia="Arial" w:hAnsi="Arial"/>
          <w:sz w:val="16"/>
          <w:szCs w:val="16"/>
          <w:i w:val="1"/>
          <w:iCs w:val="1"/>
          <w:color w:val="auto"/>
        </w:rPr>
        <w:t>www.prth.com</w:t>
      </w:r>
      <w:r>
        <w:rPr>
          <w:rFonts w:ascii="Arial" w:cs="Arial" w:eastAsia="Arial" w:hAnsi="Arial"/>
          <w:sz w:val="16"/>
          <w:szCs w:val="16"/>
          <w:color w:val="auto"/>
        </w:rPr>
        <w:t>. We intend to disclose on our website any future amendments of the Code of Ethics or waivers that exempt any principal executive officer,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principal accounting officer or controller, persons performing similar functions, or our directors from provisions in the Code of Ethics.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and Interested Party Communications</w:t>
      </w:r>
    </w:p>
    <w:p>
      <w:pPr>
        <w:spacing w:after="0" w:line="229" w:lineRule="exact"/>
        <w:rPr>
          <w:sz w:val="20"/>
          <w:szCs w:val="20"/>
          <w:color w:val="auto"/>
        </w:rPr>
      </w:pPr>
    </w:p>
    <w:p>
      <w:pPr>
        <w:jc w:val="both"/>
        <w:ind w:right="480"/>
        <w:spacing w:after="0" w:line="272" w:lineRule="auto"/>
        <w:rPr>
          <w:sz w:val="20"/>
          <w:szCs w:val="20"/>
          <w:color w:val="auto"/>
        </w:rPr>
      </w:pPr>
      <w:r>
        <w:rPr>
          <w:rFonts w:ascii="Arial" w:cs="Arial" w:eastAsia="Arial" w:hAnsi="Arial"/>
          <w:sz w:val="17"/>
          <w:szCs w:val="17"/>
          <w:color w:val="auto"/>
        </w:rPr>
        <w:t>Priority’s board of directors does not provide a process for stockholders or other interested parties to send communications to the board of directors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w:t>
      </w:r>
    </w:p>
    <w:p>
      <w:pPr>
        <w:spacing w:after="0" w:line="229"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i w:val="1"/>
          <w:iCs w:val="1"/>
          <w:color w:val="auto"/>
        </w:rPr>
        <w:t>The following section provides compensation information pursuant to the scaled disclosure rules applicable to “emerging growth companies” under the rules of the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23"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Priority has opted to comply with the executive compensation disclosure rules applicable to “emerging growth companies,” as such term is under the rules promulgated under Securities Act.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2017 were:</w:t>
      </w:r>
    </w:p>
    <w:p>
      <w:pPr>
        <w:spacing w:after="0" w:line="177" w:lineRule="exact"/>
        <w:rPr>
          <w:sz w:val="20"/>
          <w:szCs w:val="20"/>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Thomas Priore, its Executive Chairman in 2017 and, as of December 1, 2018, its President, Chief Executive Officer and Chairman,</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John Priore, its President and Chief Executive Officer in 2017 and, as of December 1, 2018, its Vice-Chairman, and</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Afshin Yazdian, its President of Core Acquiring.</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Compensation Table</w:t>
      </w:r>
    </w:p>
    <w:p>
      <w:pPr>
        <w:spacing w:after="0" w:line="223"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color w:val="auto"/>
        </w:rPr>
        <w:t>The following table presents summary information regarding the total compensation for Priority’s fiscal year ended December 31, 2017 for the Named Executive Officers.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Nonequity</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Deferred</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Stock</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Option</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Incentive Plan</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w w:val="98"/>
              </w:rPr>
              <w:t>Compensation</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All Other</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580" w:type="dxa"/>
            <w:vAlign w:val="bottom"/>
            <w:gridSpan w:val="2"/>
          </w:tcPr>
          <w:p>
            <w:pPr>
              <w:spacing w:after="0"/>
              <w:rPr>
                <w:sz w:val="20"/>
                <w:szCs w:val="20"/>
                <w:color w:val="auto"/>
              </w:rPr>
            </w:pPr>
            <w:r>
              <w:rPr>
                <w:rFonts w:ascii="Arial" w:cs="Arial" w:eastAsia="Arial" w:hAnsi="Arial"/>
                <w:sz w:val="17"/>
                <w:szCs w:val="17"/>
                <w:b w:val="1"/>
                <w:bCs w:val="1"/>
                <w:color w:val="auto"/>
                <w:w w:val="98"/>
              </w:rPr>
              <w:t>Name and Principal</w:t>
            </w:r>
          </w:p>
        </w:tc>
        <w:tc>
          <w:tcPr>
            <w:tcW w:w="84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7"/>
                <w:szCs w:val="17"/>
                <w:b w:val="1"/>
                <w:bCs w:val="1"/>
                <w:color w:val="auto"/>
              </w:rPr>
              <w:t>Salary</w:t>
            </w:r>
          </w:p>
        </w:tc>
        <w:tc>
          <w:tcPr>
            <w:tcW w:w="1040" w:type="dxa"/>
            <w:vAlign w:val="bottom"/>
          </w:tcPr>
          <w:p>
            <w:pPr>
              <w:ind w:left="100"/>
              <w:spacing w:after="0"/>
              <w:rPr>
                <w:sz w:val="20"/>
                <w:szCs w:val="20"/>
                <w:color w:val="auto"/>
              </w:rPr>
            </w:pPr>
            <w:r>
              <w:rPr>
                <w:rFonts w:ascii="Arial" w:cs="Arial" w:eastAsia="Arial" w:hAnsi="Arial"/>
                <w:sz w:val="17"/>
                <w:szCs w:val="17"/>
                <w:b w:val="1"/>
                <w:bCs w:val="1"/>
                <w:color w:val="auto"/>
              </w:rPr>
              <w:t>Bonus</w:t>
            </w: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Awards</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Awards</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w w:val="98"/>
              </w:rPr>
              <w:t>Compensation</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Earnings</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Compensation</w:t>
            </w: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158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840" w:type="dxa"/>
            <w:vAlign w:val="bottom"/>
          </w:tcPr>
          <w:p>
            <w:pPr>
              <w:jc w:val="right"/>
              <w:ind w:right="353"/>
              <w:spacing w:after="0"/>
              <w:rPr>
                <w:sz w:val="20"/>
                <w:szCs w:val="20"/>
                <w:color w:val="auto"/>
              </w:rPr>
            </w:pPr>
            <w:r>
              <w:rPr>
                <w:rFonts w:ascii="Arial" w:cs="Arial" w:eastAsia="Arial" w:hAnsi="Arial"/>
                <w:sz w:val="17"/>
                <w:szCs w:val="17"/>
                <w:b w:val="1"/>
                <w:bCs w:val="1"/>
                <w:color w:val="auto"/>
              </w:rPr>
              <w:t>Year</w:t>
            </w:r>
          </w:p>
        </w:tc>
        <w:tc>
          <w:tcPr>
            <w:tcW w:w="1020" w:type="dxa"/>
            <w:vAlign w:val="bottom"/>
          </w:tcPr>
          <w:p>
            <w:pPr>
              <w:ind w:left="8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300" w:type="dxa"/>
            <w:vAlign w:val="bottom"/>
          </w:tcPr>
          <w:p>
            <w:pPr>
              <w:ind w:left="120"/>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4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104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Thomas Priore</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500,000</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250,000</w:t>
            </w: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i w:val="1"/>
                <w:iCs w:val="1"/>
                <w:color w:val="auto"/>
                <w:w w:val="97"/>
              </w:rPr>
              <w:t>Executive Chairman*</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John Priore</w:t>
            </w:r>
          </w:p>
        </w:tc>
        <w:tc>
          <w:tcPr>
            <w:tcW w:w="840" w:type="dxa"/>
            <w:vAlign w:val="bottom"/>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tcPr>
          <w:p>
            <w:pPr>
              <w:jc w:val="right"/>
              <w:spacing w:after="0"/>
              <w:rPr>
                <w:sz w:val="20"/>
                <w:szCs w:val="20"/>
                <w:color w:val="auto"/>
              </w:rPr>
            </w:pPr>
            <w:r>
              <w:rPr>
                <w:rFonts w:ascii="Arial" w:cs="Arial" w:eastAsia="Arial" w:hAnsi="Arial"/>
                <w:sz w:val="17"/>
                <w:szCs w:val="17"/>
                <w:color w:val="auto"/>
              </w:rPr>
              <w:t>467,200</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tcPr>
          <w:p>
            <w:pPr>
              <w:ind w:left="680"/>
              <w:spacing w:after="0"/>
              <w:rPr>
                <w:sz w:val="20"/>
                <w:szCs w:val="20"/>
                <w:color w:val="auto"/>
              </w:rPr>
            </w:pPr>
            <w:r>
              <w:rPr>
                <w:rFonts w:ascii="Arial" w:cs="Arial" w:eastAsia="Arial" w:hAnsi="Arial"/>
                <w:sz w:val="17"/>
                <w:szCs w:val="17"/>
                <w:color w:val="auto"/>
              </w:rPr>
              <w:t>—</w:t>
            </w:r>
          </w:p>
        </w:tc>
        <w:tc>
          <w:tcPr>
            <w:tcW w:w="940" w:type="dxa"/>
            <w:vAlign w:val="bottom"/>
          </w:tcPr>
          <w:p>
            <w:pPr>
              <w:ind w:left="6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3"/>
              <w:spacing w:after="0"/>
              <w:rPr>
                <w:sz w:val="20"/>
                <w:szCs w:val="20"/>
                <w:color w:val="auto"/>
              </w:rPr>
            </w:pPr>
            <w:r>
              <w:rPr>
                <w:rFonts w:ascii="Arial" w:cs="Arial" w:eastAsia="Arial" w:hAnsi="Arial"/>
                <w:sz w:val="17"/>
                <w:szCs w:val="17"/>
                <w:color w:val="auto"/>
              </w:rPr>
              <w:t>350,000</w:t>
            </w:r>
          </w:p>
        </w:tc>
        <w:tc>
          <w:tcPr>
            <w:tcW w:w="1280" w:type="dxa"/>
            <w:vAlign w:val="bottom"/>
          </w:tcPr>
          <w:p>
            <w:pPr>
              <w:ind w:left="100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20,533(1)</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837,733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w w:val="96"/>
              </w:rPr>
              <w:t>President and CEO**</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Afshin Yazdian</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2017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381,923</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232,500</w:t>
            </w:r>
          </w:p>
        </w:tc>
        <w:tc>
          <w:tcPr>
            <w:tcW w:w="128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20,730(2)</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635,153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60" w:type="dxa"/>
            <w:vAlign w:val="bottom"/>
          </w:tcPr>
          <w:p>
            <w:pPr>
              <w:spacing w:after="0"/>
              <w:rPr>
                <w:sz w:val="20"/>
                <w:szCs w:val="20"/>
                <w:color w:val="auto"/>
              </w:rPr>
            </w:pPr>
            <w:r>
              <w:rPr>
                <w:rFonts w:ascii="Arial" w:cs="Arial" w:eastAsia="Arial" w:hAnsi="Arial"/>
                <w:sz w:val="17"/>
                <w:szCs w:val="17"/>
                <w:i w:val="1"/>
                <w:iCs w:val="1"/>
                <w:color w:val="auto"/>
              </w:rPr>
              <w:t>President of Core</w:t>
            </w: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60" w:type="dxa"/>
            <w:vAlign w:val="bottom"/>
          </w:tcPr>
          <w:p>
            <w:pPr>
              <w:ind w:left="160"/>
              <w:spacing w:after="0"/>
              <w:rPr>
                <w:sz w:val="20"/>
                <w:szCs w:val="20"/>
                <w:color w:val="auto"/>
              </w:rPr>
            </w:pPr>
            <w:r>
              <w:rPr>
                <w:rFonts w:ascii="Arial" w:cs="Arial" w:eastAsia="Arial" w:hAnsi="Arial"/>
                <w:sz w:val="17"/>
                <w:szCs w:val="17"/>
                <w:i w:val="1"/>
                <w:iCs w:val="1"/>
                <w:color w:val="auto"/>
              </w:rPr>
              <w:t>Acquiring</w:t>
            </w: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3460" w:firstLine="5"/>
        <w:spacing w:after="0" w:line="298" w:lineRule="auto"/>
        <w:tabs>
          <w:tab w:leader="none" w:pos="131"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Executive Chairman in 2017 and, as of December 1, 2018, its President, Chief Executive Officer and Chairman. </w:t>
      </w:r>
      <w:r>
        <w:rPr>
          <w:rFonts w:ascii="Arial" w:cs="Arial" w:eastAsia="Arial" w:hAnsi="Arial"/>
          <w:sz w:val="19"/>
          <w:szCs w:val="19"/>
          <w:color w:val="auto"/>
        </w:rPr>
        <w:t xml:space="preserve">** </w:t>
      </w:r>
      <w:r>
        <w:rPr>
          <w:rFonts w:ascii="Arial" w:cs="Arial" w:eastAsia="Arial" w:hAnsi="Arial"/>
          <w:sz w:val="16"/>
          <w:szCs w:val="16"/>
          <w:color w:val="auto"/>
        </w:rPr>
        <w:t>President and Chief Executive Officer in 2017 and, as of December 1, 2018, its Vice-Chairman.</w:t>
      </w:r>
    </w:p>
    <w:p>
      <w:pPr>
        <w:spacing w:after="0" w:line="166" w:lineRule="exact"/>
        <w:rPr>
          <w:sz w:val="20"/>
          <w:szCs w:val="20"/>
          <w:color w:val="auto"/>
        </w:rPr>
      </w:pPr>
    </w:p>
    <w:p>
      <w:pPr>
        <w:ind w:left="320" w:hanging="315"/>
        <w:spacing w:after="0" w:line="288"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(i) Priority’s payment of Mr. John Priore’s health insurance premiums in the amount of $9,933 and (ii) a 401(k) plan matching contribution in the amount of $10,600.</w:t>
      </w:r>
    </w:p>
    <w:p>
      <w:pPr>
        <w:spacing w:after="0" w:line="158" w:lineRule="exact"/>
        <w:rPr>
          <w:rFonts w:ascii="Arial" w:cs="Arial" w:eastAsia="Arial" w:hAnsi="Arial"/>
          <w:sz w:val="17"/>
          <w:szCs w:val="17"/>
          <w:color w:val="auto"/>
        </w:rPr>
      </w:pPr>
    </w:p>
    <w:p>
      <w:pPr>
        <w:ind w:left="320" w:hanging="315"/>
        <w:spacing w:after="0" w:line="288" w:lineRule="auto"/>
        <w:tabs>
          <w:tab w:leader="none" w:pos="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(i) Priority’s payment of Mr. Yazdian’s health insurance premiums in the amount of $10,130 and (ii) a 401(k) plan matching contribution in the amount of $10,600.</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0" w:gutter="0" w:footer="0" w:header="0"/>
        </w:sectPr>
      </w:pPr>
    </w:p>
    <w:bookmarkStart w:id="113" w:name="page114"/>
    <w:bookmarkEnd w:id="113"/>
    <w:p>
      <w:pPr>
        <w:spacing w:after="0"/>
        <w:rPr>
          <w:sz w:val="20"/>
          <w:szCs w:val="20"/>
          <w:color w:val="auto"/>
        </w:rPr>
      </w:pPr>
      <w:r>
        <w:rPr>
          <w:rFonts w:ascii="Arial" w:cs="Arial" w:eastAsia="Arial" w:hAnsi="Arial"/>
          <w:sz w:val="17"/>
          <w:szCs w:val="17"/>
          <w:i w:val="1"/>
          <w:iCs w:val="1"/>
          <w:color w:val="auto"/>
        </w:rPr>
        <w:t>Narrative Disclosure to Summary Compensation Table</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Thomas Priore</w:t>
      </w:r>
    </w:p>
    <w:p>
      <w:pPr>
        <w:spacing w:after="0" w:line="22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Mr. Thomas Priore is not employed by the Employers. In 2017, he served as Executive Chairman of Priority as an independent contractor. He is currently our President and Chief Executive Officer.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Thomas Priore Director Agreement may be terminated at any time by mutual written agreement of the parties or by any party for cause in the event the other party materially breaches its duties and obligations or is in default of any obligation. Upon any termination of the Thomas Priore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John Priore</w:t>
      </w:r>
    </w:p>
    <w:p>
      <w:pPr>
        <w:spacing w:after="0" w:line="223" w:lineRule="exact"/>
        <w:rPr>
          <w:sz w:val="20"/>
          <w:szCs w:val="20"/>
          <w:color w:val="auto"/>
        </w:rPr>
      </w:pPr>
    </w:p>
    <w:p>
      <w:pPr>
        <w:ind w:right="140"/>
        <w:spacing w:after="0" w:line="288" w:lineRule="auto"/>
        <w:rPr>
          <w:sz w:val="20"/>
          <w:szCs w:val="20"/>
          <w:color w:val="auto"/>
        </w:rPr>
      </w:pPr>
      <w:r>
        <w:rPr>
          <w:rFonts w:ascii="Arial" w:cs="Arial" w:eastAsia="Arial" w:hAnsi="Arial"/>
          <w:sz w:val="17"/>
          <w:szCs w:val="17"/>
          <w:color w:val="auto"/>
        </w:rPr>
        <w:t>Until November 30, 2018, Mr. John Priore served as our President and Chief Executive Officer. Effective as of December 1, 2018, Mr. John Priore was appointed as our Vice-Chairman.</w:t>
      </w:r>
    </w:p>
    <w:p>
      <w:pPr>
        <w:spacing w:after="0" w:line="15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Mr. John Priore has been a party to an employment agreement among the Employers, and Priority, dated May 21, 2014 (which we refer to as the “John Priore Employment Agreement”). In connection with the change in Mr. John Priore’s position with us, Mr. John Priore entered into an amendment to the John Priore Employment Agreement, dated November 13, 2018 (which we refer to as the “Priore Amendment”) as well as a new Director Agreement with the Company, dated December 1, 2018 (which we refer to as the “John Priore Director Agreement”).</w:t>
      </w:r>
    </w:p>
    <w:p>
      <w:pPr>
        <w:spacing w:after="0" w:line="177"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Pursuant to the John Priore Director Agreement and the John Priore Employment Agreement, as amended by the Priore Amendment, Mr. John Priore will receive a monthly fee of $20,833.34 ($250,000 per year) as Vice-Chairman. He is also eligible to receive a performance fee of up to $12,500 per quarter (up to $50,000 per year) and an additional annual fee of up to $50,000, each in the discretion of our board of directors. Payment of the monthly fee is subject to applicable restrictions under the debt and equity financing agreements of the Company and its subsidiaries. If such restrictions prohibit payment of the monthly fee such amount will accrue interest at a rate of 6% per annum until such amount is permitted to be paid. The John Priore Director Agreement may be terminated at any time by mutual written agreement of the parties or by any party for cause in the event the other party materially breaches its duties and obligations or is in default of any obligation. If Mr. John Priore ceases to be a director of the Company for any reason other than a reason that would constitute a removal for Cause (as provided under the John Priore Employment Agreement) prior to November 30, 2020, Mr. John Priore will receive a lump sum equal to the monthly fee that he would have been entitled to receive through November 30, 2020, subject to his compliance with restrictive covenants included in the John Priore Employment Agreement.</w:t>
      </w:r>
    </w:p>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Pursuant to the John Priore Employment Agreement, as amended by the Priore Amendment, with respect to equity securities of the Company held by Mr. John Priore, in any year following a termination of Mr. John Priore’s service, either (1) the Company may repurchase up to $2.0 million of equity securities of the Company held by Mr. John Priore unless Mr. John Priore beneficially owns less than 5% of the Company’s outstanding equity, or (2) Mr. John Priore may require the Company purchase up to $2.0 million of equity securities of the Company held by him unless Mr. John Priore beneficially owns less than 5% of the Company’s outstanding equity or the Company files a resale registration statement allowing him to sell at least $2.0 million of equity securities on NASDAQ.</w:t>
      </w:r>
    </w:p>
    <w:p>
      <w:pPr>
        <w:spacing w:after="0" w:line="16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Pursuant to the John Priore Employment Agreement, Mr. John Priore had received an annual base salary ($467,200 per year in 2017) and was eligible for an annual bonus prior to Mr. John Priore’s appointment as our Vice-Chairman on December 1, 2018. Mr. John Priore’s annual bonus had a target payment of at least 70% of his base salary based on the achievement of performance criteria, which could be increased to 100% of his base salary in the discretion of our board of directors if such performance criteria are achieved. For 2017, the performance criteria for Mr. John Priore’s annual bonus was achievement of a total company recurring operating margin greater than or equal to $56,265,000. The actual amount achieved was $59,206,617, resulting in a bonus in the amount of $327,040, and our board of directors exercised its discretion to increase the total amount of Mr. John Priore’s 2017 annual bonus to $350,000.</w:t>
      </w:r>
    </w:p>
    <w:p>
      <w:pPr>
        <w:spacing w:after="0" w:line="159" w:lineRule="exact"/>
        <w:rPr>
          <w:sz w:val="20"/>
          <w:szCs w:val="20"/>
          <w:color w:val="auto"/>
        </w:rPr>
      </w:pPr>
    </w:p>
    <w:p>
      <w:pPr>
        <w:ind w:right="180"/>
        <w:spacing w:after="0" w:line="264" w:lineRule="auto"/>
        <w:rPr>
          <w:sz w:val="20"/>
          <w:szCs w:val="20"/>
          <w:color w:val="auto"/>
        </w:rPr>
      </w:pPr>
      <w:r>
        <w:rPr>
          <w:rFonts w:ascii="Arial" w:cs="Arial" w:eastAsia="Arial" w:hAnsi="Arial"/>
          <w:sz w:val="20"/>
          <w:szCs w:val="20"/>
          <w:color w:val="auto"/>
        </w:rPr>
        <w:t>The John Priore Employment Agreement also provided that, in the event of Mr. John Priore’s termination of employment by the Employers without Cause or if he resigned for Good Reason, then subject to his execution of a release and compliance with restrictive covenants set forth in the John Priore Employment Agreement, he would have been entitled to:</w:t>
      </w:r>
    </w:p>
    <w:p>
      <w:pPr>
        <w:spacing w:after="0" w:line="166" w:lineRule="exact"/>
        <w:rPr>
          <w:sz w:val="20"/>
          <w:szCs w:val="20"/>
          <w:color w:val="auto"/>
        </w:rPr>
      </w:pPr>
    </w:p>
    <w:p>
      <w:pPr>
        <w:ind w:left="640" w:right="260" w:hanging="321"/>
        <w:spacing w:after="0" w:line="288" w:lineRule="auto"/>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84" w:lineRule="exact"/>
        <w:rPr>
          <w:rFonts w:ascii="Arial" w:cs="Arial" w:eastAsia="Arial" w:hAnsi="Arial"/>
          <w:sz w:val="17"/>
          <w:szCs w:val="17"/>
          <w:color w:val="auto"/>
        </w:rPr>
      </w:pPr>
    </w:p>
    <w:p>
      <w:pPr>
        <w:ind w:left="640" w:hanging="32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reimbursement of the cost of continuation coverage of health and dental coverage for a period of 24 months.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John Priore Employment Agreement, “Cause” generally means Mr. John Priore’s: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807" w:right="239" w:bottom="1440" w:gutter="0" w:footer="0" w:header="0"/>
        </w:sectPr>
      </w:pPr>
    </w:p>
    <w:bookmarkStart w:id="114" w:name="page115"/>
    <w:bookmarkEnd w:id="114"/>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material breach of the John Priore Employment Agreement;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fraud;</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gross negligence, willful misconduct, or material dishonesty;</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failure to follow the reasonable direction of any individual or board to which he reports;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final conviction of a felony or crime involving moral turpitude.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John Priore Employment Agreement, “Good Reason” generally means:</w:t>
      </w:r>
    </w:p>
    <w:p>
      <w:pPr>
        <w:spacing w:after="0" w:line="223" w:lineRule="exact"/>
        <w:rPr>
          <w:sz w:val="20"/>
          <w:szCs w:val="20"/>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reduction in his then current authority, title, duties, or responsibilities;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reduction in his then current base salary or benefits that he was entitled to on May 21, 2014;</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requirement that he report to any person or entity other than our board of directors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breach of the John Priore Employment Agreement by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material change in geographic location at which he must perform services for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Employers, with the actual knowledge of our board of directors, provide processing services with respect to adult entertainment merchant accounts; or</w:t>
      </w:r>
    </w:p>
    <w:p>
      <w:pPr>
        <w:spacing w:after="0" w:line="272" w:lineRule="exact"/>
        <w:rPr>
          <w:rFonts w:ascii="Arial" w:cs="Arial" w:eastAsia="Arial" w:hAnsi="Arial"/>
          <w:sz w:val="15"/>
          <w:szCs w:val="15"/>
          <w:color w:val="auto"/>
        </w:rPr>
      </w:pPr>
    </w:p>
    <w:p>
      <w:pPr>
        <w:ind w:left="640" w:hanging="32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successor’s failure to assume the John Priore Employment Agreement in writing.</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Afshin Yazdian</w:t>
      </w:r>
    </w:p>
    <w:p>
      <w:pPr>
        <w:spacing w:after="0" w:line="22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73"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Pursuant to the Yazdian Employment Agreement, Mr. Yazdian receives an annual base salary (currently $410,010 per year) and the Employers pay 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our board of directors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our board of directors exercised its discretion to increase the total amount of Mr. Yazdian’s 2017 annual bonus to $232,500.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Yazdian Employment Agreement, in the event of his termination of employment by the Employers without Cause or due to a notice by the</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Employers of non-renewal of the Yazdian Employment Agreement, or by Mr. Yazdian for Good Reason, subject to his execution of a release, he will be entitled to:</w:t>
      </w:r>
    </w:p>
    <w:p>
      <w:pPr>
        <w:spacing w:after="0" w:line="234" w:lineRule="exact"/>
        <w:rPr>
          <w:sz w:val="20"/>
          <w:szCs w:val="20"/>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severance payments equal to 12 months of his base salary payable for a period of 12 months;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pro-rata portion of any earned but unpaid annual bonus for the year of termination; and</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572" w:right="259" w:bottom="1440" w:gutter="0" w:footer="0" w:header="0"/>
        </w:sectPr>
      </w:pPr>
    </w:p>
    <w:bookmarkStart w:id="115" w:name="page116"/>
    <w:bookmarkEnd w:id="115"/>
    <w:p>
      <w:pPr>
        <w:ind w:left="640" w:hanging="321"/>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reimbursement of the cost of continuation coverage of health coverage for a period of 12 months.</w:t>
      </w:r>
    </w:p>
    <w:p>
      <w:pPr>
        <w:spacing w:after="0" w:line="2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Yazdian Employment Agreement, “Cause” generally means Mr. Yazdian’s:</w:t>
      </w:r>
    </w:p>
    <w:p>
      <w:pPr>
        <w:spacing w:after="0" w:line="223" w:lineRule="exact"/>
        <w:rPr>
          <w:sz w:val="20"/>
          <w:szCs w:val="20"/>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commission of or being charged with the commission of a felony, or any crime involving theft, fraud, dishonesty or moral turpitude;</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gross negligence or any intentional act of fraud or misconduct;</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material breach of the Yazdian Employment Agreement, or any other agreement with the Employers;</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breach of fiduciary duties owed to the Employers;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willful and continued disregard of the lawful and reasonable directives of our board of directors clearly communicated to him.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For the purposes of the Yazdian Employment Agreement, “Good Reason” generally means:</w:t>
      </w:r>
    </w:p>
    <w:p>
      <w:pPr>
        <w:spacing w:after="0" w:line="223" w:lineRule="exact"/>
        <w:rPr>
          <w:sz w:val="20"/>
          <w:szCs w:val="20"/>
          <w:color w:val="auto"/>
        </w:rPr>
      </w:pPr>
    </w:p>
    <w:p>
      <w:pPr>
        <w:ind w:left="640" w:hanging="32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reduction in his base salary, or 50% bonus target below those existing on May 21, 2014;</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change in his title or reporting responsibilities such that he no longer reports to our board of directors or the chief executive officer of the Employers;</w:t>
      </w:r>
    </w:p>
    <w:p>
      <w:pPr>
        <w:spacing w:after="0" w:line="260" w:lineRule="exact"/>
        <w:rPr>
          <w:rFonts w:ascii="Arial" w:cs="Arial" w:eastAsia="Arial" w:hAnsi="Arial"/>
          <w:sz w:val="16"/>
          <w:szCs w:val="16"/>
          <w:color w:val="auto"/>
        </w:rPr>
      </w:pPr>
    </w:p>
    <w:p>
      <w:pPr>
        <w:ind w:left="640" w:hanging="321"/>
        <w:spacing w:after="0"/>
        <w:tabs>
          <w:tab w:leader="none" w:pos="6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60" w:lineRule="exact"/>
        <w:rPr>
          <w:rFonts w:ascii="Arial" w:cs="Arial" w:eastAsia="Arial" w:hAnsi="Arial"/>
          <w:sz w:val="16"/>
          <w:szCs w:val="16"/>
          <w:color w:val="auto"/>
        </w:rPr>
      </w:pPr>
    </w:p>
    <w:p>
      <w:pPr>
        <w:ind w:left="640" w:hanging="32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material breach of the Yazdian Employment Agreement by the Employers; or</w:t>
      </w:r>
    </w:p>
    <w:p>
      <w:pPr>
        <w:spacing w:after="0" w:line="249" w:lineRule="exact"/>
        <w:rPr>
          <w:rFonts w:ascii="Arial" w:cs="Arial" w:eastAsia="Arial" w:hAnsi="Arial"/>
          <w:sz w:val="17"/>
          <w:szCs w:val="17"/>
          <w:color w:val="auto"/>
        </w:rPr>
      </w:pPr>
    </w:p>
    <w:p>
      <w:pPr>
        <w:ind w:left="640" w:hanging="321"/>
        <w:spacing w:after="0"/>
        <w:tabs>
          <w:tab w:leader="none" w:pos="6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successor’s failure to assume and agree to perform the obligations in the Yazdian Employment Agreement.</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401(k) Plan</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Mr. Yazdian and, prior to becoming an independent contractor on December 1, 2018, Mr. John Priore.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807" w:right="2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7"/>
        </w:trPr>
        <w:tc>
          <w:tcPr>
            <w:tcW w:w="3520" w:type="dxa"/>
            <w:vAlign w:val="bottom"/>
            <w:gridSpan w:val="4"/>
          </w:tcPr>
          <w:p>
            <w:pPr>
              <w:spacing w:after="0"/>
              <w:rPr>
                <w:sz w:val="20"/>
                <w:szCs w:val="20"/>
                <w:color w:val="auto"/>
              </w:rPr>
            </w:pPr>
            <w:r>
              <w:rPr>
                <w:rFonts w:ascii="Arial" w:cs="Arial" w:eastAsia="Arial" w:hAnsi="Arial"/>
                <w:sz w:val="17"/>
                <w:szCs w:val="17"/>
                <w:b w:val="1"/>
                <w:bCs w:val="1"/>
                <w:color w:val="auto"/>
                <w:w w:val="93"/>
              </w:rPr>
              <w:t>Outstanding Equity Awards at Fiscal Year End</w:t>
            </w: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80" w:type="dxa"/>
            <w:vAlign w:val="bottom"/>
            <w:gridSpan w:val="2"/>
          </w:tcPr>
          <w:p>
            <w:pPr>
              <w:ind w:left="60"/>
              <w:spacing w:after="0"/>
              <w:rPr>
                <w:sz w:val="20"/>
                <w:szCs w:val="20"/>
                <w:color w:val="auto"/>
              </w:rPr>
            </w:pPr>
            <w:r>
              <w:rPr>
                <w:rFonts w:ascii="Arial" w:cs="Arial" w:eastAsia="Arial" w:hAnsi="Arial"/>
                <w:sz w:val="17"/>
                <w:szCs w:val="17"/>
                <w:b w:val="1"/>
                <w:bCs w:val="1"/>
                <w:color w:val="auto"/>
              </w:rPr>
              <w:t>Option Awards</w:t>
            </w:r>
          </w:p>
        </w:tc>
        <w:tc>
          <w:tcPr>
            <w:tcW w:w="1160" w:type="dxa"/>
            <w:vAlign w:val="bottom"/>
          </w:tcPr>
          <w:p>
            <w:pPr>
              <w:spacing w:after="0"/>
              <w:rPr>
                <w:sz w:val="24"/>
                <w:szCs w:val="24"/>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Equity</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w w:val="92"/>
              </w:rPr>
              <w:t>Stock Awards</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Payout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Incentive</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Value of</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Plan Awards: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Market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Unearned</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Unearned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b w:val="1"/>
                <w:bCs w:val="1"/>
                <w:color w:val="auto"/>
              </w:rPr>
              <w:t># Securities</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 Securities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Value #</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Shares,</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 Securities</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Underlying</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Underlying</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 Shares</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Share or</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Units or</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Units 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Underlying</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Unexercised</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Unexercised</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or Units</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Units of</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Other</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other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w w:val="98"/>
              </w:rPr>
              <w:t>Unexercised</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Options (#)</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Unearned</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Option</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Option</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of Stock</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Stock that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Rights that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w w:val="99"/>
              </w:rPr>
              <w:t>Rights that</w:t>
            </w:r>
          </w:p>
        </w:tc>
        <w:tc>
          <w:tcPr>
            <w:tcW w:w="0" w:type="dxa"/>
            <w:vAlign w:val="bottom"/>
          </w:tcPr>
          <w:p>
            <w:pPr>
              <w:spacing w:after="0"/>
              <w:rPr>
                <w:sz w:val="1"/>
                <w:szCs w:val="1"/>
                <w:color w:val="auto"/>
              </w:rPr>
            </w:pPr>
          </w:p>
        </w:tc>
      </w:tr>
      <w:tr>
        <w:trPr>
          <w:trHeight w:val="209"/>
        </w:trPr>
        <w:tc>
          <w:tcPr>
            <w:tcW w:w="1540" w:type="dxa"/>
            <w:vAlign w:val="bottom"/>
            <w:gridSpan w:val="2"/>
          </w:tcPr>
          <w:p>
            <w:pPr>
              <w:spacing w:after="0"/>
              <w:rPr>
                <w:sz w:val="20"/>
                <w:szCs w:val="20"/>
                <w:color w:val="auto"/>
              </w:rPr>
            </w:pPr>
            <w:r>
              <w:rPr>
                <w:rFonts w:ascii="Arial" w:cs="Arial" w:eastAsia="Arial" w:hAnsi="Arial"/>
                <w:sz w:val="17"/>
                <w:szCs w:val="17"/>
                <w:b w:val="1"/>
                <w:bCs w:val="1"/>
                <w:color w:val="auto"/>
                <w:w w:val="96"/>
              </w:rPr>
              <w:t>Name and Principal</w:t>
            </w:r>
          </w:p>
        </w:tc>
        <w:tc>
          <w:tcPr>
            <w:tcW w:w="940" w:type="dxa"/>
            <w:vAlign w:val="bottom"/>
          </w:tcPr>
          <w:p>
            <w:pPr>
              <w:ind w:left="60"/>
              <w:spacing w:after="0"/>
              <w:rPr>
                <w:sz w:val="20"/>
                <w:szCs w:val="20"/>
                <w:color w:val="auto"/>
              </w:rPr>
            </w:pPr>
            <w:r>
              <w:rPr>
                <w:rFonts w:ascii="Arial" w:cs="Arial" w:eastAsia="Arial" w:hAnsi="Arial"/>
                <w:sz w:val="17"/>
                <w:szCs w:val="17"/>
                <w:b w:val="1"/>
                <w:bCs w:val="1"/>
                <w:color w:val="auto"/>
              </w:rPr>
              <w:t>Option</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Options (#)</w:t>
            </w:r>
          </w:p>
        </w:tc>
        <w:tc>
          <w:tcPr>
            <w:tcW w:w="1160" w:type="dxa"/>
            <w:vAlign w:val="bottom"/>
          </w:tcPr>
          <w:p>
            <w:pPr>
              <w:spacing w:after="0"/>
              <w:rPr>
                <w:sz w:val="20"/>
                <w:szCs w:val="20"/>
                <w:color w:val="auto"/>
              </w:rPr>
            </w:pPr>
            <w:r>
              <w:rPr>
                <w:rFonts w:ascii="Arial" w:cs="Arial" w:eastAsia="Arial" w:hAnsi="Arial"/>
                <w:sz w:val="17"/>
                <w:szCs w:val="17"/>
                <w:b w:val="1"/>
                <w:bCs w:val="1"/>
                <w:color w:val="auto"/>
                <w:w w:val="98"/>
              </w:rPr>
              <w:t>Unexercisable</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Options</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Exercise</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Expiration</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rPr>
              <w:t>that have</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have not</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have not</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have not</w:t>
            </w:r>
          </w:p>
        </w:tc>
        <w:tc>
          <w:tcPr>
            <w:tcW w:w="0" w:type="dxa"/>
            <w:vAlign w:val="bottom"/>
          </w:tcPr>
          <w:p>
            <w:pPr>
              <w:spacing w:after="0"/>
              <w:rPr>
                <w:sz w:val="1"/>
                <w:szCs w:val="1"/>
                <w:color w:val="auto"/>
              </w:rPr>
            </w:pPr>
          </w:p>
        </w:tc>
      </w:tr>
      <w:tr>
        <w:trPr>
          <w:trHeight w:val="227"/>
        </w:trPr>
        <w:tc>
          <w:tcPr>
            <w:tcW w:w="1540" w:type="dxa"/>
            <w:vAlign w:val="bottom"/>
            <w:gridSpan w:val="2"/>
          </w:tcPr>
          <w:p>
            <w:pPr>
              <w:spacing w:after="0"/>
              <w:rPr>
                <w:sz w:val="20"/>
                <w:szCs w:val="20"/>
                <w:color w:val="auto"/>
              </w:rPr>
            </w:pPr>
            <w:r>
              <w:rPr>
                <w:rFonts w:ascii="Arial" w:cs="Arial" w:eastAsia="Arial" w:hAnsi="Arial"/>
                <w:sz w:val="17"/>
                <w:szCs w:val="17"/>
                <w:b w:val="1"/>
                <w:bCs w:val="1"/>
                <w:color w:val="auto"/>
              </w:rPr>
              <w:t>Position</w:t>
            </w:r>
          </w:p>
        </w:tc>
        <w:tc>
          <w:tcPr>
            <w:tcW w:w="940" w:type="dxa"/>
            <w:vAlign w:val="bottom"/>
          </w:tcPr>
          <w:p>
            <w:pPr>
              <w:ind w:left="60"/>
              <w:spacing w:after="0"/>
              <w:rPr>
                <w:sz w:val="20"/>
                <w:szCs w:val="20"/>
                <w:color w:val="auto"/>
              </w:rPr>
            </w:pPr>
            <w:r>
              <w:rPr>
                <w:rFonts w:ascii="Arial" w:cs="Arial" w:eastAsia="Arial" w:hAnsi="Arial"/>
                <w:sz w:val="17"/>
                <w:szCs w:val="17"/>
                <w:b w:val="1"/>
                <w:bCs w:val="1"/>
                <w:color w:val="auto"/>
                <w:w w:val="98"/>
              </w:rPr>
              <w:t>Grant Date</w:t>
            </w:r>
          </w:p>
        </w:tc>
        <w:tc>
          <w:tcPr>
            <w:tcW w:w="1040" w:type="dxa"/>
            <w:vAlign w:val="bottom"/>
          </w:tcPr>
          <w:p>
            <w:pPr>
              <w:ind w:left="20"/>
              <w:spacing w:after="0"/>
              <w:rPr>
                <w:sz w:val="20"/>
                <w:szCs w:val="20"/>
                <w:color w:val="auto"/>
              </w:rPr>
            </w:pPr>
            <w:r>
              <w:rPr>
                <w:rFonts w:ascii="Arial" w:cs="Arial" w:eastAsia="Arial" w:hAnsi="Arial"/>
                <w:sz w:val="17"/>
                <w:szCs w:val="17"/>
                <w:b w:val="1"/>
                <w:bCs w:val="1"/>
                <w:color w:val="auto"/>
              </w:rPr>
              <w:t>Exercisable</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(1)</w:t>
            </w:r>
          </w:p>
        </w:tc>
        <w:tc>
          <w:tcPr>
            <w:tcW w:w="11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820" w:type="dxa"/>
            <w:vAlign w:val="bottom"/>
          </w:tcPr>
          <w:p>
            <w:pPr>
              <w:ind w:left="60"/>
              <w:spacing w:after="0"/>
              <w:rPr>
                <w:sz w:val="20"/>
                <w:szCs w:val="20"/>
                <w:color w:val="auto"/>
              </w:rPr>
            </w:pPr>
            <w:r>
              <w:rPr>
                <w:rFonts w:ascii="Arial" w:cs="Arial" w:eastAsia="Arial" w:hAnsi="Arial"/>
                <w:sz w:val="17"/>
                <w:szCs w:val="17"/>
                <w:b w:val="1"/>
                <w:bCs w:val="1"/>
                <w:color w:val="auto"/>
              </w:rPr>
              <w:t>Price ($)</w:t>
            </w:r>
          </w:p>
        </w:tc>
        <w:tc>
          <w:tcPr>
            <w:tcW w:w="940" w:type="dxa"/>
            <w:vAlign w:val="bottom"/>
          </w:tcPr>
          <w:p>
            <w:pPr>
              <w:ind w:left="40"/>
              <w:spacing w:after="0"/>
              <w:rPr>
                <w:sz w:val="20"/>
                <w:szCs w:val="20"/>
                <w:color w:val="auto"/>
              </w:rPr>
            </w:pPr>
            <w:r>
              <w:rPr>
                <w:rFonts w:ascii="Arial" w:cs="Arial" w:eastAsia="Arial" w:hAnsi="Arial"/>
                <w:sz w:val="17"/>
                <w:szCs w:val="17"/>
                <w:b w:val="1"/>
                <w:bCs w:val="1"/>
                <w:color w:val="auto"/>
              </w:rPr>
              <w:t>Date</w:t>
            </w:r>
          </w:p>
        </w:tc>
        <w:tc>
          <w:tcPr>
            <w:tcW w:w="1120" w:type="dxa"/>
            <w:vAlign w:val="bottom"/>
          </w:tcPr>
          <w:p>
            <w:pPr>
              <w:ind w:left="60"/>
              <w:spacing w:after="0"/>
              <w:rPr>
                <w:sz w:val="20"/>
                <w:szCs w:val="20"/>
                <w:color w:val="auto"/>
              </w:rPr>
            </w:pPr>
            <w:r>
              <w:rPr>
                <w:rFonts w:ascii="Arial" w:cs="Arial" w:eastAsia="Arial" w:hAnsi="Arial"/>
                <w:sz w:val="17"/>
                <w:szCs w:val="17"/>
                <w:b w:val="1"/>
                <w:bCs w:val="1"/>
                <w:color w:val="auto"/>
                <w:w w:val="94"/>
              </w:rPr>
              <w:t>not vested (#)</w:t>
            </w:r>
          </w:p>
        </w:tc>
        <w:tc>
          <w:tcPr>
            <w:tcW w:w="900" w:type="dxa"/>
            <w:vAlign w:val="bottom"/>
          </w:tcPr>
          <w:p>
            <w:pPr>
              <w:ind w:left="40"/>
              <w:spacing w:after="0"/>
              <w:rPr>
                <w:sz w:val="20"/>
                <w:szCs w:val="20"/>
                <w:color w:val="auto"/>
              </w:rPr>
            </w:pPr>
            <w:r>
              <w:rPr>
                <w:rFonts w:ascii="Arial" w:cs="Arial" w:eastAsia="Arial" w:hAnsi="Arial"/>
                <w:sz w:val="17"/>
                <w:szCs w:val="17"/>
                <w:b w:val="1"/>
                <w:bCs w:val="1"/>
                <w:color w:val="auto"/>
              </w:rPr>
              <w:t>vested ($)</w:t>
            </w:r>
          </w:p>
        </w:tc>
        <w:tc>
          <w:tcPr>
            <w:tcW w:w="960" w:type="dxa"/>
            <w:vAlign w:val="bottom"/>
          </w:tcPr>
          <w:p>
            <w:pPr>
              <w:ind w:left="40"/>
              <w:spacing w:after="0"/>
              <w:rPr>
                <w:sz w:val="20"/>
                <w:szCs w:val="20"/>
                <w:color w:val="auto"/>
              </w:rPr>
            </w:pPr>
            <w:r>
              <w:rPr>
                <w:rFonts w:ascii="Arial" w:cs="Arial" w:eastAsia="Arial" w:hAnsi="Arial"/>
                <w:sz w:val="17"/>
                <w:szCs w:val="17"/>
                <w:b w:val="1"/>
                <w:bCs w:val="1"/>
                <w:color w:val="auto"/>
              </w:rPr>
              <w:t>vested (#)</w:t>
            </w:r>
          </w:p>
        </w:tc>
        <w:tc>
          <w:tcPr>
            <w:tcW w:w="960" w:type="dxa"/>
            <w:vAlign w:val="bottom"/>
          </w:tcPr>
          <w:p>
            <w:pPr>
              <w:ind w:left="60"/>
              <w:spacing w:after="0"/>
              <w:rPr>
                <w:sz w:val="20"/>
                <w:szCs w:val="20"/>
                <w:color w:val="auto"/>
              </w:rPr>
            </w:pPr>
            <w:r>
              <w:rPr>
                <w:rFonts w:ascii="Arial" w:cs="Arial" w:eastAsia="Arial" w:hAnsi="Arial"/>
                <w:sz w:val="17"/>
                <w:szCs w:val="17"/>
                <w:b w:val="1"/>
                <w:bCs w:val="1"/>
                <w:color w:val="auto"/>
              </w:rPr>
              <w:t>vested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Afshin Yazdian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9/21/2016</w:t>
            </w:r>
          </w:p>
        </w:tc>
        <w:tc>
          <w:tcPr>
            <w:tcW w:w="10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9"/>
              </w:rPr>
              <w:t>33,504</w:t>
            </w:r>
          </w:p>
        </w:tc>
        <w:tc>
          <w:tcPr>
            <w:tcW w:w="114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N/A</w:t>
            </w:r>
          </w:p>
        </w:tc>
        <w:tc>
          <w:tcPr>
            <w:tcW w:w="9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N/A</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00" w:firstLine="5"/>
        <w:spacing w:after="0" w:line="262" w:lineRule="auto"/>
        <w:tabs>
          <w:tab w:leader="none" w:pos="247"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unvested Class B Common Units (which we refer to as the “Class B Units”) in Priority Incentive Equity Holdings, LLC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will become vested in 50% of the unvested Class B Units on each of May 21, 2018 and May 21, 2019, subject to his continued service through such dates. Mr. Yazdian will become vested in any unvested Class B Units upon a change in control of Priority, subject to his continued service through such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auto"/>
        </w:rPr>
        <w:t>Other than the compensation received by Mr. Thomas Priore as described above, no director of Priority received compensation for his or her services to Priority for the year ended December 31, 2017.</w:t>
      </w:r>
    </w:p>
    <w:p>
      <w:pPr>
        <w:spacing w:after="0" w:line="159"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On December 19, 2018, we entered into agreements with each of our independent directors – Marc Manuel, William Gahan, and Matthew Kearney – pursuant to which, commencing as of July 25, 2018, they receive cash compensation of $50,000 per year, payable in monthly installments.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In addition, pursuant to Mr. Kearney's agreement, Mr. Kearney will receive an additional $25,000 per year, payable in monthly cash installments, for serving as chair of our Audit Committee. Each of our independent directors are also reimbursed for reasonable and documented out-of-pocket expenses incurred by them in the performance of their duties.</w:t>
      </w: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520"/>
          </w:cols>
          <w:pgMar w:left="240" w:top="775" w:right="1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29" w:lineRule="exact"/>
        <w:rPr>
          <w:sz w:val="20"/>
          <w:szCs w:val="20"/>
          <w:color w:val="auto"/>
        </w:rPr>
      </w:pPr>
    </w:p>
    <w:p>
      <w:pPr>
        <w:jc w:val="both"/>
        <w:ind w:right="160"/>
        <w:spacing w:after="0" w:line="272" w:lineRule="auto"/>
        <w:rPr>
          <w:sz w:val="20"/>
          <w:szCs w:val="20"/>
          <w:color w:val="auto"/>
        </w:rPr>
      </w:pPr>
      <w:r>
        <w:rPr>
          <w:rFonts w:ascii="Arial" w:cs="Arial" w:eastAsia="Arial" w:hAnsi="Arial"/>
          <w:sz w:val="17"/>
          <w:szCs w:val="17"/>
          <w:color w:val="auto"/>
        </w:rPr>
        <w:t>The following description of the material terms of the share capital of Priority includes a summary of specified provisions of the charter documents of Priority in effect. This description is qualified by reference to Priority’s charter documents as currently in effect, copies of which are attached to the registration statement of which this Prospectus/Offer to Exchange constitutes a part.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authorized capital stock consists of 1,000,000,000 shares of Common Stock, par value $0.001, and 100,000,000 shares of preferred stock, par value $0.001. As of January 17, 2019, 67,038,304 shares of Common Stock are outstanding, held by 34 stockholders of record. No shares of preferred stock are currently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Each holder of record of Common Stock, as such, shall have one vote for each share of Common Stock which is outstanding in his, her or its name on the books of the Company on all matters on which stockholders are entitled to vote generally. Except as otherwise required by law, holders of Common Stock shall not be entitled to vote on any amendment to the Second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Second Amended and Restated Certificate of Incorporation (including any certificate of designation relating to any series of preferred stock) or pursuant to the DGCL.</w:t>
      </w:r>
    </w:p>
    <w:p>
      <w:pPr>
        <w:spacing w:after="0" w:line="168" w:lineRule="exact"/>
        <w:rPr>
          <w:sz w:val="20"/>
          <w:szCs w:val="20"/>
          <w:color w:val="auto"/>
        </w:rPr>
      </w:pPr>
    </w:p>
    <w:p>
      <w:pPr>
        <w:jc w:val="both"/>
        <w:ind w:right="20"/>
        <w:spacing w:after="0" w:line="325" w:lineRule="auto"/>
        <w:rPr>
          <w:sz w:val="20"/>
          <w:szCs w:val="20"/>
          <w:color w:val="auto"/>
        </w:rPr>
      </w:pPr>
      <w:r>
        <w:rPr>
          <w:rFonts w:ascii="Arial" w:cs="Arial" w:eastAsia="Arial" w:hAnsi="Arial"/>
          <w:sz w:val="15"/>
          <w:szCs w:val="15"/>
          <w:color w:val="auto"/>
        </w:rPr>
        <w:t>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Company which are legally available for this purpose at such times and in such amounts as the board of directors in its discretion shall determine.</w:t>
      </w:r>
    </w:p>
    <w:p>
      <w:pPr>
        <w:spacing w:after="0" w:line="13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Upon the dissolution, liquidation or winding up of the Company, after payment or provision for payment of the debts and other liabilities of the Company and subject to the rights, if any, of the holders of any outstanding series of preferred stock or any class or series of stock having a preference over or the right to participate with the Common Stock with respect to the distribution of assets of the Company upon such dissolution, liquidation or winding up of the Company, the holders of Common Stock shall be entitled to receive the remaining assets of the Company available for distribution to its stockholders ratably in proportion to the number of shares held by them.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9"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Our Second Amended and Restated Certificate of Incorporation authorizes the issuance of 100,000,000 shares of preferred stock with such designation, rights and preferences as may be determined from time to time by our board of directors. There are no shares of preferred stock outstanding.</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has not paid any cash dividends on its Common Stock to date. The payment of cash dividends in the future will be dependent upon our revenues and earnings, if any, capital requirements and general financial condition. The payment of any dividends will be within the discretion of its then board of directors. It is the present intention of our board of directors to retain all earnings, if any, for use in its business operations and, accordingly, our board does not anticipate declaring any dividends in the foreseeable future.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Certain Anti-Takeover Provisions of Delaware Law</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are not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68"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w:t>
      </w:r>
    </w:p>
    <w:p>
      <w:pPr>
        <w:spacing w:after="0" w:line="183"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Second Amended and Restated Certificate of Incorporation contains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Directors’ Liability</w:t>
      </w:r>
    </w:p>
    <w:p>
      <w:pPr>
        <w:spacing w:after="0" w:line="223"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Our certificate of incorporation and bylaws will indemnify our directors to the fullest extent permitted by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w:t>
      </w:r>
    </w:p>
    <w:p>
      <w:pPr>
        <w:spacing w:after="0" w:line="2" w:lineRule="exact"/>
        <w:rPr>
          <w:sz w:val="20"/>
          <w:szCs w:val="20"/>
          <w:color w:val="auto"/>
        </w:rPr>
      </w:pPr>
    </w:p>
    <w:p>
      <w:pPr>
        <w:ind w:right="60" w:firstLine="5"/>
        <w:spacing w:after="0" w:line="281" w:lineRule="auto"/>
        <w:tabs>
          <w:tab w:leader="none" w:pos="3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775" w:right="25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Choice of Forum</w:t>
      </w:r>
    </w:p>
    <w:p>
      <w:pPr>
        <w:spacing w:after="0" w:line="2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Our Second Amended and Restated Certificate of Incorporation provides that, unless we consent in writing to the selection of an alternative forum, the Court of Chancery of the State of Delaware will be the exclusive forum for: (a) any derivative action or proceeding brought on our behalf; (b) any action asserting a breach of a fiduciary duty owed by any of our directors, officers, employees or agents to us or our stockholders; (c) any action asserting a claim pursuant to any provision of the DGCL, our certificate of incorporation or our bylaws; or (d) any action asserting a claim governed by the internal affairs doctrine. However, it is possible that a court could find our forum selection provision to be inapplicable or unenforceable.</w:t>
      </w: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20"/>
          </w:cols>
          <w:pgMar w:left="240" w:top="781" w:right="339" w:bottom="1440" w:gutter="0" w:footer="0" w:header="0"/>
        </w:sectPr>
      </w:pPr>
    </w:p>
    <w:bookmarkStart w:id="120" w:name="page121"/>
    <w:bookmarkEnd w:id="120"/>
    <w:p>
      <w:pPr>
        <w:jc w:val="center"/>
        <w:ind w:right="-59"/>
        <w:spacing w:after="0"/>
        <w:rPr>
          <w:sz w:val="20"/>
          <w:szCs w:val="20"/>
          <w:color w:val="auto"/>
        </w:rPr>
      </w:pPr>
      <w:r>
        <w:rPr>
          <w:rFonts w:ascii="Arial" w:cs="Arial" w:eastAsia="Arial" w:hAnsi="Arial"/>
          <w:sz w:val="17"/>
          <w:szCs w:val="17"/>
          <w:b w:val="1"/>
          <w:bCs w:val="1"/>
          <w:color w:val="auto"/>
        </w:rPr>
        <w:t>CERTAIN RELATIONSHIPS AND RELATED PERSON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Policy</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Related parties are defined as: (a) each director or officer; (b) any nominee for election as a director; (c) any security holder who is known to own of record or beneficially more than five percent (5%) of any class of voting securities; and (d) any “Immediate Family Member” (as defined in Regulation S-K Item 404(a)) of any of the foregoing persons. A “related party transaction” means a transaction, arrangement or relationship (or any series of similar transactions, arrangements or relationships) in which Priority was, is or will be a participant and the amount involved will or may be expected to exceed $120,000 in any fiscal year, and in which any Related Party had, has or will have a direct or indirect material interest (including any transactions requiring disclosure under Item 404 of Regulation S-K promulgated under the Exchange Act). It is the job of the audit committee to establish and implement policies and procedures for their review and approval or disapproval of proposed transactions or courses of dealings with respect to which executive officers or directors or members of their immediate families have an interest (including all transactions required to be disclosed by Item 404(a) of Regulation S-K).</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Services Agreements</w:t>
      </w:r>
    </w:p>
    <w:p>
      <w:pPr>
        <w:spacing w:after="0" w:line="22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Priority has a management services agreement and an annual bonus payout with PSD Partners LP, whose Managing Member is Thomas Priore, who is the President, Chief Executive Officer and Chairman and majority owner of the Company. For the years ended December 31, 2017, 2016 and 2015, Priority incurred a total of $850,600, $838,758 and $835,811, respectively, for costs related to management services fees, annual bonus payout and occupancy fees.</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80"/>
          </w:cols>
          <w:pgMar w:left="240" w:top="775" w:right="279" w:bottom="1440" w:gutter="0" w:footer="0" w:header="0"/>
        </w:sectPr>
      </w:pPr>
    </w:p>
    <w:bookmarkStart w:id="121" w:name="page122"/>
    <w:bookmarkEnd w:id="121"/>
    <w:p>
      <w:pPr>
        <w:ind w:left="228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as of January 17, 2019 regarding the beneficial ownership of our Common Stock by:</w:t>
      </w:r>
    </w:p>
    <w:p>
      <w:pPr>
        <w:spacing w:after="0" w:line="223" w:lineRule="exact"/>
        <w:rPr>
          <w:sz w:val="20"/>
          <w:szCs w:val="20"/>
          <w:color w:val="auto"/>
        </w:rPr>
      </w:pPr>
    </w:p>
    <w:p>
      <w:pPr>
        <w:ind w:left="640" w:hanging="321"/>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person known to be the beneficial owner of more than 5% of our outstanding shares of Common Stock;</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Each director and each named executive officer; and</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current executive officers and directors as a group.</w:t>
      </w:r>
    </w:p>
    <w:p>
      <w:pPr>
        <w:spacing w:after="0" w:line="223"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color w:val="auto"/>
        </w:rPr>
        <w:t>Unless otherwise indicated, we believe that all persons named in the table have sole voting and investment power with respect to all shares of Common Stock beneficially owned by them.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Amount and</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Approximate</w:t>
            </w: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Nature of</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Percentage of</w:t>
            </w:r>
          </w:p>
        </w:tc>
        <w:tc>
          <w:tcPr>
            <w:tcW w:w="0" w:type="dxa"/>
            <w:vAlign w:val="bottom"/>
          </w:tcPr>
          <w:p>
            <w:pPr>
              <w:spacing w:after="0"/>
              <w:rPr>
                <w:sz w:val="1"/>
                <w:szCs w:val="1"/>
                <w:color w:val="auto"/>
              </w:rPr>
            </w:pPr>
          </w:p>
        </w:tc>
      </w:tr>
      <w:tr>
        <w:trPr>
          <w:trHeight w:val="209"/>
        </w:trPr>
        <w:tc>
          <w:tcPr>
            <w:tcW w:w="8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Name and Address of Beneficial Owner</w:t>
            </w:r>
            <w:r>
              <w:rPr>
                <w:rFonts w:ascii="Arial" w:cs="Arial" w:eastAsia="Arial" w:hAnsi="Arial"/>
                <w:sz w:val="29"/>
                <w:szCs w:val="29"/>
                <w:b w:val="1"/>
                <w:bCs w:val="1"/>
                <w:color w:val="auto"/>
                <w:vertAlign w:val="superscript"/>
              </w:rPr>
              <w:t>(1)</w:t>
            </w: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Beneficial</w:t>
            </w:r>
          </w:p>
        </w:tc>
        <w:tc>
          <w:tcPr>
            <w:tcW w:w="16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3"/>
              </w:rPr>
              <w:t>Outstanding</w:t>
            </w:r>
          </w:p>
        </w:tc>
        <w:tc>
          <w:tcPr>
            <w:tcW w:w="0" w:type="dxa"/>
            <w:vAlign w:val="bottom"/>
          </w:tcPr>
          <w:p>
            <w:pPr>
              <w:spacing w:after="0"/>
              <w:rPr>
                <w:sz w:val="1"/>
                <w:szCs w:val="1"/>
                <w:color w:val="auto"/>
              </w:rPr>
            </w:pPr>
          </w:p>
        </w:tc>
      </w:tr>
      <w:tr>
        <w:trPr>
          <w:trHeight w:val="262"/>
        </w:trPr>
        <w:tc>
          <w:tcPr>
            <w:tcW w:w="8100" w:type="dxa"/>
            <w:vAlign w:val="bottom"/>
            <w:gridSpan w:val="3"/>
            <w:vMerge w:val="continue"/>
          </w:tcPr>
          <w:p>
            <w:pPr>
              <w:spacing w:after="0"/>
              <w:rPr>
                <w:sz w:val="22"/>
                <w:szCs w:val="22"/>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5"/>
              </w:rPr>
              <w:t>Ownership</w:t>
            </w:r>
          </w:p>
        </w:tc>
        <w:tc>
          <w:tcPr>
            <w:tcW w:w="1640" w:type="dxa"/>
            <w:vAlign w:val="bottom"/>
            <w:gridSpan w:val="2"/>
          </w:tcPr>
          <w:p>
            <w:pPr>
              <w:jc w:val="center"/>
              <w:ind w:right="160"/>
              <w:spacing w:after="0" w:line="262" w:lineRule="exact"/>
              <w:rPr>
                <w:sz w:val="20"/>
                <w:szCs w:val="20"/>
                <w:color w:val="auto"/>
              </w:rPr>
            </w:pPr>
            <w:r>
              <w:rPr>
                <w:rFonts w:ascii="Arial" w:cs="Arial" w:eastAsia="Arial" w:hAnsi="Arial"/>
                <w:sz w:val="17"/>
                <w:szCs w:val="17"/>
                <w:b w:val="1"/>
                <w:bCs w:val="1"/>
                <w:color w:val="auto"/>
                <w:w w:val="88"/>
              </w:rPr>
              <w:t>Common Stock</w:t>
            </w:r>
            <w:r>
              <w:rPr>
                <w:rFonts w:ascii="Arial" w:cs="Arial" w:eastAsia="Arial" w:hAnsi="Arial"/>
                <w:sz w:val="29"/>
                <w:szCs w:val="29"/>
                <w:b w:val="1"/>
                <w:bCs w:val="1"/>
                <w:color w:val="auto"/>
                <w:w w:val="88"/>
                <w:vertAlign w:val="superscript"/>
              </w:rPr>
              <w:t>(2)</w:t>
            </w:r>
          </w:p>
        </w:tc>
        <w:tc>
          <w:tcPr>
            <w:tcW w:w="0" w:type="dxa"/>
            <w:vAlign w:val="bottom"/>
          </w:tcPr>
          <w:p>
            <w:pPr>
              <w:spacing w:after="0"/>
              <w:rPr>
                <w:sz w:val="1"/>
                <w:szCs w:val="1"/>
                <w:color w:val="auto"/>
              </w:rPr>
            </w:pPr>
          </w:p>
        </w:tc>
      </w:tr>
      <w:tr>
        <w:trPr>
          <w:trHeight w:val="202"/>
        </w:trPr>
        <w:tc>
          <w:tcPr>
            <w:tcW w:w="8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i w:val="1"/>
                <w:iCs w:val="1"/>
                <w:color w:val="auto"/>
              </w:rPr>
              <w:t>Directors and Named Executive Officers</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Thomas Priore (3)</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49,434,170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Priore (4)</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9,347,591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Afshin Yazdian</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Marc Manuel</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59,190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tcPr>
          <w:p>
            <w:pPr>
              <w:spacing w:after="0"/>
              <w:rPr>
                <w:sz w:val="20"/>
                <w:szCs w:val="20"/>
                <w:color w:val="auto"/>
              </w:rPr>
            </w:pPr>
            <w:r>
              <w:rPr>
                <w:rFonts w:ascii="Arial" w:cs="Arial" w:eastAsia="Arial" w:hAnsi="Arial"/>
                <w:sz w:val="17"/>
                <w:szCs w:val="17"/>
                <w:color w:val="auto"/>
              </w:rPr>
              <w:t>William Gahan</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Matthew Kearney</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12,457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8100" w:type="dxa"/>
            <w:vAlign w:val="bottom"/>
            <w:gridSpan w:val="3"/>
          </w:tcPr>
          <w:p>
            <w:pPr>
              <w:spacing w:after="0"/>
              <w:rPr>
                <w:sz w:val="20"/>
                <w:szCs w:val="20"/>
                <w:color w:val="auto"/>
              </w:rPr>
            </w:pPr>
            <w:r>
              <w:rPr>
                <w:rFonts w:ascii="Arial" w:cs="Arial" w:eastAsia="Arial" w:hAnsi="Arial"/>
                <w:sz w:val="17"/>
                <w:szCs w:val="17"/>
                <w:color w:val="auto"/>
              </w:rPr>
              <w:t>All directors and executive officers as a group (13 individuals)</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61,247,941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90.8%</w:t>
            </w:r>
          </w:p>
        </w:tc>
        <w:tc>
          <w:tcPr>
            <w:tcW w:w="0" w:type="dxa"/>
            <w:vAlign w:val="bottom"/>
          </w:tcPr>
          <w:p>
            <w:pPr>
              <w:spacing w:after="0"/>
              <w:rPr>
                <w:sz w:val="1"/>
                <w:szCs w:val="1"/>
                <w:color w:val="auto"/>
              </w:rPr>
            </w:pPr>
          </w:p>
        </w:tc>
      </w:tr>
      <w:tr>
        <w:trPr>
          <w:trHeight w:val="203"/>
        </w:trPr>
        <w:tc>
          <w:tcPr>
            <w:tcW w:w="2300" w:type="dxa"/>
            <w:vAlign w:val="bottom"/>
            <w:tcBorders>
              <w:bottom w:val="single" w:sz="8" w:color="auto"/>
            </w:tcBorders>
          </w:tcPr>
          <w:p>
            <w:pPr>
              <w:spacing w:after="0"/>
              <w:rPr>
                <w:sz w:val="17"/>
                <w:szCs w:val="17"/>
                <w:color w:val="auto"/>
              </w:rPr>
            </w:pPr>
          </w:p>
        </w:tc>
        <w:tc>
          <w:tcPr>
            <w:tcW w:w="580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100" w:type="dxa"/>
            <w:vAlign w:val="bottom"/>
            <w:gridSpan w:val="3"/>
          </w:tcPr>
          <w:p>
            <w:pPr>
              <w:spacing w:after="0"/>
              <w:rPr>
                <w:sz w:val="20"/>
                <w:szCs w:val="20"/>
                <w:color w:val="auto"/>
              </w:rPr>
            </w:pPr>
            <w:r>
              <w:rPr>
                <w:rFonts w:ascii="Arial" w:cs="Arial" w:eastAsia="Arial" w:hAnsi="Arial"/>
                <w:sz w:val="17"/>
                <w:szCs w:val="17"/>
                <w:color w:val="auto"/>
              </w:rPr>
              <w:t>* Less than 1%</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40" w:right="80" w:hanging="635"/>
        <w:spacing w:after="0" w:line="28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each of the individuals is c/o Priority Technology Holdings, Inc., 2001 Westside Parkway, Alpharetta, GA 30004.</w:t>
      </w:r>
    </w:p>
    <w:p>
      <w:pPr>
        <w:spacing w:after="0" w:line="158" w:lineRule="exact"/>
        <w:rPr>
          <w:rFonts w:ascii="Arial" w:cs="Arial" w:eastAsia="Arial" w:hAnsi="Arial"/>
          <w:sz w:val="17"/>
          <w:szCs w:val="17"/>
          <w:color w:val="auto"/>
        </w:rPr>
      </w:pPr>
    </w:p>
    <w:p>
      <w:pPr>
        <w:ind w:left="640" w:right="60" w:hanging="635"/>
        <w:spacing w:after="0" w:line="267"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percentage of beneficial ownership of Priority is calculated based on 67,038,304 shares of Common Stock outstanding. The amount of beneficial ownership for each individual or entity includes shares of Common Stock issuable in respect of Private Warrants. Unless otherwise indicated, we believes that all persons named in the table have sole voting and investment power with respect to all shares of Common Stock beneficially owned by them as of the date indicated.</w:t>
      </w:r>
    </w:p>
    <w:p>
      <w:pPr>
        <w:spacing w:after="0" w:line="176" w:lineRule="exact"/>
        <w:rPr>
          <w:rFonts w:ascii="Arial" w:cs="Arial" w:eastAsia="Arial" w:hAnsi="Arial"/>
          <w:sz w:val="17"/>
          <w:szCs w:val="17"/>
          <w:color w:val="auto"/>
        </w:rPr>
      </w:pPr>
    </w:p>
    <w:p>
      <w:pPr>
        <w:ind w:left="640" w:hanging="635"/>
        <w:spacing w:after="0" w:line="264"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Includes 3,063,097 shares of the Company’s Common Stock and warrants directly held by Priority Incentive Equity Holdings, LLC. Following the Business Combination, Thomas Priore became the managing member of Priority Investment Holdings LLC, which is the non-member manager of Priority Incentive Equity Holdings, LLC. Thomas Priore may be deemed to beneficially own such shares and warrants directly or indirectly controlled by him. The address of Thomas Priore and each of the other entities listed in this footnote is c/o Priority Technology Holdings, Inc., 2001 Westside Parkway, Alpharetta, GA 30004.</w:t>
      </w:r>
    </w:p>
    <w:p>
      <w:pPr>
        <w:spacing w:after="0" w:line="180" w:lineRule="exact"/>
        <w:rPr>
          <w:rFonts w:ascii="Arial" w:cs="Arial" w:eastAsia="Arial" w:hAnsi="Arial"/>
          <w:sz w:val="17"/>
          <w:szCs w:val="17"/>
          <w:color w:val="auto"/>
        </w:rPr>
      </w:pPr>
    </w:p>
    <w:p>
      <w:pPr>
        <w:ind w:left="640" w:right="360" w:hanging="635"/>
        <w:spacing w:after="0" w:line="28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Includes 9,347,591 shares of the Company’s Common Stock directly held by AESV Credit Card Consulting LLC, which is controlled by John Priore. John Priore may be deemed to beneficially own such shares directly or indirectly controlled by him.</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7"/>
          <w:szCs w:val="17"/>
          <w:b w:val="1"/>
          <w:bCs w:val="1"/>
          <w:color w:val="auto"/>
        </w:rPr>
        <w:t>LEGAL MATTERS</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validity of the Common Stock covered by this Prospectus/Offer to Exchange has been passed upon for us by Schulte Roth &amp; Zabel LLP, New York, New York. Certain legal matters relating to the securities offered hereby will be passed upon for the dealer manager by Ellenoff Grossman &amp; Schole LLP, New York, New York.</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EXPERTS</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financial statements of M I Acquisitions, Inc. as of December 31, 2017 and 2016 and for each of the years in the two-year period ended December 31, 2017 have been included in this registration statement, in reliance upon the report of Marcum LLP, independent registered public accounting firm, appearing elsewhere herein, and upon the authority of said firm as experts in accounting and auditing.</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consolidated financial statements of Priority Technology Holdings, Inc. and Subsidiaries as of December 31, 2017 and 2016 and for each of the years in the three-year period ended December 31, 2017 have been audited by RSM US LLP, an independent registered public accounting firm, as stated in their report thereon and included in this Prospectus/Offer to Exchange and registration statement in reliance upon such report and upon the authority of such firm as experts in accounting and auditing.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This Prospectus/Offer to Exchange is part of a registration statement, but does not contain all of the information included in the registration statement or the exhibits. You may read and copy the registration statement and any other document that we file with the SEC at the SEC’s Public Reference Room at 100 F Street, N.E., Washington, D.C. 20549. Please call the SEC at 1-800-SEC-0330 for further information on the Public Reference Room. Our SEC filings are also available to the public on the internet at a website maintained by the SEC located at </w:t>
      </w:r>
      <w:r>
        <w:rPr>
          <w:rFonts w:ascii="Arial" w:cs="Arial" w:eastAsia="Arial" w:hAnsi="Arial"/>
          <w:sz w:val="17"/>
          <w:szCs w:val="17"/>
          <w:i w:val="1"/>
          <w:iCs w:val="1"/>
          <w:color w:val="auto"/>
        </w:rPr>
        <w:t>http://www.sec.gov</w:t>
      </w:r>
      <w:r>
        <w:rPr>
          <w:rFonts w:ascii="Arial" w:cs="Arial" w:eastAsia="Arial" w:hAnsi="Arial"/>
          <w:sz w:val="17"/>
          <w:szCs w:val="17"/>
          <w:color w:val="auto"/>
        </w:rPr>
        <w:t>.</w:t>
      </w:r>
    </w:p>
    <w:p>
      <w:pPr>
        <w:spacing w:after="0" w:line="181"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We will provide, without charge, upon written request or oral request, a copy of any or all of the documents that are exhibits to the registration statement. Such requests should be directed to Priority Technology Holdings, Inc., 2001 Westside Parkway, Alpharetta, GA 30004 or (800) 935-5961.</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360"/>
          </w:cols>
          <w:pgMar w:left="240" w:top="775" w:right="29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7"/>
        </w:trPr>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gridSpan w:val="6"/>
          </w:tcPr>
          <w:p>
            <w:pPr>
              <w:jc w:val="center"/>
              <w:ind w:right="2180"/>
              <w:spacing w:after="0"/>
              <w:rPr>
                <w:sz w:val="20"/>
                <w:szCs w:val="20"/>
                <w:color w:val="auto"/>
              </w:rPr>
            </w:pPr>
            <w:r>
              <w:rPr>
                <w:rFonts w:ascii="Arial" w:cs="Arial" w:eastAsia="Arial" w:hAnsi="Arial"/>
                <w:sz w:val="17"/>
                <w:szCs w:val="17"/>
                <w:b w:val="1"/>
                <w:bCs w:val="1"/>
                <w:color w:val="auto"/>
              </w:rPr>
              <w:t>INDEX TO FINANCIAL STATEMENTS</w:t>
            </w:r>
          </w:p>
        </w:tc>
        <w:tc>
          <w:tcPr>
            <w:tcW w:w="1940" w:type="dxa"/>
            <w:vAlign w:val="bottom"/>
          </w:tcPr>
          <w:p>
            <w:pPr>
              <w:spacing w:after="0"/>
              <w:rPr>
                <w:sz w:val="19"/>
                <w:szCs w:val="19"/>
                <w:color w:val="auto"/>
              </w:rPr>
            </w:pPr>
          </w:p>
        </w:tc>
      </w:tr>
      <w:tr>
        <w:trPr>
          <w:trHeight w:val="419"/>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0" w:type="dxa"/>
            <w:vAlign w:val="bottom"/>
            <w:gridSpan w:val="8"/>
          </w:tcPr>
          <w:p>
            <w:pPr>
              <w:jc w:val="center"/>
              <w:ind w:right="1920"/>
              <w:spacing w:after="0"/>
              <w:rPr>
                <w:sz w:val="20"/>
                <w:szCs w:val="20"/>
                <w:color w:val="auto"/>
              </w:rPr>
            </w:pPr>
            <w:r>
              <w:rPr>
                <w:rFonts w:ascii="Arial" w:cs="Arial" w:eastAsia="Arial" w:hAnsi="Arial"/>
                <w:sz w:val="17"/>
                <w:szCs w:val="17"/>
                <w:color w:val="auto"/>
                <w:w w:val="99"/>
              </w:rPr>
              <w:t>PRIORITY TECHNOLOGY HOLDINGS, INC.</w:t>
            </w:r>
          </w:p>
        </w:tc>
        <w:tc>
          <w:tcPr>
            <w:tcW w:w="1940" w:type="dxa"/>
            <w:vAlign w:val="bottom"/>
          </w:tcPr>
          <w:p>
            <w:pPr>
              <w:spacing w:after="0"/>
              <w:rPr>
                <w:sz w:val="24"/>
                <w:szCs w:val="24"/>
                <w:color w:val="auto"/>
              </w:rPr>
            </w:pPr>
          </w:p>
        </w:tc>
      </w:tr>
      <w:tr>
        <w:trPr>
          <w:trHeight w:val="406"/>
        </w:trPr>
        <w:tc>
          <w:tcPr>
            <w:tcW w:w="9480" w:type="dxa"/>
            <w:vAlign w:val="bottom"/>
            <w:gridSpan w:val="18"/>
          </w:tcPr>
          <w:p>
            <w:pPr>
              <w:spacing w:after="0"/>
              <w:rPr>
                <w:sz w:val="20"/>
                <w:szCs w:val="20"/>
                <w:color w:val="auto"/>
              </w:rPr>
            </w:pPr>
            <w:r>
              <w:rPr>
                <w:rFonts w:ascii="Arial" w:cs="Arial" w:eastAsia="Arial" w:hAnsi="Arial"/>
                <w:sz w:val="17"/>
                <w:szCs w:val="17"/>
                <w:color w:val="auto"/>
              </w:rPr>
              <w:t>For the nine months ended September 30, 2018 and September 30, 2017 (Unaudited):</w:t>
            </w:r>
          </w:p>
        </w:tc>
        <w:tc>
          <w:tcPr>
            <w:tcW w:w="1940" w:type="dxa"/>
            <w:vAlign w:val="bottom"/>
          </w:tcPr>
          <w:p>
            <w:pPr>
              <w:spacing w:after="0"/>
              <w:rPr>
                <w:sz w:val="24"/>
                <w:szCs w:val="24"/>
                <w:color w:val="auto"/>
              </w:rPr>
            </w:pPr>
          </w:p>
        </w:tc>
      </w:tr>
      <w:tr>
        <w:trPr>
          <w:trHeight w:val="182"/>
        </w:trPr>
        <w:tc>
          <w:tcPr>
            <w:tcW w:w="9480" w:type="dxa"/>
            <w:vAlign w:val="bottom"/>
            <w:gridSpan w:val="18"/>
          </w:tcPr>
          <w:p>
            <w:pPr>
              <w:spacing w:after="0" w:line="182" w:lineRule="exact"/>
              <w:rPr>
                <w:rFonts w:ascii="Arial" w:cs="Arial" w:eastAsia="Arial" w:hAnsi="Arial"/>
                <w:sz w:val="17"/>
                <w:szCs w:val="17"/>
                <w:color w:val="0000EE"/>
              </w:rPr>
            </w:pPr>
            <w:hyperlink w:anchor="page125">
              <w:r>
                <w:rPr>
                  <w:rFonts w:ascii="Arial" w:cs="Arial" w:eastAsia="Arial" w:hAnsi="Arial"/>
                  <w:sz w:val="17"/>
                  <w:szCs w:val="17"/>
                  <w:color w:val="0000EE"/>
                </w:rPr>
                <w:t>Condensed Consolidated Balance Sheets</w:t>
              </w:r>
            </w:hyperlink>
          </w:p>
        </w:tc>
        <w:tc>
          <w:tcPr>
            <w:tcW w:w="1940" w:type="dxa"/>
            <w:vAlign w:val="bottom"/>
          </w:tcPr>
          <w:p>
            <w:pPr>
              <w:jc w:val="right"/>
              <w:spacing w:after="0" w:line="182" w:lineRule="exact"/>
              <w:rPr>
                <w:sz w:val="20"/>
                <w:szCs w:val="20"/>
                <w:color w:val="auto"/>
              </w:rPr>
            </w:pPr>
            <w:r>
              <w:rPr>
                <w:rFonts w:ascii="Arial" w:cs="Arial" w:eastAsia="Arial" w:hAnsi="Arial"/>
                <w:sz w:val="17"/>
                <w:szCs w:val="17"/>
                <w:color w:val="auto"/>
              </w:rPr>
              <w:t>F-2</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26">
              <w:r>
                <w:rPr>
                  <w:rFonts w:ascii="Arial" w:cs="Arial" w:eastAsia="Arial" w:hAnsi="Arial"/>
                  <w:sz w:val="17"/>
                  <w:szCs w:val="17"/>
                  <w:color w:val="0000EE"/>
                </w:rPr>
                <w:t>Condensed Consolidated Statements of Operations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27">
              <w:r>
                <w:rPr>
                  <w:rFonts w:ascii="Arial" w:cs="Arial" w:eastAsia="Arial" w:hAnsi="Arial"/>
                  <w:sz w:val="17"/>
                  <w:szCs w:val="17"/>
                  <w:color w:val="0000EE"/>
                </w:rPr>
                <w:t>Condensed Consolidated Statements of Stockholders’ Equity</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F-4</w:t>
            </w:r>
          </w:p>
        </w:tc>
      </w:tr>
      <w:tr>
        <w:trPr>
          <w:trHeight w:val="189"/>
        </w:trPr>
        <w:tc>
          <w:tcPr>
            <w:tcW w:w="4260" w:type="dxa"/>
            <w:vAlign w:val="bottom"/>
            <w:tcBorders>
              <w:top w:val="single" w:sz="8" w:color="0000EE"/>
            </w:tcBorders>
            <w:gridSpan w:val="13"/>
          </w:tcPr>
          <w:p>
            <w:pPr>
              <w:spacing w:after="0" w:line="189" w:lineRule="exact"/>
              <w:rPr>
                <w:rFonts w:ascii="Arial" w:cs="Arial" w:eastAsia="Arial" w:hAnsi="Arial"/>
                <w:sz w:val="17"/>
                <w:szCs w:val="17"/>
                <w:color w:val="0000EE"/>
              </w:rPr>
            </w:pPr>
            <w:hyperlink w:anchor="page128">
              <w:r>
                <w:rPr>
                  <w:rFonts w:ascii="Arial" w:cs="Arial" w:eastAsia="Arial" w:hAnsi="Arial"/>
                  <w:sz w:val="17"/>
                  <w:szCs w:val="17"/>
                  <w:color w:val="0000EE"/>
                </w:rPr>
                <w:t>Condensed Consolidated Statements of Cash Flows</w:t>
              </w:r>
            </w:hyperlink>
          </w:p>
        </w:tc>
        <w:tc>
          <w:tcPr>
            <w:tcW w:w="5220" w:type="dxa"/>
            <w:vAlign w:val="bottom"/>
            <w:gridSpan w:val="5"/>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F-5</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3880" w:type="dxa"/>
            <w:vAlign w:val="bottom"/>
            <w:tcBorders>
              <w:bottom w:val="single" w:sz="8" w:color="0000EE"/>
            </w:tcBorders>
            <w:gridSpan w:val="10"/>
          </w:tcPr>
          <w:p>
            <w:pPr>
              <w:spacing w:after="0" w:line="189" w:lineRule="exact"/>
              <w:rPr>
                <w:rFonts w:ascii="Arial" w:cs="Arial" w:eastAsia="Arial" w:hAnsi="Arial"/>
                <w:sz w:val="17"/>
                <w:szCs w:val="17"/>
                <w:color w:val="0000EE"/>
                <w:w w:val="91"/>
              </w:rPr>
            </w:pPr>
            <w:hyperlink w:anchor="page129">
              <w:r>
                <w:rPr>
                  <w:rFonts w:ascii="Arial" w:cs="Arial" w:eastAsia="Arial" w:hAnsi="Arial"/>
                  <w:sz w:val="17"/>
                  <w:szCs w:val="17"/>
                  <w:color w:val="0000EE"/>
                  <w:w w:val="91"/>
                </w:rPr>
                <w:t>Notes to Condensed Consolidated Financial Statements</w:t>
              </w:r>
            </w:hyperlink>
          </w:p>
        </w:tc>
        <w:tc>
          <w:tcPr>
            <w:tcW w:w="5600" w:type="dxa"/>
            <w:vAlign w:val="bottom"/>
            <w:gridSpan w:val="8"/>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425"/>
        </w:trPr>
        <w:tc>
          <w:tcPr>
            <w:tcW w:w="9480" w:type="dxa"/>
            <w:vAlign w:val="bottom"/>
            <w:gridSpan w:val="18"/>
          </w:tcPr>
          <w:p>
            <w:pPr>
              <w:spacing w:after="0"/>
              <w:rPr>
                <w:sz w:val="20"/>
                <w:szCs w:val="20"/>
                <w:color w:val="auto"/>
              </w:rPr>
            </w:pPr>
            <w:r>
              <w:rPr>
                <w:rFonts w:ascii="Arial" w:cs="Arial" w:eastAsia="Arial" w:hAnsi="Arial"/>
                <w:sz w:val="17"/>
                <w:szCs w:val="17"/>
                <w:color w:val="auto"/>
              </w:rPr>
              <w:t>For the years ended December 31, 2017, 2016 and 2015 (formerly Priority Holdings, LLC):</w:t>
            </w:r>
          </w:p>
        </w:tc>
        <w:tc>
          <w:tcPr>
            <w:tcW w:w="1940" w:type="dxa"/>
            <w:vAlign w:val="bottom"/>
          </w:tcPr>
          <w:p>
            <w:pPr>
              <w:spacing w:after="0"/>
              <w:rPr>
                <w:sz w:val="24"/>
                <w:szCs w:val="24"/>
                <w:color w:val="auto"/>
              </w:rPr>
            </w:pPr>
          </w:p>
        </w:tc>
      </w:tr>
      <w:tr>
        <w:trPr>
          <w:trHeight w:val="182"/>
        </w:trPr>
        <w:tc>
          <w:tcPr>
            <w:tcW w:w="4120" w:type="dxa"/>
            <w:vAlign w:val="bottom"/>
            <w:tcBorders>
              <w:bottom w:val="single" w:sz="8" w:color="0000EE"/>
            </w:tcBorders>
            <w:gridSpan w:val="12"/>
          </w:tcPr>
          <w:p>
            <w:pPr>
              <w:spacing w:after="0" w:line="182" w:lineRule="exact"/>
              <w:rPr>
                <w:rFonts w:ascii="Arial" w:cs="Arial" w:eastAsia="Arial" w:hAnsi="Arial"/>
                <w:sz w:val="17"/>
                <w:szCs w:val="17"/>
                <w:color w:val="0000EE"/>
                <w:w w:val="94"/>
              </w:rPr>
            </w:pPr>
            <w:hyperlink w:anchor="page153">
              <w:r>
                <w:rPr>
                  <w:rFonts w:ascii="Arial" w:cs="Arial" w:eastAsia="Arial" w:hAnsi="Arial"/>
                  <w:sz w:val="17"/>
                  <w:szCs w:val="17"/>
                  <w:color w:val="0000EE"/>
                  <w:w w:val="94"/>
                </w:rPr>
                <w:t>Report of Independent Registered Public Accounting Firm</w:t>
              </w:r>
            </w:hyperlink>
          </w:p>
        </w:tc>
        <w:tc>
          <w:tcPr>
            <w:tcW w:w="5360" w:type="dxa"/>
            <w:vAlign w:val="bottom"/>
            <w:gridSpan w:val="6"/>
          </w:tcPr>
          <w:p>
            <w:pPr>
              <w:spacing w:after="0"/>
              <w:rPr>
                <w:sz w:val="15"/>
                <w:szCs w:val="15"/>
                <w:color w:val="auto"/>
              </w:rPr>
            </w:pPr>
          </w:p>
        </w:tc>
        <w:tc>
          <w:tcPr>
            <w:tcW w:w="1940" w:type="dxa"/>
            <w:vAlign w:val="bottom"/>
          </w:tcPr>
          <w:p>
            <w:pPr>
              <w:jc w:val="right"/>
              <w:spacing w:after="0" w:line="182" w:lineRule="exact"/>
              <w:rPr>
                <w:sz w:val="20"/>
                <w:szCs w:val="20"/>
                <w:color w:val="auto"/>
              </w:rPr>
            </w:pPr>
            <w:r>
              <w:rPr>
                <w:rFonts w:ascii="Arial" w:cs="Arial" w:eastAsia="Arial" w:hAnsi="Arial"/>
                <w:sz w:val="17"/>
                <w:szCs w:val="17"/>
                <w:color w:val="auto"/>
              </w:rPr>
              <w:t>F-30</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4">
              <w:r>
                <w:rPr>
                  <w:rFonts w:ascii="Arial" w:cs="Arial" w:eastAsia="Arial" w:hAnsi="Arial"/>
                  <w:sz w:val="17"/>
                  <w:szCs w:val="17"/>
                  <w:color w:val="0000EE"/>
                </w:rPr>
                <w:t>Consolidated Balance Sheets as of December 31, 2017 and 2016</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F-31</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5">
              <w:r>
                <w:rPr>
                  <w:rFonts w:ascii="Arial" w:cs="Arial" w:eastAsia="Arial" w:hAnsi="Arial"/>
                  <w:sz w:val="17"/>
                  <w:szCs w:val="17"/>
                  <w:color w:val="0000EE"/>
                </w:rPr>
                <w:t>Consolidated Statements of Operations for the years ended December 31, 2017, 2016, and 2015</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F-32</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7860" w:type="dxa"/>
            <w:vAlign w:val="bottom"/>
            <w:tcBorders>
              <w:bottom w:val="single" w:sz="8" w:color="0000EE"/>
            </w:tcBorders>
            <w:gridSpan w:val="17"/>
          </w:tcPr>
          <w:p>
            <w:pPr>
              <w:spacing w:after="0" w:line="189" w:lineRule="exact"/>
              <w:rPr>
                <w:rFonts w:ascii="Arial" w:cs="Arial" w:eastAsia="Arial" w:hAnsi="Arial"/>
                <w:sz w:val="17"/>
                <w:szCs w:val="17"/>
                <w:color w:val="0000EE"/>
                <w:w w:val="93"/>
              </w:rPr>
            </w:pPr>
            <w:hyperlink w:anchor="page156">
              <w:r>
                <w:rPr>
                  <w:rFonts w:ascii="Arial" w:cs="Arial" w:eastAsia="Arial" w:hAnsi="Arial"/>
                  <w:sz w:val="17"/>
                  <w:szCs w:val="17"/>
                  <w:color w:val="0000EE"/>
                  <w:w w:val="93"/>
                </w:rPr>
                <w:t>Consolidated Statements of Changes in Equity (Deficit) for the years ended December 31, 2017, 2016 and 2015</w:t>
              </w:r>
            </w:hyperlink>
          </w:p>
        </w:tc>
        <w:tc>
          <w:tcPr>
            <w:tcW w:w="1620" w:type="dxa"/>
            <w:vAlign w:val="bottom"/>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F-33</w:t>
            </w:r>
          </w:p>
        </w:tc>
      </w:tr>
      <w:tr>
        <w:trPr>
          <w:trHeight w:val="189"/>
        </w:trPr>
        <w:tc>
          <w:tcPr>
            <w:tcW w:w="6740" w:type="dxa"/>
            <w:vAlign w:val="bottom"/>
            <w:tcBorders>
              <w:bottom w:val="single" w:sz="8" w:color="0000EE"/>
            </w:tcBorders>
            <w:gridSpan w:val="16"/>
          </w:tcPr>
          <w:p>
            <w:pPr>
              <w:spacing w:after="0" w:line="189" w:lineRule="exact"/>
              <w:rPr>
                <w:rFonts w:ascii="Arial" w:cs="Arial" w:eastAsia="Arial" w:hAnsi="Arial"/>
                <w:sz w:val="17"/>
                <w:szCs w:val="17"/>
                <w:color w:val="0000EE"/>
                <w:w w:val="91"/>
              </w:rPr>
            </w:pPr>
            <w:hyperlink w:anchor="page157">
              <w:r>
                <w:rPr>
                  <w:rFonts w:ascii="Arial" w:cs="Arial" w:eastAsia="Arial" w:hAnsi="Arial"/>
                  <w:sz w:val="17"/>
                  <w:szCs w:val="17"/>
                  <w:color w:val="0000EE"/>
                  <w:w w:val="91"/>
                </w:rPr>
                <w:t>Consolidated Statements of Cash Flows for the years ended December 31, 2017, 2016, and 2015</w:t>
              </w:r>
            </w:hyperlink>
          </w:p>
        </w:tc>
        <w:tc>
          <w:tcPr>
            <w:tcW w:w="2740" w:type="dxa"/>
            <w:vAlign w:val="bottom"/>
            <w:gridSpan w:val="2"/>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F-34</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58">
              <w:r>
                <w:rPr>
                  <w:rFonts w:ascii="Arial" w:cs="Arial" w:eastAsia="Arial" w:hAnsi="Arial"/>
                  <w:sz w:val="17"/>
                  <w:szCs w:val="17"/>
                  <w:color w:val="0000EE"/>
                </w:rPr>
                <w:t>Notes to Consolidated Financial Statements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F-35</w:t>
            </w:r>
          </w:p>
        </w:tc>
      </w:tr>
      <w:tr>
        <w:trPr>
          <w:trHeight w:val="437"/>
        </w:trPr>
        <w:tc>
          <w:tcPr>
            <w:tcW w:w="10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80" w:type="dxa"/>
            <w:vAlign w:val="bottom"/>
            <w:gridSpan w:val="4"/>
          </w:tcPr>
          <w:p>
            <w:pPr>
              <w:jc w:val="center"/>
              <w:ind w:right="2560"/>
              <w:spacing w:after="0"/>
              <w:rPr>
                <w:sz w:val="20"/>
                <w:szCs w:val="20"/>
                <w:color w:val="auto"/>
              </w:rPr>
            </w:pPr>
            <w:r>
              <w:rPr>
                <w:rFonts w:ascii="Arial" w:cs="Arial" w:eastAsia="Arial" w:hAnsi="Arial"/>
                <w:sz w:val="17"/>
                <w:szCs w:val="17"/>
                <w:color w:val="auto"/>
              </w:rPr>
              <w:t>M I ACQUISITIONS, INC.</w:t>
            </w:r>
          </w:p>
        </w:tc>
        <w:tc>
          <w:tcPr>
            <w:tcW w:w="1940" w:type="dxa"/>
            <w:vAlign w:val="bottom"/>
          </w:tcPr>
          <w:p>
            <w:pPr>
              <w:spacing w:after="0"/>
              <w:rPr>
                <w:sz w:val="24"/>
                <w:szCs w:val="24"/>
                <w:color w:val="auto"/>
              </w:rPr>
            </w:pPr>
          </w:p>
        </w:tc>
      </w:tr>
      <w:tr>
        <w:trPr>
          <w:trHeight w:val="419"/>
        </w:trPr>
        <w:tc>
          <w:tcPr>
            <w:tcW w:w="9480" w:type="dxa"/>
            <w:vAlign w:val="bottom"/>
            <w:gridSpan w:val="18"/>
          </w:tcPr>
          <w:p>
            <w:pPr>
              <w:spacing w:after="0"/>
              <w:rPr>
                <w:sz w:val="20"/>
                <w:szCs w:val="20"/>
                <w:color w:val="auto"/>
              </w:rPr>
            </w:pPr>
            <w:r>
              <w:rPr>
                <w:rFonts w:ascii="Arial" w:cs="Arial" w:eastAsia="Arial" w:hAnsi="Arial"/>
                <w:sz w:val="17"/>
                <w:szCs w:val="17"/>
                <w:color w:val="auto"/>
              </w:rPr>
              <w:t>For the years ended December 31, 2017 and 2016</w:t>
            </w:r>
          </w:p>
        </w:tc>
        <w:tc>
          <w:tcPr>
            <w:tcW w:w="1940" w:type="dxa"/>
            <w:vAlign w:val="bottom"/>
          </w:tcPr>
          <w:p>
            <w:pPr>
              <w:spacing w:after="0"/>
              <w:rPr>
                <w:sz w:val="24"/>
                <w:szCs w:val="24"/>
                <w:color w:val="auto"/>
              </w:rPr>
            </w:pPr>
          </w:p>
        </w:tc>
      </w:tr>
      <w:tr>
        <w:trPr>
          <w:trHeight w:val="380"/>
        </w:trPr>
        <w:tc>
          <w:tcPr>
            <w:tcW w:w="410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185">
              <w:r>
                <w:rPr>
                  <w:rFonts w:ascii="Arial" w:cs="Arial" w:eastAsia="Arial" w:hAnsi="Arial"/>
                  <w:sz w:val="17"/>
                  <w:szCs w:val="17"/>
                  <w:color w:val="0000EE"/>
                  <w:w w:val="93"/>
                </w:rPr>
                <w:t>Report of Independent Registered Public Accounting Firm</w:t>
              </w:r>
            </w:hyperlink>
          </w:p>
        </w:tc>
        <w:tc>
          <w:tcPr>
            <w:tcW w:w="538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7"/>
                <w:szCs w:val="17"/>
                <w:color w:val="auto"/>
              </w:rPr>
              <w:t>F-62</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6">
              <w:r>
                <w:rPr>
                  <w:rFonts w:ascii="Arial" w:cs="Arial" w:eastAsia="Arial" w:hAnsi="Arial"/>
                  <w:sz w:val="17"/>
                  <w:szCs w:val="17"/>
                  <w:color w:val="0000EE"/>
                </w:rPr>
                <w:t>Balance Sheets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F-63</w:t>
            </w:r>
          </w:p>
        </w:tc>
      </w:tr>
      <w:tr>
        <w:trPr>
          <w:trHeight w:val="20"/>
        </w:trPr>
        <w:tc>
          <w:tcPr>
            <w:tcW w:w="10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7">
              <w:r>
                <w:rPr>
                  <w:rFonts w:ascii="Arial" w:cs="Arial" w:eastAsia="Arial" w:hAnsi="Arial"/>
                  <w:sz w:val="17"/>
                  <w:szCs w:val="17"/>
                  <w:color w:val="0000EE"/>
                </w:rPr>
                <w:t>Statements of Operations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F-64</w:t>
            </w:r>
          </w:p>
        </w:tc>
      </w:tr>
      <w:tr>
        <w:trPr>
          <w:trHeight w:val="20"/>
        </w:trPr>
        <w:tc>
          <w:tcPr>
            <w:tcW w:w="17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0" w:type="dxa"/>
            <w:vAlign w:val="bottom"/>
            <w:gridSpan w:val="13"/>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2480" w:type="dxa"/>
            <w:vAlign w:val="bottom"/>
            <w:tcBorders>
              <w:bottom w:val="single" w:sz="8" w:color="0000EE"/>
            </w:tcBorders>
            <w:gridSpan w:val="5"/>
          </w:tcPr>
          <w:p>
            <w:pPr>
              <w:spacing w:after="0" w:line="189" w:lineRule="exact"/>
              <w:rPr>
                <w:rFonts w:ascii="Arial" w:cs="Arial" w:eastAsia="Arial" w:hAnsi="Arial"/>
                <w:sz w:val="17"/>
                <w:szCs w:val="17"/>
                <w:color w:val="0000EE"/>
                <w:w w:val="93"/>
              </w:rPr>
            </w:pPr>
            <w:hyperlink w:anchor="page188">
              <w:r>
                <w:rPr>
                  <w:rFonts w:ascii="Arial" w:cs="Arial" w:eastAsia="Arial" w:hAnsi="Arial"/>
                  <w:sz w:val="17"/>
                  <w:szCs w:val="17"/>
                  <w:color w:val="0000EE"/>
                  <w:w w:val="93"/>
                </w:rPr>
                <w:t>Statements of Stockholders’ Equity</w:t>
              </w:r>
            </w:hyperlink>
          </w:p>
        </w:tc>
        <w:tc>
          <w:tcPr>
            <w:tcW w:w="7000" w:type="dxa"/>
            <w:vAlign w:val="bottom"/>
            <w:gridSpan w:val="13"/>
          </w:tcPr>
          <w:p>
            <w:pPr>
              <w:spacing w:after="0"/>
              <w:rPr>
                <w:sz w:val="16"/>
                <w:szCs w:val="16"/>
                <w:color w:val="auto"/>
              </w:rPr>
            </w:pPr>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F-65</w:t>
            </w: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89">
              <w:r>
                <w:rPr>
                  <w:rFonts w:ascii="Arial" w:cs="Arial" w:eastAsia="Arial" w:hAnsi="Arial"/>
                  <w:sz w:val="17"/>
                  <w:szCs w:val="17"/>
                  <w:color w:val="0000EE"/>
                </w:rPr>
                <w:t>Statements of Cash Flows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F-66</w:t>
            </w:r>
          </w:p>
        </w:tc>
      </w:tr>
      <w:tr>
        <w:trPr>
          <w:trHeight w:val="20"/>
        </w:trPr>
        <w:tc>
          <w:tcPr>
            <w:tcW w:w="18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9"/>
        </w:trPr>
        <w:tc>
          <w:tcPr>
            <w:tcW w:w="9480" w:type="dxa"/>
            <w:vAlign w:val="bottom"/>
            <w:gridSpan w:val="18"/>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Notes to Financial Statements</w:t>
              </w:r>
            </w:hyperlink>
          </w:p>
        </w:tc>
        <w:tc>
          <w:tcPr>
            <w:tcW w:w="1940" w:type="dxa"/>
            <w:vAlign w:val="bottom"/>
          </w:tcPr>
          <w:p>
            <w:pPr>
              <w:jc w:val="right"/>
              <w:spacing w:after="0" w:line="189" w:lineRule="exact"/>
              <w:rPr>
                <w:sz w:val="20"/>
                <w:szCs w:val="20"/>
                <w:color w:val="auto"/>
              </w:rPr>
            </w:pPr>
            <w:r>
              <w:rPr>
                <w:rFonts w:ascii="Arial" w:cs="Arial" w:eastAsia="Arial" w:hAnsi="Arial"/>
                <w:sz w:val="17"/>
                <w:szCs w:val="17"/>
                <w:color w:val="auto"/>
              </w:rPr>
              <w:t>F-67</w:t>
            </w:r>
          </w:p>
        </w:tc>
      </w:tr>
      <w:tr>
        <w:trPr>
          <w:trHeight w:val="562"/>
        </w:trPr>
        <w:tc>
          <w:tcPr>
            <w:tcW w:w="106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4"/>
          </w:tcPr>
          <w:p>
            <w:pPr>
              <w:jc w:val="center"/>
              <w:ind w:right="2580"/>
              <w:spacing w:after="0"/>
              <w:rPr>
                <w:sz w:val="20"/>
                <w:szCs w:val="20"/>
                <w:color w:val="auto"/>
              </w:rPr>
            </w:pPr>
            <w:r>
              <w:rPr>
                <w:rFonts w:ascii="Arial" w:cs="Arial" w:eastAsia="Arial" w:hAnsi="Arial"/>
                <w:sz w:val="17"/>
                <w:szCs w:val="17"/>
                <w:color w:val="auto"/>
                <w:w w:val="93"/>
              </w:rPr>
              <w:t>F-1</w:t>
            </w: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Balance Sheets</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40" w:type="dxa"/>
            <w:vAlign w:val="bottom"/>
            <w:gridSpan w:val="2"/>
          </w:tcPr>
          <w:p>
            <w:pPr>
              <w:spacing w:after="0"/>
              <w:rPr>
                <w:sz w:val="20"/>
                <w:szCs w:val="20"/>
                <w:color w:val="auto"/>
              </w:rPr>
            </w:pPr>
            <w:r>
              <w:rPr>
                <w:rFonts w:ascii="Arial" w:cs="Arial" w:eastAsia="Arial" w:hAnsi="Arial"/>
                <w:sz w:val="17"/>
                <w:szCs w:val="17"/>
                <w:b w:val="1"/>
                <w:bCs w:val="1"/>
                <w:color w:val="auto"/>
              </w:rPr>
              <w:t>As of September 30, 2018 and December 31, 2017</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78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Current Assets: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17,203</w:t>
            </w:r>
          </w:p>
        </w:tc>
        <w:tc>
          <w:tcPr>
            <w:tcW w:w="480" w:type="dxa"/>
            <w:vAlign w:val="bottom"/>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27,966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18,274</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16,193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$295 and $484, respectively</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40,433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47,433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Due from related parties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3,209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Current portion of notes receivable</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2,247</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assets</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2,774</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7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84,409</w:t>
            </w:r>
          </w:p>
        </w:tc>
        <w:tc>
          <w:tcPr>
            <w:tcW w:w="2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Notes receivable, less current portion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786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17,011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Goodwill</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109,366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65,579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Deferred income taxes, net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48,469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7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1,686</w:t>
            </w: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assets</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327,306</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266,707</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LIABILITIES AND EQUITY (DEFICIT)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Accounts payable and accrued expenses</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26,614</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18,603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residual commissions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17,466</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Customer deposits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1,798</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4,853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long-term debt</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2,682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Arial" w:cs="Arial" w:eastAsia="Arial" w:hAnsi="Arial"/>
                <w:sz w:val="17"/>
                <w:szCs w:val="17"/>
                <w:color w:val="auto"/>
              </w:rPr>
              <w:t>Settlement obligations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11,805</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10,474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portion of common unit repurchase obligation</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liabilities</w:t>
            </w:r>
          </w:p>
        </w:tc>
        <w:tc>
          <w:tcPr>
            <w:tcW w:w="7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60,365</w:t>
            </w:r>
          </w:p>
        </w:tc>
        <w:tc>
          <w:tcPr>
            <w:tcW w:w="2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66,482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Long-term debt, net of discounts and deferred financing costs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342,293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267,939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Warrant liability</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Common unit repurchase obligation</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7,690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7,040</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long term liabilities</w:t>
            </w:r>
          </w:p>
        </w:tc>
        <w:tc>
          <w:tcPr>
            <w:tcW w:w="78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349,333</w:t>
            </w:r>
          </w:p>
        </w:tc>
        <w:tc>
          <w:tcPr>
            <w:tcW w:w="240" w:type="dxa"/>
            <w:vAlign w:val="bottom"/>
            <w:tcBorders>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290,380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liabilities</w:t>
            </w: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409,698</w:t>
            </w: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356,862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color w:val="auto"/>
              </w:rPr>
              <w:t>Commitments and Contingencies (Note 9)</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7"/>
                <w:szCs w:val="17"/>
                <w:b w:val="1"/>
                <w:bCs w:val="1"/>
                <w:color w:val="auto"/>
              </w:rPr>
              <w:t>Equity (deficit)</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(82,392)</w:t>
            </w: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(90,155)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Total liabilities and equity (deficit)</w:t>
            </w:r>
          </w:p>
        </w:tc>
        <w:tc>
          <w:tcPr>
            <w:tcW w:w="130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327,306</w:t>
            </w: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266,707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20" w:type="dxa"/>
            <w:vAlign w:val="bottom"/>
            <w:gridSpan w:val="3"/>
          </w:tcPr>
          <w:p>
            <w:pPr>
              <w:ind w:left="3220"/>
              <w:spacing w:after="0"/>
              <w:rPr>
                <w:sz w:val="20"/>
                <w:szCs w:val="20"/>
                <w:color w:val="auto"/>
              </w:rPr>
            </w:pPr>
            <w:r>
              <w:rPr>
                <w:rFonts w:ascii="Arial" w:cs="Arial" w:eastAsia="Arial" w:hAnsi="Arial"/>
                <w:sz w:val="17"/>
                <w:szCs w:val="17"/>
                <w:color w:val="auto"/>
                <w:w w:val="99"/>
              </w:rPr>
              <w:t>See Notes to Unaudited Condensed Consolidated Financial Statements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7320" w:type="dxa"/>
            <w:vAlign w:val="bottom"/>
            <w:tcBorders>
              <w:bottom w:val="single" w:sz="8" w:color="auto"/>
            </w:tcBorders>
          </w:tcPr>
          <w:p>
            <w:pPr>
              <w:ind w:left="5560"/>
              <w:spacing w:after="0"/>
              <w:rPr>
                <w:sz w:val="20"/>
                <w:szCs w:val="20"/>
                <w:color w:val="auto"/>
              </w:rPr>
            </w:pPr>
            <w:r>
              <w:rPr>
                <w:rFonts w:ascii="Arial" w:cs="Arial" w:eastAsia="Arial" w:hAnsi="Arial"/>
                <w:sz w:val="17"/>
                <w:szCs w:val="17"/>
                <w:color w:val="auto"/>
              </w:rPr>
              <w:t>F-2</w:t>
            </w: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62"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Statements of Operations</w:t>
            </w: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600" w:type="dxa"/>
            <w:vAlign w:val="bottom"/>
            <w:gridSpan w:val="2"/>
          </w:tcPr>
          <w:p>
            <w:pPr>
              <w:spacing w:after="0"/>
              <w:rPr>
                <w:sz w:val="20"/>
                <w:szCs w:val="20"/>
                <w:color w:val="auto"/>
              </w:rPr>
            </w:pPr>
            <w:r>
              <w:rPr>
                <w:rFonts w:ascii="Arial" w:cs="Arial" w:eastAsia="Arial" w:hAnsi="Arial"/>
                <w:sz w:val="17"/>
                <w:szCs w:val="17"/>
                <w:b w:val="1"/>
                <w:bCs w:val="1"/>
                <w:color w:val="auto"/>
              </w:rPr>
              <w:t>For the three quarters ended September 30, 2018 and 2017</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right"/>
              <w:ind w:right="598"/>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amounts)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299,661</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286,208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18,426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17,135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Other revenues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5,862</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323,949</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Costs of merchant card fees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230,276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219,507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13,518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11,285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Salary and employee benefits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28,406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24,356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13,978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7,214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10,449</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8,143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309,306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281,349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Income from operations</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14,643</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24,300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530</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(21,893)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Debt modification and extinguishment expenses</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(1,323)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warrant liability</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(3,458)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Equity in loss and impairment of unconsolidated entities</w:t>
            </w: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other expenses</w:t>
            </w:r>
          </w:p>
        </w:tc>
        <w:tc>
          <w:tcPr>
            <w:tcW w:w="1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(27,001</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(21,581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 before income taxes</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(12,358)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(991)</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(11,367)</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65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income per common share:</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(0.19)</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(C-corporation basis) (Note 8):</w:t>
            </w:r>
          </w:p>
        </w:tc>
        <w:tc>
          <w:tcPr>
            <w:tcW w:w="1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Income tax expense (benefit)</w:t>
            </w:r>
          </w:p>
        </w:tc>
        <w:tc>
          <w:tcPr>
            <w:tcW w:w="2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(1,618)</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(loss) income</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(10,740)</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Pr>
          <w:p>
            <w:pPr>
              <w:ind w:left="140"/>
              <w:spacing w:after="0"/>
              <w:rPr>
                <w:sz w:val="20"/>
                <w:szCs w:val="20"/>
                <w:color w:val="auto"/>
              </w:rPr>
            </w:pPr>
            <w:r>
              <w:rPr>
                <w:rFonts w:ascii="Arial" w:cs="Arial" w:eastAsia="Arial" w:hAnsi="Arial"/>
                <w:sz w:val="17"/>
                <w:szCs w:val="17"/>
                <w:color w:val="auto"/>
              </w:rPr>
              <w:t>(Loss) income per common share:</w:t>
            </w: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(0.18)</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color w:val="auto"/>
        </w:rPr>
        <w:t>Priority Technology Holdings, Inc.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 of Changes in Equity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quarters ended September 30, 2018</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Total</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240"/>
              <w:spacing w:after="0" w:line="157" w:lineRule="exact"/>
              <w:rPr>
                <w:sz w:val="20"/>
                <w:szCs w:val="20"/>
                <w:color w:val="auto"/>
              </w:rPr>
            </w:pPr>
            <w:r>
              <w:rPr>
                <w:rFonts w:ascii="Arial" w:cs="Arial" w:eastAsia="Arial" w:hAnsi="Arial"/>
                <w:sz w:val="14"/>
                <w:szCs w:val="14"/>
                <w:color w:val="auto"/>
                <w:w w:val="91"/>
              </w:rPr>
              <w:t>Members’</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94"/>
              </w:rPr>
              <w:t>Paid-In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40" w:type="dxa"/>
            <w:vAlign w:val="bottom"/>
            <w:gridSpan w:val="6"/>
          </w:tcPr>
          <w:p>
            <w:pPr>
              <w:ind w:left="280"/>
              <w:spacing w:after="0"/>
              <w:rPr>
                <w:sz w:val="20"/>
                <w:szCs w:val="20"/>
                <w:color w:val="auto"/>
              </w:rPr>
            </w:pPr>
            <w:r>
              <w:rPr>
                <w:rFonts w:ascii="Arial" w:cs="Arial" w:eastAsia="Arial" w:hAnsi="Arial"/>
                <w:sz w:val="14"/>
                <w:szCs w:val="14"/>
                <w:color w:val="auto"/>
              </w:rPr>
              <w:t>Common Units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Equity</w:t>
            </w:r>
          </w:p>
        </w:tc>
        <w:tc>
          <w:tcPr>
            <w:tcW w:w="1160" w:type="dxa"/>
            <w:vAlign w:val="bottom"/>
            <w:gridSpan w:val="4"/>
          </w:tcPr>
          <w:p>
            <w:pPr>
              <w:jc w:val="right"/>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3"/>
          </w:tcPr>
          <w:p>
            <w:pPr>
              <w:ind w:left="240"/>
              <w:spacing w:after="0"/>
              <w:rPr>
                <w:sz w:val="20"/>
                <w:szCs w:val="20"/>
                <w:color w:val="auto"/>
              </w:rPr>
            </w:pPr>
            <w:r>
              <w:rPr>
                <w:rFonts w:ascii="Arial" w:cs="Arial" w:eastAsia="Arial" w:hAnsi="Arial"/>
                <w:sz w:val="14"/>
                <w:szCs w:val="14"/>
                <w:color w:val="auto"/>
                <w:w w:val="94"/>
              </w:rPr>
              <w:t>Preferred Stock</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4"/>
                <w:szCs w:val="14"/>
                <w:color w:val="auto"/>
              </w:rPr>
            </w:pPr>
          </w:p>
        </w:tc>
        <w:tc>
          <w:tcPr>
            <w:tcW w:w="980" w:type="dxa"/>
            <w:vAlign w:val="bottom"/>
            <w:gridSpan w:val="3"/>
          </w:tcPr>
          <w:p>
            <w:pPr>
              <w:jc w:val="right"/>
              <w:ind w:right="179"/>
              <w:spacing w:after="0"/>
              <w:rPr>
                <w:sz w:val="20"/>
                <w:szCs w:val="20"/>
                <w:color w:val="auto"/>
              </w:rPr>
            </w:pPr>
            <w:r>
              <w:rPr>
                <w:rFonts w:ascii="Arial" w:cs="Arial" w:eastAsia="Arial" w:hAnsi="Arial"/>
                <w:sz w:val="14"/>
                <w:szCs w:val="14"/>
                <w:color w:val="auto"/>
                <w:w w:val="91"/>
              </w:rPr>
              <w:t>Accumulated</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280"/>
              <w:spacing w:after="0" w:line="150" w:lineRule="exact"/>
              <w:rPr>
                <w:sz w:val="20"/>
                <w:szCs w:val="20"/>
                <w:color w:val="auto"/>
              </w:rPr>
            </w:pPr>
            <w:r>
              <w:rPr>
                <w:rFonts w:ascii="Arial" w:cs="Arial" w:eastAsia="Arial" w:hAnsi="Arial"/>
                <w:sz w:val="14"/>
                <w:szCs w:val="14"/>
                <w:color w:val="auto"/>
              </w:rPr>
              <w:t>Units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center"/>
              <w:ind w:right="240"/>
              <w:spacing w:after="0" w:line="150" w:lineRule="exact"/>
              <w:rPr>
                <w:sz w:val="20"/>
                <w:szCs w:val="20"/>
                <w:color w:val="auto"/>
              </w:rPr>
            </w:pPr>
            <w:r>
              <w:rPr>
                <w:rFonts w:ascii="Arial" w:cs="Arial" w:eastAsia="Arial" w:hAnsi="Arial"/>
                <w:sz w:val="14"/>
                <w:szCs w:val="14"/>
                <w:color w:val="auto"/>
                <w:w w:val="99"/>
              </w:rPr>
              <w:t>(Deficit)</w:t>
            </w:r>
          </w:p>
        </w:tc>
        <w:tc>
          <w:tcPr>
            <w:tcW w:w="700" w:type="dxa"/>
            <w:vAlign w:val="bottom"/>
            <w:tcBorders>
              <w:top w:val="single" w:sz="8" w:color="auto"/>
            </w:tcBorders>
            <w:gridSpan w:val="2"/>
          </w:tcPr>
          <w:p>
            <w:pPr>
              <w:jc w:val="right"/>
              <w:ind w:right="240"/>
              <w:spacing w:after="0" w:line="150" w:lineRule="exact"/>
              <w:rPr>
                <w:sz w:val="20"/>
                <w:szCs w:val="20"/>
                <w:color w:val="auto"/>
              </w:rPr>
            </w:pPr>
            <w:r>
              <w:rPr>
                <w:rFonts w:ascii="Arial" w:cs="Arial" w:eastAsia="Arial" w:hAnsi="Arial"/>
                <w:sz w:val="14"/>
                <w:szCs w:val="14"/>
                <w:color w:val="auto"/>
                <w:w w:val="99"/>
              </w:rPr>
              <w:t>Shares</w:t>
            </w: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jc w:val="right"/>
              <w:spacing w:after="0" w:line="150"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800" w:type="dxa"/>
            <w:vAlign w:val="bottom"/>
            <w:tcBorders>
              <w:top w:val="single" w:sz="8" w:color="auto"/>
            </w:tcBorders>
            <w:gridSpan w:val="2"/>
          </w:tcPr>
          <w:p>
            <w:pPr>
              <w:ind w:left="100"/>
              <w:spacing w:after="0" w:line="150" w:lineRule="exact"/>
              <w:rPr>
                <w:sz w:val="20"/>
                <w:szCs w:val="20"/>
                <w:color w:val="auto"/>
              </w:rPr>
            </w:pPr>
            <w:r>
              <w:rPr>
                <w:rFonts w:ascii="Arial" w:cs="Arial" w:eastAsia="Arial" w:hAnsi="Arial"/>
                <w:sz w:val="14"/>
                <w:szCs w:val="14"/>
                <w:color w:val="auto"/>
              </w:rPr>
              <w:t>Shares</w:t>
            </w:r>
          </w:p>
        </w:tc>
        <w:tc>
          <w:tcPr>
            <w:tcW w:w="560" w:type="dxa"/>
            <w:vAlign w:val="bottom"/>
            <w:tcBorders>
              <w:top w:val="single" w:sz="8" w:color="auto"/>
            </w:tcBorders>
            <w:gridSpan w:val="2"/>
          </w:tcPr>
          <w:p>
            <w:pPr>
              <w:ind w:left="60"/>
              <w:spacing w:after="0" w:line="150" w:lineRule="exact"/>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120"/>
              <w:spacing w:after="0" w:line="150" w:lineRule="exact"/>
              <w:rPr>
                <w:sz w:val="20"/>
                <w:szCs w:val="20"/>
                <w:color w:val="auto"/>
              </w:rPr>
            </w:pPr>
            <w:r>
              <w:rPr>
                <w:rFonts w:ascii="Arial" w:cs="Arial" w:eastAsia="Arial" w:hAnsi="Arial"/>
                <w:sz w:val="14"/>
                <w:szCs w:val="14"/>
                <w:color w:val="auto"/>
                <w:w w:val="99"/>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59"/>
              <w:spacing w:after="0" w:line="150" w:lineRule="exact"/>
              <w:rPr>
                <w:sz w:val="20"/>
                <w:szCs w:val="20"/>
                <w:color w:val="auto"/>
              </w:rPr>
            </w:pPr>
            <w:r>
              <w:rPr>
                <w:rFonts w:ascii="Arial" w:cs="Arial" w:eastAsia="Arial" w:hAnsi="Arial"/>
                <w:sz w:val="14"/>
                <w:szCs w:val="14"/>
                <w:color w:val="auto"/>
              </w:rPr>
              <w:t>Deficit</w:t>
            </w:r>
          </w:p>
        </w:tc>
        <w:tc>
          <w:tcPr>
            <w:tcW w:w="660" w:type="dxa"/>
            <w:vAlign w:val="bottom"/>
            <w:gridSpan w:val="3"/>
          </w:tcPr>
          <w:p>
            <w:pPr>
              <w:jc w:val="right"/>
              <w:ind w:right="99"/>
              <w:spacing w:after="0" w:line="150"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0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4"/>
                <w:szCs w:val="14"/>
                <w:color w:val="auto"/>
              </w:rPr>
              <w:t>December 31, 2017, as originally reported</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5,551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88"/>
              </w:rPr>
              <w:t>(90,155)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w w:val="91"/>
              </w:rPr>
              <w:t>(90,155)</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10"/>
              <w:spacing w:after="0" w:line="137"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440"/>
              <w:spacing w:after="0" w:line="137"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30"/>
              <w:spacing w:after="0" w:line="137"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CEEFF"/>
          </w:tcPr>
          <w:p>
            <w:pPr>
              <w:ind w:left="40"/>
              <w:spacing w:after="0" w:line="137"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rPr>
              <w:t>Conversion of units to common stock and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175"/>
        </w:trPr>
        <w:tc>
          <w:tcPr>
            <w:tcW w:w="3320" w:type="dxa"/>
            <w:vAlign w:val="bottom"/>
            <w:gridSpan w:val="2"/>
          </w:tcPr>
          <w:p>
            <w:pPr>
              <w:spacing w:after="0"/>
              <w:rPr>
                <w:sz w:val="20"/>
                <w:szCs w:val="20"/>
                <w:color w:val="auto"/>
              </w:rPr>
            </w:pPr>
            <w:r>
              <w:rPr>
                <w:rFonts w:ascii="Arial" w:cs="Arial" w:eastAsia="Arial" w:hAnsi="Arial"/>
                <w:sz w:val="14"/>
                <w:szCs w:val="14"/>
                <w:color w:val="auto"/>
              </w:rPr>
              <w:t>reclassification of members’ equity (deficit)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90,155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90,155</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73,110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73</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19"/>
              <w:spacing w:after="0"/>
              <w:rPr>
                <w:sz w:val="20"/>
                <w:szCs w:val="20"/>
                <w:color w:val="auto"/>
              </w:rPr>
            </w:pPr>
            <w:r>
              <w:rPr>
                <w:rFonts w:ascii="Arial" w:cs="Arial" w:eastAsia="Arial" w:hAnsi="Arial"/>
                <w:sz w:val="14"/>
                <w:szCs w:val="14"/>
                <w:color w:val="auto"/>
              </w:rPr>
              <w:t>(90,228)</w:t>
            </w: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December 31, 2017, as recasted</w:t>
            </w: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00" w:type="dxa"/>
            <w:vAlign w:val="bottom"/>
            <w:vMerge w:val="continue"/>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73,110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73</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2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19"/>
              <w:spacing w:after="0"/>
              <w:rPr>
                <w:sz w:val="20"/>
                <w:szCs w:val="20"/>
                <w:color w:val="auto"/>
              </w:rPr>
            </w:pPr>
            <w:r>
              <w:rPr>
                <w:rFonts w:ascii="Arial" w:cs="Arial" w:eastAsia="Arial" w:hAnsi="Arial"/>
                <w:sz w:val="14"/>
                <w:szCs w:val="14"/>
                <w:color w:val="auto"/>
              </w:rPr>
              <w:t>(90,228)</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5"/>
              </w:rPr>
              <w:t>(90,155)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w w:val="98"/>
              </w:rPr>
              <w:t>Cash distributions to members in 2018 prior to July 25</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(7,075)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(7,075)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Member redemptions in 2018 prior to July 25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(12,565)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w w:val="96"/>
              </w:rPr>
              <w:t>(13)</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(36,548)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19"/>
              <w:spacing w:after="0" w:line="144" w:lineRule="exact"/>
              <w:rPr>
                <w:sz w:val="20"/>
                <w:szCs w:val="20"/>
                <w:color w:val="auto"/>
              </w:rPr>
            </w:pPr>
            <w:r>
              <w:rPr>
                <w:rFonts w:ascii="Arial" w:cs="Arial" w:eastAsia="Arial" w:hAnsi="Arial"/>
                <w:sz w:val="14"/>
                <w:szCs w:val="14"/>
                <w:color w:val="auto"/>
              </w:rPr>
              <w:t>(28,342)</w:t>
            </w:r>
          </w:p>
        </w:tc>
        <w:tc>
          <w:tcPr>
            <w:tcW w:w="80" w:type="dxa"/>
            <w:vAlign w:val="bottom"/>
          </w:tcPr>
          <w:p>
            <w:pPr>
              <w:spacing w:after="0"/>
              <w:rPr>
                <w:sz w:val="12"/>
                <w:szCs w:val="12"/>
                <w:color w:val="auto"/>
              </w:rPr>
            </w:pPr>
          </w:p>
        </w:tc>
        <w:tc>
          <w:tcPr>
            <w:tcW w:w="580" w:type="dxa"/>
            <w:vAlign w:val="bottom"/>
            <w:gridSpan w:val="2"/>
          </w:tcPr>
          <w:p>
            <w:pPr>
              <w:jc w:val="right"/>
              <w:ind w:right="19"/>
              <w:spacing w:after="0" w:line="144" w:lineRule="exact"/>
              <w:rPr>
                <w:sz w:val="20"/>
                <w:szCs w:val="20"/>
                <w:color w:val="auto"/>
              </w:rPr>
            </w:pPr>
            <w:r>
              <w:rPr>
                <w:rFonts w:ascii="Arial" w:cs="Arial" w:eastAsia="Arial" w:hAnsi="Arial"/>
                <w:sz w:val="14"/>
                <w:szCs w:val="14"/>
                <w:b w:val="1"/>
                <w:bCs w:val="1"/>
                <w:color w:val="auto"/>
                <w:w w:val="95"/>
              </w:rPr>
              <w:t>(64,903)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Conversion of MI Acquisitions shares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6,676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7</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49,382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4" w:lineRule="exact"/>
              <w:rPr>
                <w:sz w:val="20"/>
                <w:szCs w:val="20"/>
                <w:color w:val="auto"/>
              </w:rPr>
            </w:pPr>
            <w:r>
              <w:rPr>
                <w:rFonts w:ascii="Arial" w:cs="Arial" w:eastAsia="Arial" w:hAnsi="Arial"/>
                <w:sz w:val="14"/>
                <w:szCs w:val="14"/>
                <w:b w:val="1"/>
                <w:bCs w:val="1"/>
                <w:color w:val="auto"/>
              </w:rPr>
              <w:t>49,389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Pro-rata adjustment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80"/>
              <w:spacing w:after="0" w:line="144" w:lineRule="exact"/>
              <w:rPr>
                <w:sz w:val="20"/>
                <w:szCs w:val="20"/>
                <w:color w:val="auto"/>
              </w:rPr>
            </w:pPr>
            <w:r>
              <w:rPr>
                <w:rFonts w:ascii="Arial" w:cs="Arial" w:eastAsia="Arial" w:hAnsi="Arial"/>
                <w:sz w:val="14"/>
                <w:szCs w:val="14"/>
                <w:color w:val="auto"/>
              </w:rPr>
              <w:t>(724)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4"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Effects of Founders’ Share Agreement</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(2,118)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(2,118)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line="144" w:lineRule="exact"/>
              <w:rPr>
                <w:sz w:val="20"/>
                <w:szCs w:val="20"/>
                <w:color w:val="auto"/>
              </w:rPr>
            </w:pPr>
            <w:r>
              <w:rPr>
                <w:rFonts w:ascii="Arial" w:cs="Arial" w:eastAsia="Arial" w:hAnsi="Arial"/>
                <w:sz w:val="14"/>
                <w:szCs w:val="14"/>
                <w:color w:val="auto"/>
              </w:rPr>
              <w:t>Equity-based compensation arrangements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gridSpan w:val="2"/>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40"/>
              <w:spacing w:after="0" w:line="144" w:lineRule="exact"/>
              <w:rPr>
                <w:sz w:val="20"/>
                <w:szCs w:val="20"/>
                <w:color w:val="auto"/>
              </w:rPr>
            </w:pPr>
            <w:r>
              <w:rPr>
                <w:rFonts w:ascii="Arial" w:cs="Arial" w:eastAsia="Arial" w:hAnsi="Arial"/>
                <w:sz w:val="14"/>
                <w:szCs w:val="14"/>
                <w:color w:val="auto"/>
              </w:rPr>
              <w:t>1,063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59"/>
              <w:spacing w:after="0" w:line="144" w:lineRule="exact"/>
              <w:rPr>
                <w:sz w:val="20"/>
                <w:szCs w:val="20"/>
                <w:color w:val="auto"/>
              </w:rPr>
            </w:pPr>
            <w:r>
              <w:rPr>
                <w:rFonts w:ascii="Arial" w:cs="Arial" w:eastAsia="Arial" w:hAnsi="Arial"/>
                <w:sz w:val="14"/>
                <w:szCs w:val="14"/>
                <w:b w:val="1"/>
                <w:bCs w:val="1"/>
                <w:color w:val="auto"/>
              </w:rPr>
              <w:t>1,063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Recapitalization costs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4" w:lineRule="exact"/>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9"/>
              <w:spacing w:after="0" w:line="144" w:lineRule="exact"/>
              <w:rPr>
                <w:sz w:val="20"/>
                <w:szCs w:val="20"/>
                <w:color w:val="auto"/>
              </w:rPr>
            </w:pPr>
            <w:r>
              <w:rPr>
                <w:rFonts w:ascii="Arial" w:cs="Arial" w:eastAsia="Arial" w:hAnsi="Arial"/>
                <w:sz w:val="14"/>
                <w:szCs w:val="14"/>
                <w:b w:val="1"/>
                <w:bCs w:val="1"/>
                <w:color w:val="auto"/>
              </w:rPr>
              <w:t>(9,704)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00" w:type="dxa"/>
            <w:vAlign w:val="bottom"/>
          </w:tcPr>
          <w:p>
            <w:pPr>
              <w:spacing w:after="0" w:line="125" w:lineRule="exact"/>
              <w:rPr>
                <w:sz w:val="20"/>
                <w:szCs w:val="20"/>
                <w:color w:val="auto"/>
              </w:rPr>
            </w:pPr>
            <w:r>
              <w:rPr>
                <w:rFonts w:ascii="Arial" w:cs="Arial" w:eastAsia="Arial" w:hAnsi="Arial"/>
                <w:sz w:val="14"/>
                <w:szCs w:val="14"/>
                <w:color w:val="auto"/>
                <w:w w:val="95"/>
              </w:rPr>
              <w:t>Net deferred income taxes related to loss of partnership</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47,478</w:t>
            </w:r>
          </w:p>
        </w:tc>
        <w:tc>
          <w:tcPr>
            <w:tcW w:w="0" w:type="dxa"/>
            <w:vAlign w:val="bottom"/>
          </w:tcPr>
          <w:p>
            <w:pPr>
              <w:spacing w:after="0"/>
              <w:rPr>
                <w:sz w:val="1"/>
                <w:szCs w:val="1"/>
                <w:color w:val="auto"/>
              </w:rPr>
            </w:pPr>
          </w:p>
        </w:tc>
      </w:tr>
      <w:tr>
        <w:trPr>
          <w:trHeight w:val="162"/>
        </w:trPr>
        <w:tc>
          <w:tcPr>
            <w:tcW w:w="3320" w:type="dxa"/>
            <w:vAlign w:val="bottom"/>
            <w:gridSpan w:val="2"/>
          </w:tcPr>
          <w:p>
            <w:pPr>
              <w:spacing w:after="0"/>
              <w:rPr>
                <w:sz w:val="20"/>
                <w:szCs w:val="20"/>
                <w:color w:val="auto"/>
              </w:rPr>
            </w:pPr>
            <w:r>
              <w:rPr>
                <w:rFonts w:ascii="Arial" w:cs="Arial" w:eastAsia="Arial" w:hAnsi="Arial"/>
                <w:sz w:val="14"/>
                <w:szCs w:val="14"/>
                <w:color w:val="auto"/>
              </w:rPr>
              <w:t>status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47,478</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Common stock issued for business acquisitions</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4"/>
                <w:szCs w:val="14"/>
                <w:color w:val="auto"/>
              </w:rPr>
              <w:t>(a)</w:t>
            </w:r>
          </w:p>
        </w:tc>
        <w:tc>
          <w:tcPr>
            <w:tcW w:w="800" w:type="dxa"/>
            <w:vAlign w:val="bottom"/>
            <w:gridSpan w:val="2"/>
            <w:shd w:val="clear" w:color="auto" w:fill="CCEEFF"/>
          </w:tcPr>
          <w:p>
            <w:pPr>
              <w:ind w:left="440"/>
              <w:spacing w:after="0" w:line="144"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40"/>
              <w:spacing w:after="0" w:line="144"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59"/>
              <w:spacing w:after="0" w:line="144"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59"/>
              <w:spacing w:after="0" w:line="144" w:lineRule="exact"/>
              <w:rPr>
                <w:sz w:val="20"/>
                <w:szCs w:val="20"/>
                <w:color w:val="auto"/>
              </w:rPr>
            </w:pPr>
            <w:r>
              <w:rPr>
                <w:rFonts w:ascii="Arial" w:cs="Arial" w:eastAsia="Arial" w:hAnsi="Arial"/>
                <w:sz w:val="14"/>
                <w:szCs w:val="14"/>
                <w:b w:val="1"/>
                <w:bCs w:val="1"/>
                <w:color w:val="auto"/>
              </w:rPr>
              <w:t>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119"/>
              <w:spacing w:after="0" w:line="157" w:lineRule="exact"/>
              <w:rPr>
                <w:sz w:val="20"/>
                <w:szCs w:val="20"/>
                <w:color w:val="auto"/>
              </w:rPr>
            </w:pPr>
            <w:r>
              <w:rPr>
                <w:rFonts w:ascii="Arial" w:cs="Arial" w:eastAsia="Arial" w:hAnsi="Arial"/>
                <w:sz w:val="14"/>
                <w:szCs w:val="14"/>
                <w:color w:val="auto"/>
              </w:rPr>
              <w:t>(11,367)</w:t>
            </w:r>
          </w:p>
        </w:tc>
        <w:tc>
          <w:tcPr>
            <w:tcW w:w="80" w:type="dxa"/>
            <w:vAlign w:val="bottom"/>
          </w:tcPr>
          <w:p>
            <w:pPr>
              <w:spacing w:after="0"/>
              <w:rPr>
                <w:sz w:val="13"/>
                <w:szCs w:val="13"/>
                <w:color w:val="auto"/>
              </w:rPr>
            </w:pPr>
          </w:p>
        </w:tc>
        <w:tc>
          <w:tcPr>
            <w:tcW w:w="580" w:type="dxa"/>
            <w:vAlign w:val="bottom"/>
            <w:gridSpan w:val="2"/>
          </w:tcPr>
          <w:p>
            <w:pPr>
              <w:jc w:val="right"/>
              <w:ind w:right="19"/>
              <w:spacing w:after="0" w:line="157" w:lineRule="exact"/>
              <w:rPr>
                <w:sz w:val="20"/>
                <w:szCs w:val="20"/>
                <w:color w:val="auto"/>
              </w:rPr>
            </w:pPr>
            <w:r>
              <w:rPr>
                <w:rFonts w:ascii="Arial" w:cs="Arial" w:eastAsia="Arial" w:hAnsi="Arial"/>
                <w:sz w:val="14"/>
                <w:szCs w:val="14"/>
                <w:b w:val="1"/>
                <w:bCs w:val="1"/>
                <w:color w:val="auto"/>
                <w:w w:val="95"/>
              </w:rPr>
              <w:t>(11,367)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September 30, 2018</w:t>
            </w: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vMerge w:val="continue"/>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67,047</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67</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b w:val="1"/>
                <w:bCs w:val="1"/>
                <w:color w:val="auto"/>
                <w:w w:val="76"/>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(82,459</w:t>
            </w:r>
          </w:p>
        </w:tc>
        <w:tc>
          <w:tcPr>
            <w:tcW w:w="2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(82,392</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3240" w:right="2640" w:hanging="593"/>
        <w:spacing w:after="0" w:line="650" w:lineRule="auto"/>
        <w:tabs>
          <w:tab w:leader="none" w:pos="2877" w:val="left"/>
        </w:tabs>
        <w:numPr>
          <w:ilvl w:val="0"/>
          <w:numId w:val="69"/>
        </w:numPr>
        <w:rPr>
          <w:rFonts w:ascii="Arial" w:cs="Arial" w:eastAsia="Arial" w:hAnsi="Arial"/>
          <w:sz w:val="15"/>
          <w:szCs w:val="15"/>
          <w:color w:val="auto"/>
        </w:rPr>
      </w:pPr>
      <w:r>
        <w:rPr>
          <w:rFonts w:ascii="Arial" w:cs="Arial" w:eastAsia="Arial" w:hAnsi="Arial"/>
          <w:sz w:val="15"/>
          <w:szCs w:val="15"/>
          <w:color w:val="auto"/>
        </w:rPr>
        <w:t>Par value of 475,195 common shares issued rounds to less than one thousand dollars See Notes to Unaudited Condensed Consolidated Financial Statements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7"/>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Priority Technology Holdings, Inc.</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Statements of Cash Flows</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80" w:type="dxa"/>
            <w:vAlign w:val="bottom"/>
            <w:gridSpan w:val="2"/>
          </w:tcPr>
          <w:p>
            <w:pPr>
              <w:spacing w:after="0"/>
              <w:rPr>
                <w:sz w:val="20"/>
                <w:szCs w:val="20"/>
                <w:color w:val="auto"/>
              </w:rPr>
            </w:pPr>
            <w:r>
              <w:rPr>
                <w:rFonts w:ascii="Arial" w:cs="Arial" w:eastAsia="Arial" w:hAnsi="Arial"/>
                <w:sz w:val="17"/>
                <w:szCs w:val="17"/>
                <w:b w:val="1"/>
                <w:bCs w:val="1"/>
                <w:color w:val="auto"/>
              </w:rPr>
              <w:t>For the three quarters ended September 30, 2018 and 2017</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right"/>
              <w:ind w:right="598"/>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353"/>
              <w:spacing w:after="0"/>
              <w:rPr>
                <w:sz w:val="20"/>
                <w:szCs w:val="20"/>
                <w:color w:val="auto"/>
              </w:rPr>
            </w:pPr>
            <w:r>
              <w:rPr>
                <w:rFonts w:ascii="Arial" w:cs="Arial" w:eastAsia="Arial" w:hAnsi="Arial"/>
                <w:sz w:val="17"/>
                <w:szCs w:val="17"/>
                <w:b w:val="1"/>
                <w:bCs w:val="1"/>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Net (loss) income</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(11,367)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 to reconcile net (loss) income to net cash provided by operating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12,679</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11,254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Equity-based compensation</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1,063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726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Amortization of 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606</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Amortization of debt discount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446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Equity in loss and impairment of unconsolidated entities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857</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Provision for deferred income taxes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(991)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Change in fair value of warrant liability</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3,458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1,455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Change in fair value of contingent consideration</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Loss on debt extinguishment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541</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1,753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Payment in kind interest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3,623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3,795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Change in operating assets and liabilities, net of business acquisitions: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receivable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7,357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Settlement assets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4,434</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412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3,657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Notes receivable</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3,661</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Accounts payable, accrued expenses and accrued residual commissions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434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9,499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Settlement obligations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1,330</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2,382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Customer deposits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(3,055)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300"/>
              <w:spacing w:after="0"/>
              <w:rPr>
                <w:sz w:val="20"/>
                <w:szCs w:val="20"/>
                <w:color w:val="auto"/>
              </w:rPr>
            </w:pPr>
            <w:r>
              <w:rPr>
                <w:rFonts w:ascii="Arial" w:cs="Arial" w:eastAsia="Arial" w:hAnsi="Arial"/>
                <w:sz w:val="17"/>
                <w:szCs w:val="17"/>
                <w:color w:val="auto"/>
              </w:rPr>
              <w:t>Other assets and liabilities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(652)</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operating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24,836</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Acquisition of businesses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(7,508)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property and equipment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(8,406)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Acquisitions of merchant portfolios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(26,431)</w:t>
            </w: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used in investing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(42,345</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Proceeds from issuance of long term debt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38"/>
              <w:spacing w:after="0"/>
              <w:rPr>
                <w:sz w:val="20"/>
                <w:szCs w:val="20"/>
                <w:color w:val="auto"/>
              </w:rPr>
            </w:pPr>
            <w:r>
              <w:rPr>
                <w:rFonts w:ascii="Arial" w:cs="Arial" w:eastAsia="Arial" w:hAnsi="Arial"/>
                <w:sz w:val="17"/>
                <w:szCs w:val="17"/>
                <w:color w:val="auto"/>
              </w:rPr>
              <w:t>67,113</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276,290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long term debt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(2,011)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(322)</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to members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(7,075)</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Redemption of membership interest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(74,093)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(203,000)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Recapitalization proceeds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49,389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Founders shares redemptions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(2,118)</w:t>
            </w:r>
          </w:p>
        </w:tc>
        <w:tc>
          <w:tcPr>
            <w:tcW w:w="420" w:type="dxa"/>
            <w:vAlign w:val="bottom"/>
          </w:tcPr>
          <w:p>
            <w:pPr>
              <w:spacing w:after="0"/>
              <w:rPr>
                <w:sz w:val="18"/>
                <w:szCs w:val="18"/>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Redemption of warrants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(12,701)</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7"/>
                <w:szCs w:val="17"/>
                <w:color w:val="auto"/>
              </w:rPr>
              <w:t>Recapitalization costs</w:t>
            </w: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78"/>
              <w:spacing w:after="0"/>
              <w:rPr>
                <w:sz w:val="20"/>
                <w:szCs w:val="20"/>
                <w:color w:val="auto"/>
              </w:rPr>
            </w:pPr>
            <w:r>
              <w:rPr>
                <w:rFonts w:ascii="Arial" w:cs="Arial" w:eastAsia="Arial" w:hAnsi="Arial"/>
                <w:sz w:val="17"/>
                <w:szCs w:val="17"/>
                <w:color w:val="auto"/>
              </w:rPr>
              <w:t>(9,355)</w:t>
            </w:r>
          </w:p>
        </w:tc>
        <w:tc>
          <w:tcPr>
            <w:tcW w:w="420" w:type="dxa"/>
            <w:vAlign w:val="bottom"/>
          </w:tcPr>
          <w:p>
            <w:pPr>
              <w:spacing w:after="0"/>
              <w:rPr>
                <w:sz w:val="19"/>
                <w:szCs w:val="19"/>
                <w:color w:val="auto"/>
              </w:rPr>
            </w:pPr>
          </w:p>
        </w:tc>
        <w:tc>
          <w:tcPr>
            <w:tcW w:w="9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8,827</w:t>
            </w: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762" w:right="239" w:bottom="530" w:gutter="0" w:footer="0" w:header="0"/>
        </w:sectPr>
      </w:pPr>
    </w:p>
    <w:p>
      <w:pPr>
        <w:spacing w:after="0"/>
        <w:rPr>
          <w:sz w:val="20"/>
          <w:szCs w:val="20"/>
          <w:color w:val="auto"/>
        </w:rPr>
      </w:pPr>
      <w:r>
        <w:rPr>
          <w:rFonts w:ascii="Arial" w:cs="Arial" w:eastAsia="Arial" w:hAnsi="Arial"/>
          <w:sz w:val="17"/>
          <w:szCs w:val="17"/>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32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decrease in cash and restricted cash</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and restricted cash at the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51065" cy="140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restricted cash at September 30</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(8,682)</w:t>
            </w:r>
          </w:p>
        </w:tc>
        <w:tc>
          <w:tcPr>
            <w:tcW w:w="4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(3,246)</w:t>
            </w:r>
          </w:p>
        </w:tc>
      </w:tr>
      <w:tr>
        <w:trPr>
          <w:trHeight w:val="223"/>
        </w:trPr>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44,159</w:t>
            </w: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41,702</w:t>
            </w:r>
          </w:p>
        </w:tc>
        <w:tc>
          <w:tcPr>
            <w:tcW w:w="60" w:type="dxa"/>
            <w:vAlign w:val="bottom"/>
          </w:tcPr>
          <w:p>
            <w:pPr>
              <w:spacing w:after="0"/>
              <w:rPr>
                <w:sz w:val="19"/>
                <w:szCs w:val="19"/>
                <w:color w:val="auto"/>
              </w:rPr>
            </w:pPr>
          </w:p>
        </w:tc>
      </w:tr>
      <w:tr>
        <w:trPr>
          <w:trHeight w:val="215"/>
        </w:trPr>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35,477</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38,456</w:t>
            </w:r>
          </w:p>
        </w:tc>
        <w:tc>
          <w:tcPr>
            <w:tcW w:w="60" w:type="dxa"/>
            <w:vAlign w:val="bottom"/>
          </w:tcPr>
          <w:p>
            <w:pPr>
              <w:spacing w:after="0"/>
              <w:rPr>
                <w:sz w:val="18"/>
                <w:szCs w:val="18"/>
                <w:color w:val="auto"/>
              </w:rPr>
            </w:pP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762" w:right="239" w:bottom="53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2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280" w:type="dxa"/>
            <w:vAlign w:val="bottom"/>
            <w:gridSpan w:val="2"/>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16,537</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7"/>
                <w:szCs w:val="17"/>
                <w:color w:val="auto"/>
              </w:rPr>
              <w:t>Recognition of initial net deferred income tax asset</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47,478</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Notes receivable from sellers used as partial consideration for business acquisitions</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560</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Purchase of property and equipment through accounts payable</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119</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consideration payable for business acquisition</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184</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Recapitalization costs remaining in accounts payable</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349</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issued as partial consideration in business acquisitions</w:t>
            </w:r>
          </w:p>
        </w:tc>
        <w:tc>
          <w:tcPr>
            <w:tcW w:w="17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5,000</w:t>
            </w:r>
          </w:p>
        </w:tc>
        <w:tc>
          <w:tcPr>
            <w:tcW w:w="5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60" w:type="dxa"/>
            <w:vAlign w:val="bottom"/>
          </w:tcPr>
          <w:p>
            <w:pPr>
              <w:ind w:left="140"/>
              <w:spacing w:after="0"/>
              <w:rPr>
                <w:sz w:val="20"/>
                <w:szCs w:val="20"/>
                <w:color w:val="auto"/>
              </w:rPr>
            </w:pPr>
            <w:r>
              <w:rPr>
                <w:rFonts w:ascii="Arial" w:cs="Arial" w:eastAsia="Arial" w:hAnsi="Arial"/>
                <w:sz w:val="17"/>
                <w:szCs w:val="17"/>
                <w:color w:val="auto"/>
              </w:rPr>
              <w:t>Common unit repurchase obligation</w:t>
            </w:r>
          </w:p>
        </w:tc>
        <w:tc>
          <w:tcPr>
            <w:tcW w:w="17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9,190</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530" w:gutter="0" w:footer="0" w:header="0"/>
          <w:type w:val="continuous"/>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right="7020" w:firstLine="5"/>
        <w:spacing w:after="0" w:line="517" w:lineRule="auto"/>
        <w:tabs>
          <w:tab w:leader="none" w:pos="433"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AND BASIS OF PRESENTATION Nature of Business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Priority provides:</w:t>
      </w:r>
    </w:p>
    <w:p>
      <w:pPr>
        <w:spacing w:after="0" w:line="223" w:lineRule="exact"/>
        <w:rPr>
          <w:sz w:val="20"/>
          <w:szCs w:val="20"/>
          <w:color w:val="auto"/>
        </w:rPr>
      </w:pPr>
    </w:p>
    <w:p>
      <w:pPr>
        <w:jc w:val="both"/>
        <w:ind w:left="640" w:hanging="321"/>
        <w:spacing w:after="0" w:line="261"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Consumer payments processing solutions for business-to-consumer (“B2C”) transactions through independent sales organizations (“ISOs”), financial institutions, independent software vendors (“ISVs”), and other referral partners. Priority’s proprietary MX platform for B2C payments provides merchants a fully customizable suite of business management solutions.</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2" w:lineRule="exact"/>
        <w:rPr>
          <w:rFonts w:ascii="Arial" w:cs="Arial" w:eastAsia="Arial" w:hAnsi="Arial"/>
          <w:sz w:val="17"/>
          <w:szCs w:val="17"/>
          <w:color w:val="auto"/>
        </w:rPr>
      </w:pPr>
    </w:p>
    <w:p>
      <w:pPr>
        <w:ind w:left="640" w:hanging="321"/>
        <w:spacing w:after="0" w:line="291" w:lineRule="auto"/>
        <w:tabs>
          <w:tab w:leader="none" w:pos="6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ind w:left="640" w:hanging="321"/>
        <w:spacing w:after="0" w:line="256"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Integrated partners solutions for ISVs and other third-parties that allow them to leverage the Company’s core payments engine via robust application program interfaces (“APIs”) resources and high-utility embeddable code.</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Recapitalization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Inc. (“MI” or “MI Acquisitions”)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 Simultaneously with the Business Combination, MI Acquisitions changed its name to Priority Technology Holdings, Inc. and the symbol for its common stock on Nasdaq became PRTH.</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w:t>
      </w:r>
      <w:r>
        <w:rPr>
          <w:rFonts w:ascii="Arial" w:cs="Arial" w:eastAsia="Arial" w:hAnsi="Arial"/>
          <w:sz w:val="17"/>
          <w:szCs w:val="17"/>
          <w:color w:val="222222"/>
        </w:rPr>
        <w:t>The units</w:t>
      </w:r>
      <w:r>
        <w:rPr>
          <w:rFonts w:ascii="Arial" w:cs="Arial" w:eastAsia="Arial" w:hAnsi="Arial"/>
          <w:sz w:val="17"/>
          <w:szCs w:val="17"/>
          <w:color w:val="auto"/>
        </w:rPr>
        <w:t xml:space="preserve"> </w:t>
      </w:r>
      <w:r>
        <w:rPr>
          <w:rFonts w:ascii="Arial" w:cs="Arial" w:eastAsia="Arial" w:hAnsi="Arial"/>
          <w:sz w:val="17"/>
          <w:szCs w:val="17"/>
          <w:color w:val="222222"/>
        </w:rPr>
        <w:t>and corresponding capital amounts and earnings per unit of Priority prior to the Recapitalization have been retroactively restated as shares reflecting the exchange ratio established in the Recapitalization.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more information on the Company’s equity structure, see Note 11, </w:t>
      </w:r>
      <w:r>
        <w:rPr>
          <w:rFonts w:ascii="Arial" w:cs="Arial" w:eastAsia="Arial" w:hAnsi="Arial"/>
          <w:sz w:val="17"/>
          <w:szCs w:val="17"/>
          <w:i w:val="1"/>
          <w:iCs w:val="1"/>
          <w:color w:val="auto"/>
        </w:rPr>
        <w:t>Equity</w:t>
      </w:r>
      <w:r>
        <w:rPr>
          <w:rFonts w:ascii="Arial" w:cs="Arial" w:eastAsia="Arial" w:hAnsi="Arial"/>
          <w:sz w:val="17"/>
          <w:szCs w:val="17"/>
          <w:color w:val="auto"/>
        </w:rPr>
        <w:t>, to these unaudited condensed consolidated financial statements.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MI Acquisitions is a taxable “C Corp” for income tax purposes. As a result of Priority’s acquisition by MI Acquisitions, the combined Company is now a taxable “C Corp” that reports all of Priority’s income and deductions for income tax purposes. Accordingly, the consolidated financial statements of the Company now account for income taxes in accordance with Accounting Standards Codification (“ASC”) 740, Income Taxes (“ASC 740”). See Note 8, </w:t>
      </w:r>
      <w:r>
        <w:rPr>
          <w:rFonts w:ascii="Arial" w:cs="Arial" w:eastAsia="Arial" w:hAnsi="Arial"/>
          <w:sz w:val="17"/>
          <w:szCs w:val="17"/>
          <w:i w:val="1"/>
          <w:iCs w:val="1"/>
          <w:color w:val="auto"/>
        </w:rPr>
        <w:t>Income Taxes</w:t>
      </w:r>
      <w:r>
        <w:rPr>
          <w:rFonts w:ascii="Arial" w:cs="Arial" w:eastAsia="Arial" w:hAnsi="Arial"/>
          <w:sz w:val="17"/>
          <w:szCs w:val="17"/>
          <w:color w:val="auto"/>
        </w:rPr>
        <w:t>, to these unaudited condensed consolidated financial statements.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 operates in two reportable segments, Consumer Payments and Commercial Payments and Managed Services. For more information about the Company’s segments, refer to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these unaudited condensed consolidated financial statements. The Business Combination did not impact the Company’s reportable segments as MI was a SPAC with substantially no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“Other assets” in the accompanying unaudited condensed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These unaudited condensed consolidated financial statements: 1) have been prepared in accordance with U.S. GAAP for interim financial information and the rules and regulations of the U.S. Securities and Exchange Commission (the “SEC”) and 2) should be read in connection with Priority’s audited consolidated financial statements and related notes as of and for the year ended December 31, 2017 included as Exhibit 99.2 to the Company’s Current Report on Form 8-K filed July 31, 2018 (the “Form 8-K”).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2017 were derived from Priority’s audited consolidated financial statements and accompanying footnotes as of and for the year ended December 31, 2017 included in the Form 8-K.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materially differ from those estimates.</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(“JOBS Act”). The Company may remain an EGC until December 31, 2021. However, if the Company’s non-convertible debt issued within a rolling three-year period exceeds $1.0 billion, the Company would cease to be an EGC immediately, or if its revenues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(Loss)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Comprehensive income (loss) represents the sum of net income (loss) and other amounts that are not included in the unaudited condensed consolidated statement of operations as the amounts have not been realized. For the three quarters ended September 30, 2018 and 2017, there were no differences between the Company’s net income (loss) and comprehensive income (loss). Therefore, no separate Statement of Other Comprehensive Income (Loss) is included in the financial statements for the reporting periods.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2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Since MI Acquisitions had substantially no business operations as a SPAC, its limited accounting policies were not in conflict with those of Priority. Accordingly, the combined Company uses the accounting policies of Priority as described in Note 1 to Priority’s audited consolidated financial statements as of and for the year ended December 31, 2017 included in the Form 8-K. There have been no material changes to these accounting policies, except as noted below for the: 1) new accounting pronouncement adopted in the first three quarters of 2018; 2) adoption of an accounting policy for income taxes for the Company during the first three quarters of 2018; 3) updated accounting policy for earnings per share; and 4) updated fair value accounting policy for contingent consideration associated with business combinations. Accounting policies, as previously disclosed in Note 1 to Priority’s audited consolidated financial statements as of and for the year ended December 31, 2017 contained in the Form 8-K, are presented below for revenue recognition and cost of services.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to Priority’s audited consolidated financial statements as of and for the year ended December 31, 2017 for further discussion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reportable segments.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Consumer Payments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Commercial Payments and Managed Services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Other revenue</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Costs of Merchant Card Fees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 include salaries directly related to outsourced services revenue, merchant supplies, and other service expenses.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Earnings Per Share</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follows the two class method when computing net income (loss) per common share due to the existence of contingent share arrangements that meet the definition of participating securities. The two-class method determines net income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Company’s common shares.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accounts for income taxes under the asset and liability method. Under this method, deferred tax assets and liabilities are determined based on differences between financial reporting and tax bases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recognizes an uncertain tax position in its financial statements when it concludes that a tax position is more likely than not to be sustained upon examination based solely on its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Interest and penalties related to income taxes are recognized in the provision for income taxes.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Contingent Consideration in Business Acquisitions</w:t>
      </w:r>
    </w:p>
    <w:p>
      <w:pPr>
        <w:spacing w:after="0" w:line="223" w:lineRule="exact"/>
        <w:rPr>
          <w:sz w:val="20"/>
          <w:szCs w:val="20"/>
          <w:color w:val="auto"/>
        </w:rPr>
      </w:pPr>
    </w:p>
    <w:p>
      <w:pPr>
        <w:ind w:right="380"/>
        <w:spacing w:after="0" w:line="288" w:lineRule="auto"/>
        <w:rPr>
          <w:sz w:val="20"/>
          <w:szCs w:val="20"/>
          <w:color w:val="auto"/>
        </w:rPr>
      </w:pPr>
      <w:r>
        <w:rPr>
          <w:rFonts w:ascii="Arial" w:cs="Arial" w:eastAsia="Arial" w:hAnsi="Arial"/>
          <w:sz w:val="17"/>
          <w:szCs w:val="17"/>
          <w:color w:val="auto"/>
        </w:rPr>
        <w:t>The fair values of the Company’s contingent consideration in business acquisitions are primarily based on Level 3 inputs and are generally estimated based on discounted cash flow analysis from the Company’s most recent cash flow projections and growth rates.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 (Adopted and Pending Adoption)</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Prior to July 25, 2018, Priority was defined as a non-public entity for purposes of applying transition guidance related to new or revised accounting standards under U.S. GAAP, and as such was typically required to adopt new or revised accounting standards subsequent to the required adoption dates that applied to public companies. MI Acquisitions is classified as an EGC. Subsequent to the July 25, 2018 Business Combination,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Adopted in the First Three Quarters of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Modifications to Share-Based Compensation Awards (ASU 2017-09)</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As of January 1, 2018, the Company adopted Accounting Standards Update (“ASU”) No. 2017-09, </w:t>
      </w:r>
      <w:r>
        <w:rPr>
          <w:rFonts w:ascii="Arial" w:cs="Arial" w:eastAsia="Arial" w:hAnsi="Arial"/>
          <w:sz w:val="17"/>
          <w:szCs w:val="17"/>
          <w:i w:val="1"/>
          <w:iCs w:val="1"/>
          <w:color w:val="auto"/>
        </w:rPr>
        <w:t>Compensation-Stock Compensation Topic 718 - Scope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Modification Accounting </w:t>
      </w:r>
      <w:r>
        <w:rPr>
          <w:rFonts w:ascii="Arial" w:cs="Arial" w:eastAsia="Arial" w:hAnsi="Arial"/>
          <w:sz w:val="17"/>
          <w:szCs w:val="17"/>
          <w:color w:val="auto"/>
        </w:rPr>
        <w:t>(“ASU 2017-09”). ASU 2017-09 clarifies when changes to the terms and conditions of share-based payment awards must be accounted</w:t>
      </w:r>
      <w:r>
        <w:rPr>
          <w:rFonts w:ascii="Arial" w:cs="Arial" w:eastAsia="Arial" w:hAnsi="Arial"/>
          <w:sz w:val="17"/>
          <w:szCs w:val="17"/>
          <w:i w:val="1"/>
          <w:iCs w:val="1"/>
          <w:color w:val="auto"/>
        </w:rPr>
        <w:t xml:space="preserve"> </w:t>
      </w:r>
      <w:r>
        <w:rPr>
          <w:rFonts w:ascii="Arial" w:cs="Arial" w:eastAsia="Arial" w:hAnsi="Arial"/>
          <w:sz w:val="17"/>
          <w:szCs w:val="17"/>
          <w:color w:val="auto"/>
        </w:rPr>
        <w:t>for as modifications. Entities apply the modification accounting guidance if the value, vesting conditions, or classification of an award changes. The Company has not modified any share-based payment awards since the adoption of ASU 2017-09. Should the Company modify share-based payment awards in the future, it will apply the provisions of ASU 2017-09.</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Balance Sheet Classification of Deferred Income Taxes (ASU 2015-17)</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In connection with the Business Combination and Recapitalization, the Company prospectively adopted the provisions of ASU No. 2015-17,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Classification of Deferred Taxes </w:t>
      </w:r>
      <w:r>
        <w:rPr>
          <w:rFonts w:ascii="Arial" w:cs="Arial" w:eastAsia="Arial" w:hAnsi="Arial"/>
          <w:sz w:val="17"/>
          <w:szCs w:val="17"/>
          <w:color w:val="auto"/>
        </w:rPr>
        <w:t>(“ASU 2015-17”), during the first three quarters of 2018. ASU 2015-17 simplifies the balance sheet presentation of deferred</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by reporting the net amount of deferred tax assets and liabilities for each tax-paying jurisdiction as non-current on the balance sheet. Prior guidance required the deferred taxes for each tax-paying jurisdiction to be presented as a net current asset or liability and net non-current asset or liability. The Company’s prospective adoption of ASU 2015-17 impacts the classification of deferred tax assets and liabilities on any balance sheet that reports the Company’s financial position for any date after June 30, 2018. Balance sheets for prior periods have not been adjusted. The adoption of ASU 2015-17 had no impact on the Company’s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Recently Issued Standards Not Yet Adopted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Share-Based Payments to Employees (ASU 2016-09)</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which amends ASC Topic 718, </w:t>
      </w:r>
      <w:r>
        <w:rPr>
          <w:rFonts w:ascii="Arial" w:cs="Arial" w:eastAsia="Arial" w:hAnsi="Arial"/>
          <w:sz w:val="15"/>
          <w:szCs w:val="15"/>
          <w:i w:val="1"/>
          <w:iCs w:val="1"/>
          <w:color w:val="auto"/>
        </w:rPr>
        <w:t>Compensation –</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Compensation</w:t>
      </w:r>
      <w:r>
        <w:rPr>
          <w:rFonts w:ascii="Arial" w:cs="Arial" w:eastAsia="Arial" w:hAnsi="Arial"/>
          <w:sz w:val="17"/>
          <w:szCs w:val="17"/>
          <w:color w:val="auto"/>
        </w:rPr>
        <w:t>. This new ASU has the following effects: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Consolidated Statement of Operations - ASU 2016-09 imposes a new requirement to record all of the excess income tax benefits and deficiencies (that result from an increase or decrease in the value of an award from grant date to settlement date) related to share-based payments at settlement through the statement of operations instead of the former requirement to record income tax benefits in excess of compensation cost (“windfalls”) in equity, and income tax deficiencies (“shortfalls”) in equity to the extent of previous windfalls, and then to operations. This change is required to be applied prospectively upon adoption of ASU 2016-09 to all excess income tax benefits and deficiencies resulting from settlements of share-based payments after the date of adoption.</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Statement of Cash Flows - ASU 2016-09 requires that all income tax-related cash flows resulting from share-based payments, such as excess income tax benefits, are to be reported as operating activities on the statement of cash flows, a change from the prior requirement to present windfall income tax benefits as an inflow from financing activities and an offsetting outflow from operating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Additionally, ASU 2016-09 clarifies that:</w:t>
      </w:r>
    </w:p>
    <w:p>
      <w:pPr>
        <w:spacing w:after="0" w:line="223" w:lineRule="exact"/>
        <w:rPr>
          <w:sz w:val="20"/>
          <w:szCs w:val="20"/>
          <w:color w:val="auto"/>
        </w:rPr>
      </w:pPr>
    </w:p>
    <w:p>
      <w:pPr>
        <w:ind w:left="640" w:hanging="321"/>
        <w:spacing w:after="0" w:line="288"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cash payments made to taxing authorities on the employees’ behalf for withheld shares at settlement are presented as financing activities on the statement of cash flows. This change must be applied retrospectively.</w:t>
      </w:r>
    </w:p>
    <w:p>
      <w:pPr>
        <w:spacing w:after="0" w:line="158" w:lineRule="exact"/>
        <w:rPr>
          <w:rFonts w:ascii="Arial" w:cs="Arial" w:eastAsia="Arial" w:hAnsi="Arial"/>
          <w:sz w:val="17"/>
          <w:szCs w:val="17"/>
          <w:color w:val="auto"/>
        </w:rPr>
      </w:pPr>
    </w:p>
    <w:p>
      <w:pPr>
        <w:jc w:val="both"/>
        <w:ind w:left="640" w:hanging="321"/>
        <w:spacing w:after="0" w:line="313" w:lineRule="auto"/>
        <w:tabs>
          <w:tab w:leader="none" w:pos="6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entities are permitted to make an accounting policy election for the impact of forfeitures on the recognition of expense for share-based payment awards. Forfeitures can be estimated, as required today, or recognized when they occur. Estimates of forfeitures will still be required in certain circumstances, such as at the time of modification of an award or issuance of a replacement award in a business combination. If elected, the change to recognize forfeitures when they occur needs to be adopted using a modified retrospective approach, with a cumulative effect adjustment recorded to opening retained earnings.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As an EGC, this ASU is effective for the Company for annual reporting periods beginning 2018 and interim periods beginning first quarter 2019. The adoption of the ASU is not expected to have a material effect on the Company’s financial position, results of operations, or cash flows. Its impact on periods after adoption will depend on future grants of share-based compensation that the Company may make under its 2018 Equity Incentive Plan. See Note 12, </w:t>
      </w:r>
      <w:r>
        <w:rPr>
          <w:rFonts w:ascii="Arial" w:cs="Arial" w:eastAsia="Arial" w:hAnsi="Arial"/>
          <w:sz w:val="17"/>
          <w:szCs w:val="17"/>
          <w:i w:val="1"/>
          <w:iCs w:val="1"/>
          <w:color w:val="auto"/>
        </w:rPr>
        <w:t>Equity-Based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Share-Based Payments to Non-Employees (ASU 2018-07)</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first quarter 2021. The Company is evaluating the impact this ASU will have on its consolidated financial statements.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Implementation Costs Incurred in Cloud Computing Arrangements (ASU 2018-15)</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Implementation Costs Incurred in Cloud Computing Arrangements</w:t>
      </w:r>
      <w:r>
        <w:rPr>
          <w:rFonts w:ascii="Arial" w:cs="Arial" w:eastAsia="Arial" w:hAnsi="Arial"/>
          <w:sz w:val="17"/>
          <w:szCs w:val="17"/>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after December 15, 2020, and interim periods within annual periods beginning after December 15, 2021. The amendments should be applied either retrospectively or prospectively to all implementation costs incurred after the date of adoption. The Company is evaluating the impact this ASU will have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of a Business (ASU 2017-01)</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This guidance will assist entities in determining if acquired assets constitute the acquisition of a business or the acquisition of assets for accounting and reporting purposes. In practice prior to ASU 2017-01, if revenues were generated immediately before and after a transaction, the acquisition was typically considered a business. Under ASU 2017-01, requiring entities to further assess the substance of the processes they acquire will likely reduce the number of transactions accounted for as business acquisitions. As an EGC, this ASU is effective for the Company for annual reporting periods beginning after December 15, 2018 and interim periods within years beginning after December 15, 2019. The impact that ASU 2017-01 may have on the Company’s financial position, results of operations or cash flows will depend on the nature of any acquisition commencing after the Company’s adoption of the ASU.</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Disclosures for Fair Value Measurements (ASU 2018-13)</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This ASU eliminates, adds and modifies certain disclosure requirements for fair value measurements as part of the FASB’s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project. For all entities, this ASU is effective for annual and interim reporting periods beginning after December 15, 2019.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 of Cash Flows (ASU 2016-15)</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w:t>
      </w:r>
      <w:r>
        <w:rPr>
          <w:rFonts w:ascii="Arial" w:cs="Arial" w:eastAsia="Arial" w:hAnsi="Arial"/>
          <w:sz w:val="17"/>
          <w:szCs w:val="17"/>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after December 15, 2018 and interim periods within years beginning after December 15, 2019. The Company is evaluating the effect this ASU will have on its consolidated statement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Testing (ASU 2017-04)</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ASU 2017-04 will eliminate the requirement to calculate the implied fair value of goodwill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 optional qualitative goodwill impairment assessment before determining whether to proceed to Step 1. Upon adoption, the ASU will be applied prospectively. As an EGC, this ASU will be effective for annual and interim impairment tests performed in periods beginning after December 15, 2021 (i.e., for any impairment test performed in 2022). The impact that ASU 2017-04 may have on the Company’s financial condition or results of operations will depend on the circumstances of any goodwill impairment event that may occur after adoption.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(ASC 606)</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This guidance clarifies the principles for recognizing revenue and will be applicable to all contracts with customers regardless of</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and additional updates are possible.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 use of either the retrospective or cumulative effect transition method. The Company has not yet selected a transition method and is currently evaluating the effect that the standard may have on its consolidated financial statements and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(ASU 2016-02)</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2020 and interim reporting periods beginning first quarter of 2021. The new standard requires a modified retrospective basis. The adoption of ASC 842 will require the Company to recognize non-current assets and liabilities for right-of-use assets and operating lease liabilities on its consolidated balance sheet, but is not expected to have a material effect on the Company’s results of operations or cash flows. ASC 842 will also require additional footnote disclosures to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Losses (ASU 2016-13)</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an entity will recognize a loss (or allowance) upon initial recognition of the asset that reflects all future events that will lead to a loss being realized, regardless of whether it is probable that the future event will occur. The “incurred loss” model considers past events and current conditions, while the “expected loss” model includes expectations for the future which have yet to occur.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As an EGC, the ASU is effective for annual periods beginning after December 15, 2020 and interim periods within annual periods beginning after December 15, 2021.</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Substantially all of the Company’s revenues and receivables are attributable to merchant customer transactions, which are processed primarily by third-party payment processors.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Certain prior year amounts in these unaudited condensed consolidated financial statements have been reclassified to conform to the current year presentation, with no net effect on the Company’s equity or net income (loss) for any period. For additional information about the Company’s Recapitalization in July 2018, see Note 11, </w:t>
      </w:r>
      <w:r>
        <w:rPr>
          <w:rFonts w:ascii="Arial" w:cs="Arial" w:eastAsia="Arial" w:hAnsi="Arial"/>
          <w:sz w:val="16"/>
          <w:szCs w:val="16"/>
          <w:i w:val="1"/>
          <w:iCs w:val="1"/>
          <w:color w:val="auto"/>
        </w:rPr>
        <w:t>Equity</w:t>
      </w:r>
      <w:r>
        <w:rPr>
          <w:rFonts w:ascii="Arial" w:cs="Arial" w:eastAsia="Arial" w:hAnsi="Arial"/>
          <w:sz w:val="16"/>
          <w:szCs w:val="16"/>
          <w:color w:val="auto"/>
        </w:rPr>
        <w:t xml:space="preserve">, to these unaudited condensed consolidated financial statements. For information about the Company’s conversion from a “pass-through” LLC to a taxable “C Corporation” for income tax purposes, see Note 8, </w:t>
      </w:r>
      <w:r>
        <w:rPr>
          <w:rFonts w:ascii="Arial" w:cs="Arial" w:eastAsia="Arial" w:hAnsi="Arial"/>
          <w:sz w:val="16"/>
          <w:szCs w:val="16"/>
          <w:i w:val="1"/>
          <w:iCs w:val="1"/>
          <w:color w:val="auto"/>
        </w:rPr>
        <w:t>Income Taxes</w:t>
      </w:r>
      <w:r>
        <w:rPr>
          <w:rFonts w:ascii="Arial" w:cs="Arial" w:eastAsia="Arial" w:hAnsi="Arial"/>
          <w:sz w:val="16"/>
          <w:szCs w:val="16"/>
          <w:color w:val="auto"/>
        </w:rPr>
        <w:t>, to these unaudited condensed consolidated financial statements.</w:t>
      </w:r>
    </w:p>
    <w:p>
      <w:pPr>
        <w:spacing w:after="0" w:line="154" w:lineRule="exact"/>
        <w:rPr>
          <w:sz w:val="20"/>
          <w:szCs w:val="20"/>
          <w:color w:val="auto"/>
        </w:rPr>
      </w:pPr>
    </w:p>
    <w:p>
      <w:pPr>
        <w:ind w:left="440" w:hanging="435"/>
        <w:spacing w:after="0"/>
        <w:tabs>
          <w:tab w:leader="none" w:pos="44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OF BUSINESSES BY PRIORITY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consummate any business acquisitions during 2017.</w:t>
      </w:r>
    </w:p>
    <w:p>
      <w:pPr>
        <w:spacing w:after="0" w:line="223"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color w:val="auto"/>
        </w:rPr>
        <w:t>Based on their purchase prices and pre-acquisition operating results and assets, none of the businesses acquired by the Company in the first three quarters of 2018, as described below, met the materiality requirements for pro forma disclosures. The measurement periods, as defined by ASC 805, are still open for all of these business acquisitions since the Company is awaiting information to determine the acquisition-date fair values of certain acquired assets and assumed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Acquisition in the First Three Quarters of 2018</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PayRight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April 2018, Priority PayRight Health Solutions, LLC (“PPRHS”), a subsidiary of the Company, purchased the majority of the operating assets and certain operating liabilities of PayRight Health Solutions (“PayRight”). This purchase allowed PPRHS to gain control over the PayRight business and therefore the Company’s consolidated financial statements include the financial position, results of operations, and cash flows of PayRight from the date of acquisition. PayRight utilizes technology assets to deliver customized payment solutions to the healthcare industry. The results of the acquired business and goodwill of $0.3 million from the transaction are being reported by the Company as part of the Commercial Payments and Managed Services reportable segment. Additionally, the acquisition resulted in the recognition of intangible and net tangible assets with a fair value of $0.6 million. The Company transferred total consideration with a fair value of $0.9 million consisting of: $0.5 million in cash and forgiveness of amounts owed to the Company by PayRight; $0.3 million fair value of the Company’s previous equity method investment described in the following paragraph; and non-controlling equity interests in the form of profit and distribution rights that were deemed to have minimal fair value as equity instruments at time of acquisition due to the nature of the profit-sharing and liquidations provisions contained in the LLC agreement for PPRHS. However, due to other contractual rights, the profit and distributions rights were assigned a value of $0.1 million, which was recorded as a liability. The measurement period, as defined by ASC 805,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(“ASC 805”), is still open for the PayRight purchase since the Company is awaiting information to determine the acquisition-date fair value of certain acquired assets and assumed liabilities.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Previously, in October 2015, the Company purchased a non-controlling interest in the equity of PayRight, and prior to April 2018 the Company accounted for this investment using the equity method of accounting. Immediately prior to PPRHS’s April 2018 purchase of substantially all of PayRight’s business assets, the Company’s existing non-controlling investment in PayRight had a carrying value of approximately $1.1 million with an estimated fair value on the acquisition date of approximately $0.3 million. The Company recorded an impairment loss of $0.8 million during the first three quarters of 2018 for the difference between the carrying value and the fair value of the non-controlling equity method investment in PayRight. The loss is reported as equity in loss and impairment of unconsolidated entities in the Company’s unaudited condensed consolidated statement of operations for the three quarters ended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RadPad and Landlord Station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July 2018, the Company acquired substantially all of the net operating assets of RadPad Holdings, Inc. (“RadPad”) and Landlord Station, LLC (“Landlord Station”). These related asset purchases were deemed to be a business under ASC 805, and the Company formed a new entity, Priority Real Estate Technology, LLC (“PRET”), to acquire and operate these businesses. Due to the related nature of the two sets of business assets, same acquisition dates, and how the Company intends to operate them under the “RadPad” name and operating platform within PRET, the Company deemed them to be one business for accounting and reporting purposes. PRET is reported within the Company’s Commercial Payments and Managed Services reportable segment.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RadPad is a marketplace for the rental real estate market. Landlord Station offers a complementary toolset that focuses on facilitation of tenant screening and other services to the fast-growing independent landlord market. The Company’s existing proprietary payments platform, combined with consumer and commercial payments expertise, allow RadPad and Landlord Station, operating primarily on the merged RadPad platform, to monetize core business and other ancillary revenue stream.</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Total consideration paid for RadPad and Landlord Station was $4.3 million consisting of $3.9 million plus forgiveness of pre-existing debt owed by the sellers to the Company of $0.4 million. Additionally, the Company paid and expensed $0.1 million for transaction costs. Net tangible and separately-identifiable intangible assets with an initial fair value of $2.1 million were acquired along with goodwill with an initial value of $2.2 million. Non-controlling equity interests in PRET were issued to certain sellers in the form of residual profit interests and distribution rights, however the fair value of these non-controlling interests were deemed to be immaterial at time of acquisition due to the nature of the profit-sharing and liquidations provisions contained in the LLC agreement for PRET.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 Payment Systems Northeast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July 2018, the Company acquired substantially all of the net operating assets of Priority Payment Systems Northeast, Inc. (“PPS Northeast”). This purchase of these net assets was deemed to be a business under ASC 805. Prior to this acquisition, PPS Northeast was an independent brand-licensed office of the Company where it developed expertise in software-integrated payment services designed to manage turnkey installations of point-of-sale and supporting systems, as well as marketing programs that place emphasis on online ordering systems and digital marketing campaigns. PPS Northeast is reported within the Company’s Consumer Payments reportable segment.</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Initial consideration of $3.5 million consisted of $500,000 plus 285,117 common shares of the Company with a fair value of approximately of $3.0 million. In addition, contingent consideration in an amount up to $0.5 million was deemed to have a fair value of $0.4 million at acquisition date. If earned, the seller can receive this contingent consideration in either cash or additional shares of the Company’s common stock, as mutually agreed by the Company and seller. Net tangible and separately-identifiable intangible assets with an initial fair value of $2.0 million were acquired along with goodwill with an initial value of $1.9 million, including the $0.4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$0.4 million fair value assigned on date of acquisition.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Priority Payment Systems Tech Partners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August 2018, the Company acquired substantially all of the net operating assets of M.Y. Capital, Inc. and Payments In Kind, Inc., collectively doing business as Priority Payment Systems Tech Partners (“PPS Tech”). These related asset purchases were deemed to be a business under ASC 805. Due to the related nature of the two sets of business assets and how the Company intends to operate them, the Company deemed them to be one business for accounting and reporting purposes. Prior to this acquisition, PPS Tech was an independent brand-licensed office of the Company where it developed a track record and extensive network in the integrated payments and B2B marketplaces. PPS Tech is reported within the Company’s Consumer Payments reportable segment.</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Initial consideration of $5.0 million consisted of $3.0 million plus 190,078 common shares of the Company with a fair value of approximately $2.0 million. In addition, contingent consideration in an amount up to $1.0 million was deemed to have a fair value of $0.6 million at acquisition date. If earned, the seller will receive half of any contingent consideration in cash and the other half in a number of common shares of the Company equal to the portion of the earned contingent consideration payable in common shares of the Company. Net tangible and separately-identifiable intangible assets with an initial fair value of $2.2 million were acquired along with goodwill with an initial value of $3.4 million, including the $0.6 million estimated fair value of the contingent consideration due to the seller. Any gain or loss associated with the termination of a pre-existing relationship was not deemed material. At September 30, 2018, the fair value of the contingent consideration still approximated the original $0.6 million fair value assigned on date of acquisition.</w:t>
      </w:r>
    </w:p>
    <w:p>
      <w:pPr>
        <w:spacing w:after="0" w:line="174" w:lineRule="exact"/>
        <w:rPr>
          <w:sz w:val="20"/>
          <w:szCs w:val="20"/>
          <w:color w:val="auto"/>
        </w:rPr>
      </w:pPr>
    </w:p>
    <w:p>
      <w:pPr>
        <w:ind w:left="440" w:hanging="435"/>
        <w:spacing w:after="0"/>
        <w:tabs>
          <w:tab w:leader="none" w:pos="4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principal components of the Company’s settlement assets and obligations at September 30, 2018 and December 31, 2017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5240" w:type="dxa"/>
            <w:vAlign w:val="bottom"/>
          </w:tcPr>
          <w:p>
            <w:pPr>
              <w:spacing w:after="0"/>
              <w:rPr>
                <w:sz w:val="20"/>
                <w:szCs w:val="20"/>
                <w:color w:val="auto"/>
              </w:rPr>
            </w:pPr>
            <w:r>
              <w:rPr>
                <w:rFonts w:ascii="Arial" w:cs="Arial" w:eastAsia="Arial" w:hAnsi="Arial"/>
                <w:sz w:val="17"/>
                <w:szCs w:val="17"/>
                <w:b w:val="1"/>
                <w:bCs w:val="1"/>
                <w:color w:val="auto"/>
              </w:rPr>
              <w:t>Settlement Assets:</w:t>
            </w:r>
          </w:p>
        </w:tc>
        <w:tc>
          <w:tcPr>
            <w:tcW w:w="288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4"/>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Due from card processors</w:t>
            </w:r>
          </w:p>
        </w:tc>
        <w:tc>
          <w:tcPr>
            <w:tcW w:w="28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7"/>
                <w:szCs w:val="17"/>
                <w:b w:val="1"/>
                <w:bCs w:val="1"/>
                <w:color w:val="auto"/>
              </w:rPr>
              <w:t>Settlement Obligations:</w:t>
            </w:r>
          </w:p>
        </w:tc>
        <w:tc>
          <w:tcPr>
            <w:tcW w:w="2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Due to ACH payees</w:t>
            </w:r>
          </w:p>
        </w:tc>
        <w:tc>
          <w:tcPr>
            <w:tcW w:w="28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11,805</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7"/>
                <w:szCs w:val="17"/>
                <w:b w:val="1"/>
                <w:bCs w:val="1"/>
                <w:color w:val="auto"/>
              </w:rPr>
              <w:t>Total settlement obligations, net</w:t>
            </w:r>
          </w:p>
        </w:tc>
        <w:tc>
          <w:tcPr>
            <w:tcW w:w="3440" w:type="dxa"/>
            <w:vAlign w:val="bottom"/>
            <w:gridSpan w:val="2"/>
          </w:tcPr>
          <w:p>
            <w:pPr>
              <w:ind w:left="28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(9,031</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ACH payees are offset by restricted cash.</w:t>
      </w:r>
    </w:p>
    <w:p>
      <w:pPr>
        <w:spacing w:after="0" w:line="21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7"/>
          <w:szCs w:val="17"/>
          <w:b w:val="1"/>
          <w:bCs w:val="1"/>
          <w:color w:val="auto"/>
        </w:rPr>
        <w:t>GOODWILL AND INTANGIBLE ASSETS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records goodwill when an acquisition is made and the purchase price is greater than the fair value assigned to the underlying tangible and intangible assets acquired and the liabilities assumed. The Company’s goodwill is allocated to reporting units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46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Consumer Payments</w:t>
            </w:r>
          </w:p>
        </w:tc>
        <w:tc>
          <w:tcPr>
            <w:tcW w:w="24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106,832</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56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Commercial Payments and Managed Services</w:t>
            </w:r>
          </w:p>
        </w:tc>
        <w:tc>
          <w:tcPr>
            <w:tcW w:w="24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w:t>
            </w:r>
          </w:p>
        </w:tc>
        <w:tc>
          <w:tcPr>
            <w:tcW w:w="2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r>
      <w:tr>
        <w:trPr>
          <w:trHeight w:val="215"/>
        </w:trPr>
        <w:tc>
          <w:tcPr>
            <w:tcW w:w="566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ind w:left="246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109,366</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101,532</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carrying amount of goodwill for the three quarters ended September 30,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8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558"/>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7"/>
                <w:szCs w:val="17"/>
                <w:color w:val="auto"/>
              </w:rPr>
              <w:t>Goodwill acquired from business combinations:</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PayRight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09"/>
        </w:trPr>
        <w:tc>
          <w:tcPr>
            <w:tcW w:w="7380" w:type="dxa"/>
            <w:vAlign w:val="bottom"/>
          </w:tcPr>
          <w:p>
            <w:pPr>
              <w:ind w:left="160"/>
              <w:spacing w:after="0"/>
              <w:rPr>
                <w:sz w:val="20"/>
                <w:szCs w:val="20"/>
                <w:color w:val="auto"/>
              </w:rPr>
            </w:pPr>
            <w:r>
              <w:rPr>
                <w:rFonts w:ascii="Arial" w:cs="Arial" w:eastAsia="Arial" w:hAnsi="Arial"/>
                <w:sz w:val="17"/>
                <w:szCs w:val="17"/>
                <w:color w:val="auto"/>
              </w:rPr>
              <w:t>RadPad/Landlord Station</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2,236</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PPS Northeast</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2"/>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PPS Tech</w:t>
            </w:r>
          </w:p>
        </w:tc>
        <w:tc>
          <w:tcPr>
            <w:tcW w:w="7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109,366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As of September 30, 2018 and December 31, 2017 intangible assets consisted of the following:</w:t>
            </w: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74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3"/>
          </w:tcPr>
          <w:p>
            <w:pPr>
              <w:jc w:val="right"/>
              <w:ind w:right="38"/>
              <w:spacing w:after="0"/>
              <w:rPr>
                <w:sz w:val="20"/>
                <w:szCs w:val="20"/>
                <w:color w:val="auto"/>
              </w:rPr>
            </w:pPr>
            <w:r>
              <w:rPr>
                <w:rFonts w:ascii="Arial" w:cs="Arial" w:eastAsia="Arial" w:hAnsi="Arial"/>
                <w:sz w:val="17"/>
                <w:szCs w:val="17"/>
                <w:b w:val="1"/>
                <w:bCs w:val="1"/>
                <w:color w:val="auto"/>
                <w:w w:val="92"/>
              </w:rPr>
              <w:t>December 31, 2017</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intangible assets:</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Merchant portfolios</w:t>
            </w:r>
          </w:p>
        </w:tc>
        <w:tc>
          <w:tcPr>
            <w:tcW w:w="12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77,998</w:t>
            </w:r>
          </w:p>
        </w:tc>
        <w:tc>
          <w:tcPr>
            <w:tcW w:w="400" w:type="dxa"/>
            <w:vAlign w:val="bottom"/>
            <w:gridSpan w:val="3"/>
          </w:tcPr>
          <w:p>
            <w:pPr>
              <w:jc w:val="right"/>
              <w:ind w:right="13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46,716</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Non-compete agreements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3,390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3,390</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Tradename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2,870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Acquired technology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14,390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13,200</w:t>
            </w:r>
          </w:p>
        </w:tc>
        <w:tc>
          <w:tcPr>
            <w:tcW w:w="0" w:type="dxa"/>
            <w:vAlign w:val="bottom"/>
          </w:tcPr>
          <w:p>
            <w:pPr>
              <w:spacing w:after="0"/>
              <w:rPr>
                <w:sz w:val="1"/>
                <w:szCs w:val="1"/>
                <w:color w:val="auto"/>
              </w:rPr>
            </w:pPr>
          </w:p>
        </w:tc>
      </w:tr>
      <w:tr>
        <w:trPr>
          <w:trHeight w:val="222"/>
        </w:trPr>
        <w:tc>
          <w:tcPr>
            <w:tcW w:w="738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7"/>
                <w:szCs w:val="17"/>
                <w:color w:val="auto"/>
              </w:rPr>
              <w:t>51,090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
              <w:spacing w:after="0"/>
              <w:rPr>
                <w:sz w:val="20"/>
                <w:szCs w:val="20"/>
                <w:color w:val="auto"/>
              </w:rPr>
            </w:pPr>
            <w:r>
              <w:rPr>
                <w:rFonts w:ascii="Arial" w:cs="Arial" w:eastAsia="Arial" w:hAnsi="Arial"/>
                <w:sz w:val="17"/>
                <w:szCs w:val="17"/>
                <w:color w:val="auto"/>
              </w:rPr>
              <w:t>51,090</w:t>
            </w: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149,738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80" w:type="dxa"/>
            <w:vAlign w:val="bottom"/>
          </w:tcPr>
          <w:p>
            <w:pPr>
              <w:spacing w:after="0"/>
              <w:rPr>
                <w:sz w:val="20"/>
                <w:szCs w:val="20"/>
                <w:color w:val="auto"/>
              </w:rPr>
            </w:pPr>
            <w:r>
              <w:rPr>
                <w:rFonts w:ascii="Arial" w:cs="Arial" w:eastAsia="Arial" w:hAnsi="Arial"/>
                <w:sz w:val="17"/>
                <w:szCs w:val="17"/>
                <w:color w:val="auto"/>
              </w:rPr>
              <w:t>Less accumulated amortization:</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Merchant portfolios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(44,888)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(41,915)</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Non-compete agreements</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(3,390)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(3,243)</w:t>
            </w: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Trade names</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0" w:type="dxa"/>
            <w:vAlign w:val="bottom"/>
          </w:tcPr>
          <w:p>
            <w:pPr>
              <w:spacing w:after="0"/>
              <w:rPr>
                <w:sz w:val="1"/>
                <w:szCs w:val="1"/>
                <w:color w:val="auto"/>
              </w:rPr>
            </w:pPr>
          </w:p>
        </w:tc>
      </w:tr>
      <w:tr>
        <w:trPr>
          <w:trHeight w:val="209"/>
        </w:trPr>
        <w:tc>
          <w:tcPr>
            <w:tcW w:w="7380" w:type="dxa"/>
            <w:vAlign w:val="bottom"/>
          </w:tcPr>
          <w:p>
            <w:pPr>
              <w:ind w:left="320"/>
              <w:spacing w:after="0"/>
              <w:rPr>
                <w:sz w:val="20"/>
                <w:szCs w:val="20"/>
                <w:color w:val="auto"/>
              </w:rPr>
            </w:pPr>
            <w:r>
              <w:rPr>
                <w:rFonts w:ascii="Arial" w:cs="Arial" w:eastAsia="Arial" w:hAnsi="Arial"/>
                <w:sz w:val="17"/>
                <w:szCs w:val="17"/>
                <w:color w:val="auto"/>
              </w:rPr>
              <w:t>Acquired technology</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(9,642)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(7,928)</w:t>
            </w: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relationships</w:t>
            </w:r>
          </w:p>
        </w:tc>
        <w:tc>
          <w:tcPr>
            <w:tcW w:w="7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(21,052)</w:t>
            </w:r>
          </w:p>
        </w:tc>
        <w:tc>
          <w:tcPr>
            <w:tcW w:w="0" w:type="dxa"/>
            <w:vAlign w:val="bottom"/>
          </w:tcPr>
          <w:p>
            <w:pPr>
              <w:spacing w:after="0"/>
              <w:rPr>
                <w:sz w:val="1"/>
                <w:szCs w:val="1"/>
                <w:color w:val="auto"/>
              </w:rPr>
            </w:pPr>
          </w:p>
        </w:tc>
      </w:tr>
      <w:tr>
        <w:trPr>
          <w:trHeight w:val="202"/>
        </w:trPr>
        <w:tc>
          <w:tcPr>
            <w:tcW w:w="73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(84,159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(74,914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65,579</w:t>
            </w:r>
          </w:p>
        </w:tc>
        <w:tc>
          <w:tcPr>
            <w:tcW w:w="400" w:type="dxa"/>
            <w:vAlign w:val="bottom"/>
            <w:gridSpan w:val="3"/>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42,062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Amortization expense for finite-lived intangible assets was $9.3 million and $8.0 million for the three quarters ended September 30, 2018 and 2017, respectively. Actual amortization expense to be reported in future periods could differ from these estimates as a result of new intangible asset acquisitions, changes in useful lives, and other relevant events or circumstances.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tests goodwill for impairment for each of its reporting units on an annual basis, or when events occur or circumstances indicate the fair value of a reporting unit is below its carrying value. The Company will perform its annual goodwill impairment test as of November 30, 2018 using market data and discounted cash flow analysis. The Company concluded there were no indicators of impairment as of September 30, 2018 or December 31, 2017. As such, there was no accumulated impairment loss as of September 30, 2018 and December 31, 2017.</w:t>
      </w:r>
    </w:p>
    <w:p>
      <w:pPr>
        <w:spacing w:after="0" w:line="171" w:lineRule="exact"/>
        <w:rPr>
          <w:sz w:val="20"/>
          <w:szCs w:val="20"/>
          <w:color w:val="auto"/>
        </w:rPr>
      </w:pPr>
    </w:p>
    <w:p>
      <w:pPr>
        <w:ind w:left="440" w:hanging="435"/>
        <w:spacing w:after="0"/>
        <w:tabs>
          <w:tab w:leader="none" w:pos="44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 summary of property, equipment, and software as of September 30, 2018 and December 31, 2017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4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80" w:type="dxa"/>
            <w:vAlign w:val="bottom"/>
          </w:tcPr>
          <w:p>
            <w:pPr>
              <w:spacing w:after="0"/>
              <w:rPr>
                <w:sz w:val="19"/>
                <w:szCs w:val="19"/>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December 31, 2017</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4"/>
              </w:rPr>
              <w:t>Useful Life</w:t>
            </w:r>
          </w:p>
        </w:tc>
      </w:tr>
      <w:tr>
        <w:trPr>
          <w:trHeight w:val="203"/>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2-7 years</w:t>
            </w:r>
          </w:p>
        </w:tc>
      </w:tr>
      <w:tr>
        <w:trPr>
          <w:trHeight w:val="209"/>
        </w:trPr>
        <w:tc>
          <w:tcPr>
            <w:tcW w:w="6640" w:type="dxa"/>
            <w:vAlign w:val="bottom"/>
          </w:tcPr>
          <w:p>
            <w:pPr>
              <w:spacing w:after="0"/>
              <w:rPr>
                <w:sz w:val="20"/>
                <w:szCs w:val="20"/>
                <w:color w:val="auto"/>
              </w:rPr>
            </w:pPr>
            <w:r>
              <w:rPr>
                <w:rFonts w:ascii="Arial" w:cs="Arial" w:eastAsia="Arial" w:hAnsi="Arial"/>
                <w:sz w:val="17"/>
                <w:szCs w:val="17"/>
                <w:color w:val="auto"/>
              </w:rPr>
              <w:t>Equipment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6,256</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3-7 years</w:t>
            </w:r>
          </w:p>
        </w:tc>
      </w:tr>
      <w:tr>
        <w:trPr>
          <w:trHeight w:val="20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Computer software</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25,922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20,443</w:t>
            </w:r>
          </w:p>
        </w:tc>
        <w:tc>
          <w:tcPr>
            <w:tcW w:w="13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3-5 years</w:t>
            </w: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4,965</w:t>
            </w:r>
          </w:p>
        </w:tc>
        <w:tc>
          <w:tcPr>
            <w:tcW w:w="1360" w:type="dxa"/>
            <w:vAlign w:val="bottom"/>
          </w:tcPr>
          <w:p>
            <w:pPr>
              <w:jc w:val="center"/>
              <w:spacing w:after="0"/>
              <w:rPr>
                <w:sz w:val="20"/>
                <w:szCs w:val="20"/>
                <w:color w:val="auto"/>
              </w:rPr>
            </w:pPr>
            <w:r>
              <w:rPr>
                <w:rFonts w:ascii="Arial" w:cs="Arial" w:eastAsia="Arial" w:hAnsi="Arial"/>
                <w:sz w:val="17"/>
                <w:szCs w:val="17"/>
                <w:color w:val="auto"/>
                <w:w w:val="89"/>
              </w:rPr>
              <w:t>5-10 years</w:t>
            </w:r>
          </w:p>
        </w:tc>
      </w:tr>
      <w:tr>
        <w:trPr>
          <w:trHeight w:val="203"/>
        </w:trPr>
        <w:tc>
          <w:tcPr>
            <w:tcW w:w="6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42,001</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33,535</w:t>
            </w:r>
          </w:p>
        </w:tc>
        <w:tc>
          <w:tcPr>
            <w:tcW w:w="2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CCEEFF"/>
            </w:tcBorders>
            <w:shd w:val="clear" w:color="auto" w:fill="CCEEFF"/>
          </w:tcPr>
          <w:p>
            <w:pPr>
              <w:spacing w:after="0"/>
              <w:rPr>
                <w:sz w:val="17"/>
                <w:szCs w:val="17"/>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5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(24,990)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(21,592)</w:t>
            </w:r>
          </w:p>
        </w:tc>
        <w:tc>
          <w:tcPr>
            <w:tcW w:w="1360" w:type="dxa"/>
            <w:vAlign w:val="bottom"/>
          </w:tcPr>
          <w:p>
            <w:pPr>
              <w:spacing w:after="0"/>
              <w:rPr>
                <w:sz w:val="19"/>
                <w:szCs w:val="19"/>
                <w:color w:val="auto"/>
              </w:rPr>
            </w:pPr>
          </w:p>
        </w:tc>
      </w:tr>
      <w:tr>
        <w:trPr>
          <w:trHeight w:val="216"/>
        </w:trPr>
        <w:tc>
          <w:tcPr>
            <w:tcW w:w="6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7" w:lineRule="exact"/>
        <w:rPr>
          <w:sz w:val="20"/>
          <w:szCs w:val="20"/>
          <w:color w:val="auto"/>
        </w:rPr>
      </w:pPr>
    </w:p>
    <w:p>
      <w:pPr>
        <w:ind w:left="5520" w:right="2260" w:hanging="5522"/>
        <w:spacing w:after="0" w:line="674" w:lineRule="auto"/>
        <w:rPr>
          <w:sz w:val="20"/>
          <w:szCs w:val="20"/>
          <w:color w:val="auto"/>
        </w:rPr>
      </w:pPr>
      <w:r>
        <w:rPr>
          <w:rFonts w:ascii="Arial" w:cs="Arial" w:eastAsia="Arial" w:hAnsi="Arial"/>
          <w:sz w:val="17"/>
          <w:szCs w:val="17"/>
          <w:color w:val="auto"/>
        </w:rPr>
        <w:t>Depreciation expense totaled $3.4 million and $3.2 million for the three quarters ended September 30, 2018 and 2017, respectively.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51065" cy="247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440" w:hanging="435"/>
        <w:spacing w:after="0"/>
        <w:tabs>
          <w:tab w:leader="none" w:pos="44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unaudited condensed consolidated balance sheets.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and accrued expenses as of September 30, 2018 and December 31, 2017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0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3220" w:type="dxa"/>
            <w:vAlign w:val="bottom"/>
          </w:tcPr>
          <w:p>
            <w:pPr>
              <w:spacing w:after="0"/>
              <w:rPr>
                <w:sz w:val="19"/>
                <w:szCs w:val="19"/>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4"/>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203"/>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9,693</w:t>
            </w: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Accrued compensation</w:t>
            </w:r>
          </w:p>
        </w:tc>
        <w:tc>
          <w:tcPr>
            <w:tcW w:w="3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14,961</w:t>
            </w:r>
          </w:p>
        </w:tc>
        <w:tc>
          <w:tcPr>
            <w:tcW w:w="5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6,136</w:t>
            </w:r>
          </w:p>
        </w:tc>
        <w:tc>
          <w:tcPr>
            <w:tcW w:w="80" w:type="dxa"/>
            <w:vAlign w:val="bottom"/>
          </w:tcPr>
          <w:p>
            <w:pPr>
              <w:spacing w:after="0"/>
              <w:rPr>
                <w:sz w:val="18"/>
                <w:szCs w:val="18"/>
                <w:color w:val="auto"/>
              </w:rPr>
            </w:pPr>
          </w:p>
        </w:tc>
      </w:tr>
      <w:tr>
        <w:trPr>
          <w:trHeight w:val="222"/>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w:t>
            </w:r>
          </w:p>
        </w:tc>
        <w:tc>
          <w:tcPr>
            <w:tcW w:w="32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24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5"/>
        </w:trPr>
        <w:tc>
          <w:tcPr>
            <w:tcW w:w="4900" w:type="dxa"/>
            <w:vAlign w:val="bottom"/>
          </w:tcPr>
          <w:p>
            <w:pPr>
              <w:spacing w:after="0"/>
              <w:rPr>
                <w:sz w:val="18"/>
                <w:szCs w:val="18"/>
                <w:color w:val="auto"/>
              </w:rPr>
            </w:pPr>
          </w:p>
        </w:tc>
        <w:tc>
          <w:tcPr>
            <w:tcW w:w="3780" w:type="dxa"/>
            <w:vAlign w:val="bottom"/>
            <w:gridSpan w:val="2"/>
          </w:tcPr>
          <w:p>
            <w:pPr>
              <w:ind w:left="3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26,614</w:t>
            </w:r>
          </w:p>
        </w:tc>
        <w:tc>
          <w:tcPr>
            <w:tcW w:w="5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18,603</w:t>
            </w:r>
          </w:p>
        </w:tc>
        <w:tc>
          <w:tcPr>
            <w:tcW w:w="8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Arial" w:cs="Arial" w:eastAsia="Arial" w:hAnsi="Arial"/>
                <w:sz w:val="17"/>
                <w:szCs w:val="17"/>
                <w:b w:val="1"/>
                <w:bCs w:val="1"/>
                <w:color w:val="auto"/>
                <w:w w:val="84"/>
              </w:rPr>
              <w:t>7.</w:t>
            </w:r>
          </w:p>
        </w:tc>
        <w:tc>
          <w:tcPr>
            <w:tcW w:w="7860" w:type="dxa"/>
            <w:vAlign w:val="bottom"/>
          </w:tcPr>
          <w:p>
            <w:pPr>
              <w:ind w:left="300"/>
              <w:spacing w:after="0"/>
              <w:rPr>
                <w:sz w:val="20"/>
                <w:szCs w:val="20"/>
                <w:color w:val="auto"/>
              </w:rPr>
            </w:pPr>
            <w:r>
              <w:rPr>
                <w:rFonts w:ascii="Arial" w:cs="Arial" w:eastAsia="Arial" w:hAnsi="Arial"/>
                <w:sz w:val="17"/>
                <w:szCs w:val="17"/>
                <w:b w:val="1"/>
                <w:bCs w:val="1"/>
                <w:color w:val="auto"/>
              </w:rPr>
              <w:t>LONG-TERM DEBT AND WARRANT LIABILITY</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000" w:type="dxa"/>
            <w:vAlign w:val="bottom"/>
            <w:gridSpan w:val="2"/>
          </w:tcPr>
          <w:p>
            <w:pPr>
              <w:spacing w:after="0"/>
              <w:rPr>
                <w:sz w:val="20"/>
                <w:szCs w:val="20"/>
                <w:color w:val="auto"/>
              </w:rPr>
            </w:pPr>
            <w:r>
              <w:rPr>
                <w:rFonts w:ascii="Arial" w:cs="Arial" w:eastAsia="Arial" w:hAnsi="Arial"/>
                <w:sz w:val="17"/>
                <w:szCs w:val="17"/>
                <w:color w:val="auto"/>
              </w:rPr>
              <w:t>Long-term debt as of September 30, 2018 and December 31, 2017 consisted of the following:</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20" w:type="dxa"/>
            <w:vAlign w:val="bottom"/>
          </w:tcPr>
          <w:p>
            <w:pPr>
              <w:spacing w:after="0"/>
              <w:rPr>
                <w:sz w:val="24"/>
                <w:szCs w:val="24"/>
                <w:color w:val="auto"/>
              </w:rPr>
            </w:pPr>
          </w:p>
        </w:tc>
        <w:tc>
          <w:tcPr>
            <w:tcW w:w="1740" w:type="dxa"/>
            <w:vAlign w:val="bottom"/>
            <w:gridSpan w:val="3"/>
          </w:tcPr>
          <w:p>
            <w:pPr>
              <w:ind w:left="20"/>
              <w:spacing w:after="0"/>
              <w:rPr>
                <w:sz w:val="20"/>
                <w:szCs w:val="20"/>
                <w:color w:val="auto"/>
              </w:rPr>
            </w:pPr>
            <w:r>
              <w:rPr>
                <w:rFonts w:ascii="Arial" w:cs="Arial" w:eastAsia="Arial" w:hAnsi="Arial"/>
                <w:sz w:val="17"/>
                <w:szCs w:val="17"/>
                <w:b w:val="1"/>
                <w:bCs w:val="1"/>
                <w:color w:val="auto"/>
              </w:rPr>
              <w:t>September 30, 2018</w:t>
            </w:r>
          </w:p>
        </w:tc>
        <w:tc>
          <w:tcPr>
            <w:tcW w:w="1560" w:type="dxa"/>
            <w:vAlign w:val="bottom"/>
            <w:gridSpan w:val="3"/>
          </w:tcPr>
          <w:p>
            <w:pPr>
              <w:ind w:left="20"/>
              <w:spacing w:after="0"/>
              <w:rPr>
                <w:sz w:val="20"/>
                <w:szCs w:val="20"/>
                <w:color w:val="auto"/>
              </w:rPr>
            </w:pPr>
            <w:r>
              <w:rPr>
                <w:rFonts w:ascii="Arial" w:cs="Arial" w:eastAsia="Arial" w:hAnsi="Arial"/>
                <w:sz w:val="17"/>
                <w:szCs w:val="17"/>
                <w:b w:val="1"/>
                <w:bCs w:val="1"/>
                <w:color w:val="auto"/>
                <w:w w:val="99"/>
              </w:rPr>
              <w:t>December 31, 2017</w:t>
            </w:r>
          </w:p>
        </w:tc>
      </w:tr>
      <w:tr>
        <w:trPr>
          <w:trHeight w:val="177"/>
        </w:trPr>
        <w:tc>
          <w:tcPr>
            <w:tcW w:w="800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w w:val="93"/>
              </w:rPr>
              <w:t>Term Loan - Senior, matures January 3, 2023 and bears interest at LIBOR plus 5.0% for September 30, 2018 and</w:t>
            </w:r>
          </w:p>
        </w:tc>
        <w:tc>
          <w:tcPr>
            <w:tcW w:w="1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2"/>
        </w:trPr>
        <w:tc>
          <w:tcPr>
            <w:tcW w:w="140" w:type="dxa"/>
            <w:vAlign w:val="bottom"/>
            <w:shd w:val="clear" w:color="auto" w:fill="CCEEFF"/>
          </w:tcPr>
          <w:p>
            <w:pPr>
              <w:spacing w:after="0"/>
              <w:rPr>
                <w:sz w:val="19"/>
                <w:szCs w:val="19"/>
                <w:color w:val="auto"/>
              </w:rPr>
            </w:pPr>
          </w:p>
        </w:tc>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6.0% for December 31, 2017 (actual rate of 7.1% at September 30, 2018 and 7.4% at December 31, 2017)</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263,488</w:t>
            </w:r>
          </w:p>
        </w:tc>
        <w:tc>
          <w:tcPr>
            <w:tcW w:w="4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198,000</w:t>
            </w:r>
          </w:p>
        </w:tc>
      </w:tr>
      <w:tr>
        <w:trPr>
          <w:trHeight w:val="197"/>
        </w:trPr>
        <w:tc>
          <w:tcPr>
            <w:tcW w:w="8000" w:type="dxa"/>
            <w:vAlign w:val="bottom"/>
            <w:gridSpan w:val="2"/>
          </w:tcPr>
          <w:p>
            <w:pPr>
              <w:spacing w:after="0"/>
              <w:rPr>
                <w:sz w:val="20"/>
                <w:szCs w:val="20"/>
                <w:color w:val="auto"/>
              </w:rPr>
            </w:pPr>
            <w:r>
              <w:rPr>
                <w:rFonts w:ascii="Arial" w:cs="Arial" w:eastAsia="Arial" w:hAnsi="Arial"/>
                <w:sz w:val="17"/>
                <w:szCs w:val="17"/>
                <w:color w:val="auto"/>
                <w:w w:val="94"/>
              </w:rPr>
              <w:t>Term Loan - Subordinated, matures July 3, 2023 and bears interest at 5.0% plus payment-in-kind interest (actual</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140" w:type="dxa"/>
            <w:vAlign w:val="bottom"/>
          </w:tcPr>
          <w:p>
            <w:pPr>
              <w:spacing w:after="0"/>
              <w:rPr>
                <w:sz w:val="20"/>
                <w:szCs w:val="20"/>
                <w:color w:val="auto"/>
              </w:rPr>
            </w:pPr>
          </w:p>
        </w:tc>
        <w:tc>
          <w:tcPr>
            <w:tcW w:w="7860" w:type="dxa"/>
            <w:vAlign w:val="bottom"/>
          </w:tcPr>
          <w:p>
            <w:pPr>
              <w:ind w:left="20"/>
              <w:spacing w:after="0"/>
              <w:rPr>
                <w:sz w:val="20"/>
                <w:szCs w:val="20"/>
                <w:color w:val="auto"/>
              </w:rPr>
            </w:pPr>
            <w:r>
              <w:rPr>
                <w:rFonts w:ascii="Arial" w:cs="Arial" w:eastAsia="Arial" w:hAnsi="Arial"/>
                <w:sz w:val="17"/>
                <w:szCs w:val="17"/>
                <w:color w:val="auto"/>
              </w:rPr>
              <w:t>rate of 10.5% at September 30, 2018 and 11.3% at December 31, 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88,742</w:t>
            </w: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85,118</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7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Debt</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352,230</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800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(2,682)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17"/>
                <w:szCs w:val="17"/>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unamortized debt discounts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(3,154)</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(3,212)</w:t>
            </w:r>
          </w:p>
        </w:tc>
      </w:tr>
      <w:tr>
        <w:trPr>
          <w:trHeight w:val="222"/>
        </w:trPr>
        <w:tc>
          <w:tcPr>
            <w:tcW w:w="8000" w:type="dxa"/>
            <w:vAlign w:val="bottom"/>
            <w:gridSpan w:val="2"/>
          </w:tcPr>
          <w:p>
            <w:pPr>
              <w:spacing w:after="0"/>
              <w:rPr>
                <w:sz w:val="20"/>
                <w:szCs w:val="20"/>
                <w:color w:val="auto"/>
              </w:rPr>
            </w:pPr>
            <w:r>
              <w:rPr>
                <w:rFonts w:ascii="Arial" w:cs="Arial" w:eastAsia="Arial" w:hAnsi="Arial"/>
                <w:sz w:val="17"/>
                <w:szCs w:val="17"/>
                <w:color w:val="auto"/>
              </w:rPr>
              <w:t>Less: deferred financing costs</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(4,101)</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(4,385)</w:t>
            </w:r>
          </w:p>
        </w:tc>
      </w:tr>
      <w:tr>
        <w:trPr>
          <w:trHeight w:val="215"/>
        </w:trPr>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long-term debt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342,293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Restructuring</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w:t>
      </w:r>
    </w:p>
    <w:p>
      <w:pPr>
        <w:spacing w:after="0" w:line="168"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On January 11, 2018, the Company modified its long-term debt by amending the GS Credit Agreement and the Credit Agreement (collectively, the “2018 Amendment”). 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During the first three quarters of 2018, the Company incurred $0.8 million in issuance costs related to the 2018 Amendment, which were expensed as incurred and recorded as a component of Debt Modification and Extinguishment Expenses in the accompanying unaudited condensed consolidated statement of operations for the three quarters ended September 30, 2018. In connection with the new lenders to the Credit Agreement as a result of the 2018 Amendment, the Company capitalized incremental deferred financing costs of $0.3 million and fees paid to lenders of $0.4 million during the first three quarters of 2018. The Company is amortizing these amounts to interest and other expense using the effective interest method over the terms of the Credit Agreement.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September 30, 2018 or December 31, 2017. The Company recorded $0.1 million of interest expense for the three quarters ended September 30, 2018 as a penalty for not drawing on the revolving credit facility.</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Credit Agreement, as amended, contains representations and warranties, financial and collateral requirements, mandatory payment events, events of default, and affirmative and negative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an amended Total Net Leverage Ratio, as defined in the Amended SunTrust Term Loan Agreement and GS Credit Agreement. As of September 30, 2018 and December 31, 2017, the Company was in compliance with the financial covenant.</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terms of the GS Credit Agreement were amended to allow for the increase in borrowings under the Credit Agreement but otherwise the terms of the GS Credit Agreement were not substantively changed by the 2018 Amendment. The borrowing amount under the GS Credit Agreement is $80.0 million and was not changed in the 2018 Amendment. The GS Credit Agreement matures on July 3, 2023.</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30, 2018, the Company entered into a Limited Waiver and Consent and is no longer obligated to make the 2017 mandatory prepayment based on Excess Cash Flow, as defined in the Credit Agreement. As of September 30,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long-term debt at September 30, 2018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Arial" w:cs="Arial" w:eastAsia="Arial" w:hAnsi="Arial"/>
                <w:sz w:val="17"/>
                <w:szCs w:val="17"/>
                <w:b w:val="1"/>
                <w:bCs w:val="1"/>
                <w:color w:val="auto"/>
              </w:rPr>
              <w:t>Year ending September 30,</w:t>
            </w:r>
          </w:p>
        </w:tc>
        <w:tc>
          <w:tcPr>
            <w:tcW w:w="6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2019</w:t>
            </w:r>
          </w:p>
        </w:tc>
        <w:tc>
          <w:tcPr>
            <w:tcW w:w="6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760" w:type="dxa"/>
            <w:vAlign w:val="bottom"/>
          </w:tcPr>
          <w:p>
            <w:pPr>
              <w:spacing w:after="0"/>
              <w:rPr>
                <w:sz w:val="20"/>
                <w:szCs w:val="20"/>
                <w:color w:val="auto"/>
              </w:rPr>
            </w:pPr>
            <w:r>
              <w:rPr>
                <w:rFonts w:ascii="Arial" w:cs="Arial" w:eastAsia="Arial" w:hAnsi="Arial"/>
                <w:sz w:val="17"/>
                <w:szCs w:val="17"/>
                <w:color w:val="auto"/>
              </w:rPr>
              <w:t>2020</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2,682</w:t>
            </w:r>
          </w:p>
        </w:tc>
      </w:tr>
      <w:tr>
        <w:trPr>
          <w:trHeight w:val="209"/>
        </w:trPr>
        <w:tc>
          <w:tcPr>
            <w:tcW w:w="3760" w:type="dxa"/>
            <w:vAlign w:val="bottom"/>
          </w:tcPr>
          <w:p>
            <w:pPr>
              <w:spacing w:after="0"/>
              <w:rPr>
                <w:sz w:val="20"/>
                <w:szCs w:val="20"/>
                <w:color w:val="auto"/>
              </w:rPr>
            </w:pPr>
            <w:r>
              <w:rPr>
                <w:rFonts w:ascii="Arial" w:cs="Arial" w:eastAsia="Arial" w:hAnsi="Arial"/>
                <w:sz w:val="17"/>
                <w:szCs w:val="17"/>
                <w:color w:val="auto"/>
              </w:rPr>
              <w:t>2022</w:t>
            </w: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2,682</w:t>
            </w:r>
          </w:p>
        </w:tc>
      </w:tr>
      <w:tr>
        <w:trPr>
          <w:trHeight w:val="222"/>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6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341,502</w:t>
            </w:r>
          </w:p>
        </w:tc>
        <w:tc>
          <w:tcPr>
            <w:tcW w:w="100" w:type="dxa"/>
            <w:vAlign w:val="bottom"/>
            <w:shd w:val="clear" w:color="auto" w:fill="CCEEFF"/>
          </w:tcPr>
          <w:p>
            <w:pPr>
              <w:spacing w:after="0"/>
              <w:rPr>
                <w:sz w:val="19"/>
                <w:szCs w:val="19"/>
                <w:color w:val="auto"/>
              </w:rPr>
            </w:pPr>
          </w:p>
        </w:tc>
      </w:tr>
      <w:tr>
        <w:trPr>
          <w:trHeight w:val="215"/>
        </w:trPr>
        <w:tc>
          <w:tcPr>
            <w:tcW w:w="3760" w:type="dxa"/>
            <w:vAlign w:val="bottom"/>
          </w:tcPr>
          <w:p>
            <w:pPr>
              <w:spacing w:after="0"/>
              <w:rPr>
                <w:sz w:val="18"/>
                <w:szCs w:val="18"/>
                <w:color w:val="auto"/>
              </w:rPr>
            </w:pPr>
          </w:p>
        </w:tc>
        <w:tc>
          <w:tcPr>
            <w:tcW w:w="63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352,230</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2"/>
        </w:trPr>
        <w:tc>
          <w:tcPr>
            <w:tcW w:w="37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jc w:val="right"/>
              <w:ind w:right="4273"/>
              <w:spacing w:after="0"/>
              <w:rPr>
                <w:sz w:val="20"/>
                <w:szCs w:val="20"/>
                <w:color w:val="auto"/>
              </w:rPr>
            </w:pPr>
            <w:r>
              <w:rPr>
                <w:rFonts w:ascii="Arial" w:cs="Arial" w:eastAsia="Arial" w:hAnsi="Arial"/>
                <w:sz w:val="17"/>
                <w:szCs w:val="17"/>
                <w:color w:val="auto"/>
              </w:rPr>
              <w:t>F-19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For the three quarters ended September 30, 2018, the payment-in-kind (PIK) interest added $3.6 million to the principal amount of the subordinated debt, which totaled $88.7 million as of September 30, 2018.</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quarters ended September 30, 2018 and 2017, these amounts were $21.9 million and $18.6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Goldman Sachs Warrants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prior GS Credit Agreement, Priority issued a warrant to GS to purchase 1.0% of Priority’s outstanding Class A Common units. As part of the 2017 debt restructuring, the 1.0% warrant with GS was extinguished and Priority issued a new warrant to GS to purchase 1.8% of Priority’s outstanding Class A Common units.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11, 2018, the 1.8% warrant was amended to provide GS with a warrant to purchase 2.2% of Priority’s outstanding Class A Common units. The change in the warrant percentage was the result of anti-dilution provisions in the warrant agreement, which were triggered by the Class A Priority Common unit redemption that occurred during the first three quarters of 2018. The warrant had a term of 7 years, an exercise price of $0 and could be exercised at any time prior to expiration date. Since the obligation was based solely on the fact that the 2.2% interest in equity of Priority was fixed and known at inception as well as the fact that GS could exercise the warrant with a settlement in cash any time prior to the expiration date of December 31, 2023, the warrant was recorded as a liability in the historical financial statements of Priority.</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December 31, 2017, the warrant had a fair value of $8.7 million and is presented as a warrant liability in the accompanying unaudited condensed consolidated balance sheet. On July 25, 2018, Priority and GS agreed to redeem the warrant in exchange for $12.7 million in cash.</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Capitalized deferred financing costs related to the Company’s credit facilities totaled $4.1 million and $4.4 million at September 30, 2018 and December 31, 2017, respectively. Deferred financing costs are being amortized using the effective interest method over the remaining term of the respective debt and are recorded as a component of interest expense. Interest expense related to amortization of deferred finance costs was $0.6 million and $0.5 million for the three quarters ended September 30, 2018 and 2017, respectively. Deferred financing costs are included in long-term debt in the Company’s unaudited condensed consolidated balance sheets.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440" w:hanging="435"/>
        <w:spacing w:after="0"/>
        <w:tabs>
          <w:tab w:leader="none" w:pos="44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connection with the Business Combination and Recapitalization that occurred on July 25, 2018, the tax partnership status of Priority was terminated. For federal income tax purposes, Priority became a disregarded subsidiary of MI Acquisitions, which simultaneously changed its name to Priority Technology Holdings, Inc. (the “Company”), whereby its operations became subject to federal and state income taxes. For all periods subsequent to July 25, 2018, income tax expense or benefit reflects the taxable status of the Company as a taxable “C-corporation.” The initial deferred tax assets and deferred tax liabilities recognized by the Company on July 25, 2018 were the result of the difference between initial tax basis, generally substituted tax basis, and the respective carrying amounts of the assets and liabilities for financial reporting purposes. The net deferred tax assets as of July 25, 2018 was approximately $47.5 million, which has been recorded as an adjustment to Additional Paid-In Capital in the Company’s consolidated financial statements. The Company’s unaudited condensed consolidated statements of operations also present pro-forma income tax expense or benefit for periods prior to July 25, 2018.</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effective income tax rate was 8.02% for the three quarters ended September 30, 2018. This rate differs from the statutory federal rate of 21% in 2018 primarily due to certain nondeductible permanent items and the partnership status of Priority from January 1, 2018 to July 25,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20" w:type="dxa"/>
            <w:vAlign w:val="bottom"/>
            <w:gridSpan w:val="4"/>
          </w:tcPr>
          <w:p>
            <w:pPr>
              <w:spacing w:after="0"/>
              <w:rPr>
                <w:sz w:val="20"/>
                <w:szCs w:val="20"/>
                <w:color w:val="auto"/>
              </w:rPr>
            </w:pPr>
            <w:r>
              <w:rPr>
                <w:rFonts w:ascii="Arial" w:cs="Arial" w:eastAsia="Arial" w:hAnsi="Arial"/>
                <w:sz w:val="17"/>
                <w:szCs w:val="17"/>
                <w:color w:val="auto"/>
              </w:rPr>
              <w:t>The components of the deferred tax assets and liabilities at September 30, 2018 were as follows:</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320" w:type="dxa"/>
            <w:vAlign w:val="bottom"/>
            <w:gridSpan w:val="4"/>
          </w:tcPr>
          <w:p>
            <w:pPr>
              <w:spacing w:after="0"/>
              <w:rPr>
                <w:sz w:val="20"/>
                <w:szCs w:val="20"/>
                <w:color w:val="auto"/>
              </w:rPr>
            </w:pPr>
            <w:r>
              <w:rPr>
                <w:rFonts w:ascii="Arial" w:cs="Arial" w:eastAsia="Arial" w:hAnsi="Arial"/>
                <w:sz w:val="17"/>
                <w:szCs w:val="17"/>
                <w:i w:val="1"/>
                <w:iCs w:val="1"/>
                <w:color w:val="auto"/>
              </w:rPr>
              <w:t>(in thousands)</w:t>
            </w:r>
          </w:p>
        </w:tc>
        <w:tc>
          <w:tcPr>
            <w:tcW w:w="100" w:type="dxa"/>
            <w:vAlign w:val="bottom"/>
          </w:tcPr>
          <w:p>
            <w:pPr>
              <w:spacing w:after="0"/>
              <w:rPr>
                <w:sz w:val="24"/>
                <w:szCs w:val="24"/>
                <w:color w:val="auto"/>
              </w:rPr>
            </w:pPr>
          </w:p>
        </w:tc>
        <w:tc>
          <w:tcPr>
            <w:tcW w:w="17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1"/>
              </w:rPr>
              <w:t>September 30, 2018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Borders>
              <w:top w:val="single" w:sz="8" w:color="CCEEFF"/>
              <w:bottom w:val="single" w:sz="8" w:color="auto"/>
            </w:tcBorders>
            <w:shd w:val="clear" w:color="auto" w:fill="CCEEFF"/>
          </w:tcPr>
          <w:p>
            <w:pPr>
              <w:spacing w:after="0" w:line="163" w:lineRule="exact"/>
              <w:rPr>
                <w:sz w:val="20"/>
                <w:szCs w:val="20"/>
                <w:color w:val="auto"/>
              </w:rPr>
            </w:pPr>
            <w:r>
              <w:rPr>
                <w:rFonts w:ascii="Arial" w:cs="Arial" w:eastAsia="Arial" w:hAnsi="Arial"/>
                <w:sz w:val="17"/>
                <w:szCs w:val="17"/>
                <w:b w:val="1"/>
                <w:bCs w:val="1"/>
                <w:color w:val="auto"/>
                <w:w w:val="89"/>
              </w:rPr>
              <w:t>Deferred Tax Assets:</w:t>
            </w:r>
          </w:p>
        </w:tc>
        <w:tc>
          <w:tcPr>
            <w:tcW w:w="576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6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Accruals and reserves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47,203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Intangible assets</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6,575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operating loss carryforwards</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Business transaction costs</w:t>
            </w:r>
          </w:p>
        </w:tc>
        <w:tc>
          <w:tcPr>
            <w:tcW w:w="10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3"/>
          </w:tcPr>
          <w:p>
            <w:pPr>
              <w:ind w:left="140"/>
              <w:spacing w:after="0"/>
              <w:rPr>
                <w:sz w:val="20"/>
                <w:szCs w:val="20"/>
                <w:color w:val="auto"/>
              </w:rPr>
            </w:pPr>
            <w:r>
              <w:rPr>
                <w:rFonts w:ascii="Arial" w:cs="Arial" w:eastAsia="Arial" w:hAnsi="Arial"/>
                <w:sz w:val="17"/>
                <w:szCs w:val="17"/>
                <w:color w:val="auto"/>
              </w:rPr>
              <w:t>Gross deferred tax assets</w:t>
            </w:r>
          </w:p>
        </w:tc>
        <w:tc>
          <w:tcPr>
            <w:tcW w:w="1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56,822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Total deferred tax assets</w:t>
            </w:r>
          </w:p>
        </w:tc>
        <w:tc>
          <w:tcPr>
            <w:tcW w:w="1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55,911</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18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b w:val="1"/>
                <w:bCs w:val="1"/>
                <w:color w:val="auto"/>
                <w:w w:val="93"/>
              </w:rPr>
              <w:t>Deferred Tax Liabilities:</w:t>
            </w: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Prepaid assets</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00" w:type="dxa"/>
            <w:vAlign w:val="bottom"/>
            <w:gridSpan w:val="3"/>
          </w:tcPr>
          <w:p>
            <w:pPr>
              <w:spacing w:after="0"/>
              <w:rPr>
                <w:sz w:val="20"/>
                <w:szCs w:val="20"/>
                <w:color w:val="auto"/>
              </w:rPr>
            </w:pPr>
            <w:r>
              <w:rPr>
                <w:rFonts w:ascii="Arial" w:cs="Arial" w:eastAsia="Arial" w:hAnsi="Arial"/>
                <w:sz w:val="17"/>
                <w:szCs w:val="17"/>
                <w:color w:val="auto"/>
              </w:rPr>
              <w:t>Investment in partnership</w:t>
            </w:r>
          </w:p>
        </w:tc>
        <w:tc>
          <w:tcPr>
            <w:tcW w:w="100" w:type="dxa"/>
            <w:vAlign w:val="bottom"/>
          </w:tcPr>
          <w:p>
            <w:pPr>
              <w:spacing w:after="0"/>
              <w:rPr>
                <w:sz w:val="18"/>
                <w:szCs w:val="18"/>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7"/>
                <w:szCs w:val="17"/>
                <w:color w:val="auto"/>
              </w:rPr>
              <w:t>(3,517)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Borders>
              <w:bottom w:val="single" w:sz="8" w:color="CCEEFF"/>
            </w:tcBorders>
            <w:gridSpan w:val="3"/>
          </w:tcPr>
          <w:p>
            <w:pPr>
              <w:ind w:left="140"/>
              <w:spacing w:after="0"/>
              <w:rPr>
                <w:sz w:val="20"/>
                <w:szCs w:val="20"/>
                <w:color w:val="auto"/>
              </w:rPr>
            </w:pPr>
            <w:r>
              <w:rPr>
                <w:rFonts w:ascii="Arial" w:cs="Arial" w:eastAsia="Arial" w:hAnsi="Arial"/>
                <w:sz w:val="17"/>
                <w:szCs w:val="17"/>
                <w:color w:val="auto"/>
              </w:rPr>
              <w:t>Total deferred tax liabilities</w:t>
            </w:r>
          </w:p>
        </w:tc>
        <w:tc>
          <w:tcPr>
            <w:tcW w:w="1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(7,442</w:t>
            </w:r>
          </w:p>
        </w:tc>
        <w:tc>
          <w:tcPr>
            <w:tcW w:w="1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7"/>
                <w:szCs w:val="17"/>
                <w:b w:val="1"/>
                <w:bCs w:val="1"/>
                <w:color w:val="auto"/>
              </w:rPr>
              <w:t>Net deferred tax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48,469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the Company will provide a valuation allowance against deferred tax assets when it is more likely than not that some portion or all of the deferred tax assets will not be realized. The assessment considers all available positive and negative evidence and is measured quarterly. As of September 30, 2018, the Company has recorded a valuation allowance of approximately $0.9 million against certain deferred income tax assets related to business transaction costs, and MI Acquisitions’ net operating loss carryforwards.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transactions involving the MI Acquisitions’ beneficial ownership occurred concurrent with the Business Combination and Recapitalization on July 25, 2018, likely causing a stock ownership change for purposes of Section 382 of the Internal Revenue Code. The Company is still preparing a detailed analysis for MI Acquisitions to determine if the potential ownership change will have any effect on the available federal and state net operating losses.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December 22, 2017, the Tax Cuts and Jobs Act (“Tax Act”) was enacted. The Tax Act includes a number of changes to existing U.S. tax laws that may impact the Company. The most notable provisions of the Tax Act that may impact the Company include a reduction of the U.S. corporate income tax rate from 35% to 21% and the potential limitations on interest deductibility, both effective January 1, 2018, as well as immediate expensing for certain assets placed into service after September 27, 2017. The Company does not anticipate material impacts of the provisions of the Tax Act as of September 30, 2018, other than the impact of the reduction of the U.S. corporate rate from 35% to 21%.</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SEC staff issued Staff Accounting Bulletin No. 118 (“SAB 118”) on December 22, 2017,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the company is able to determine a reasonable estimate, it must record a provisional estimate in the financial statements. Accordingly, the Company elects to follow the guidance in SAB 118. As of September 30, 2018, the Company has not completed the accounting for the income tax effects of all elements of the Tax Act. Where reasonable estimates of the effects of the Tax Act are not yet complete, the Company recorded provisional adjustments. If the Company is not yet able to make reasonable estimates of the impact of certain elements of the Tax Act, the Company has not made any adjustments related to those elements and has continued accounting for them in accordance with ASC 740 based on the tax laws in effect before the Tax Act.</w:t>
      </w:r>
    </w:p>
    <w:p>
      <w:pPr>
        <w:spacing w:after="0" w:line="162" w:lineRule="exact"/>
        <w:rPr>
          <w:sz w:val="20"/>
          <w:szCs w:val="20"/>
          <w:color w:val="auto"/>
        </w:rPr>
      </w:pPr>
    </w:p>
    <w:p>
      <w:pPr>
        <w:ind w:left="440" w:hanging="435"/>
        <w:spacing w:after="0"/>
        <w:tabs>
          <w:tab w:leader="none" w:pos="4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except as discussed below for a settlement reached in October 2018.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October 2018, the Company settled a legal matter for $1.6 million, which was recorded as other operating expenses in the accompanying unaudited condensed consolidated statement of operations for the three quarters ended September 30, 2018.</w:t>
      </w:r>
    </w:p>
    <w:p>
      <w:pPr>
        <w:spacing w:after="0" w:line="153" w:lineRule="exact"/>
        <w:rPr>
          <w:sz w:val="20"/>
          <w:szCs w:val="20"/>
          <w:color w:val="auto"/>
        </w:rPr>
      </w:pPr>
    </w:p>
    <w:p>
      <w:pPr>
        <w:ind w:left="440" w:hanging="435"/>
        <w:spacing w:after="0"/>
        <w:tabs>
          <w:tab w:leader="none" w:pos="440"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Priority Holdings, LLC has a management services agreement and an annual bonus payout with PSD Partners LP, which is owned by a member of Priority Investment Holdings, LLC, which, until July 25, 2018, was a member owner of Priority Holdings, LLC. For the three quarters ended September 30, 2018 and 2017, the Company incurred a total of $0.9 million and $0.6 million, respectively, for costs related to management service fees, annual bonus payout, and occupancy fees, which are recorded in selling, general and administrative expenses in the accompanying unaudited condensed consolidated statement of operations.</w:t>
      </w:r>
    </w:p>
    <w:p>
      <w:pPr>
        <w:spacing w:after="0" w:line="175" w:lineRule="exact"/>
        <w:rPr>
          <w:sz w:val="20"/>
          <w:szCs w:val="20"/>
          <w:color w:val="auto"/>
        </w:rPr>
      </w:pPr>
    </w:p>
    <w:p>
      <w:pPr>
        <w:ind w:left="440" w:hanging="435"/>
        <w:spacing w:after="0"/>
        <w:tabs>
          <w:tab w:leader="none" w:pos="44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222222"/>
        </w:rPr>
        <w:t xml:space="preserve">As disclosed in Note 1, </w:t>
      </w:r>
      <w:r>
        <w:rPr>
          <w:rFonts w:ascii="Arial" w:cs="Arial" w:eastAsia="Arial" w:hAnsi="Arial"/>
          <w:sz w:val="17"/>
          <w:szCs w:val="17"/>
          <w:i w:val="1"/>
          <w:iCs w:val="1"/>
          <w:color w:val="222222"/>
        </w:rPr>
        <w:t>The Company and Basis of Presentation</w:t>
      </w:r>
      <w:r>
        <w:rPr>
          <w:rFonts w:ascii="Arial" w:cs="Arial" w:eastAsia="Arial" w:hAnsi="Arial"/>
          <w:sz w:val="17"/>
          <w:szCs w:val="17"/>
          <w:color w:val="222222"/>
        </w:rPr>
        <w:t>, on July 25, 2018 the Company accounted for a “reverse merger” between Priority and MI Acquisitions and the resulting Recapitalization.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Common and Preferred Stock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222222"/>
        </w:rPr>
        <w:t>The equity structure of the Company is as follows as of September 30, 2018 and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spacing w:after="0"/>
              <w:rPr>
                <w:sz w:val="19"/>
                <w:szCs w:val="19"/>
                <w:color w:val="auto"/>
              </w:rPr>
            </w:pPr>
          </w:p>
        </w:tc>
        <w:tc>
          <w:tcPr>
            <w:tcW w:w="2680" w:type="dxa"/>
            <w:vAlign w:val="bottom"/>
            <w:gridSpan w:val="3"/>
          </w:tcPr>
          <w:p>
            <w:pPr>
              <w:ind w:left="860"/>
              <w:spacing w:after="0"/>
              <w:rPr>
                <w:sz w:val="20"/>
                <w:szCs w:val="20"/>
                <w:color w:val="auto"/>
              </w:rPr>
            </w:pPr>
            <w:r>
              <w:rPr>
                <w:rFonts w:ascii="Arial" w:cs="Arial" w:eastAsia="Arial" w:hAnsi="Arial"/>
                <w:sz w:val="17"/>
                <w:szCs w:val="17"/>
                <w:b w:val="1"/>
                <w:bCs w:val="1"/>
                <w:color w:val="auto"/>
              </w:rPr>
              <w:t>September 30, 2018</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4"/>
          </w:tcPr>
          <w:p>
            <w:pPr>
              <w:ind w:left="920"/>
              <w:spacing w:after="0"/>
              <w:rPr>
                <w:sz w:val="20"/>
                <w:szCs w:val="20"/>
                <w:color w:val="auto"/>
              </w:rPr>
            </w:pPr>
            <w:r>
              <w:rPr>
                <w:rFonts w:ascii="Arial" w:cs="Arial" w:eastAsia="Arial" w:hAnsi="Arial"/>
                <w:sz w:val="17"/>
                <w:szCs w:val="17"/>
                <w:b w:val="1"/>
                <w:bCs w:val="1"/>
                <w:color w:val="auto"/>
              </w:rPr>
              <w:t>December 31, 2017</w:t>
            </w:r>
          </w:p>
        </w:tc>
      </w:tr>
      <w:tr>
        <w:trPr>
          <w:trHeight w:val="216"/>
        </w:trPr>
        <w:tc>
          <w:tcPr>
            <w:tcW w:w="41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70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Authorized</w:t>
            </w:r>
          </w:p>
        </w:tc>
        <w:tc>
          <w:tcPr>
            <w:tcW w:w="980" w:type="dxa"/>
            <w:vAlign w:val="bottom"/>
            <w:tcBorders>
              <w:top w:val="single" w:sz="8" w:color="auto"/>
            </w:tcBorders>
          </w:tcPr>
          <w:p>
            <w:pPr>
              <w:ind w:left="500"/>
              <w:spacing w:after="0"/>
              <w:rPr>
                <w:sz w:val="20"/>
                <w:szCs w:val="20"/>
                <w:color w:val="auto"/>
              </w:rPr>
            </w:pPr>
            <w:r>
              <w:rPr>
                <w:rFonts w:ascii="Arial" w:cs="Arial" w:eastAsia="Arial" w:hAnsi="Arial"/>
                <w:sz w:val="17"/>
                <w:szCs w:val="17"/>
                <w:b w:val="1"/>
                <w:bCs w:val="1"/>
                <w:color w:val="auto"/>
                <w:w w:val="85"/>
              </w:rPr>
              <w:t>Issued</w:t>
            </w: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Borders>
              <w:top w:val="single" w:sz="8" w:color="auto"/>
            </w:tcBorders>
            <w:gridSpan w:val="2"/>
          </w:tcPr>
          <w:p>
            <w:pPr>
              <w:ind w:left="320"/>
              <w:spacing w:after="0"/>
              <w:rPr>
                <w:sz w:val="20"/>
                <w:szCs w:val="20"/>
                <w:color w:val="auto"/>
              </w:rPr>
            </w:pPr>
            <w:r>
              <w:rPr>
                <w:rFonts w:ascii="Arial" w:cs="Arial" w:eastAsia="Arial" w:hAnsi="Arial"/>
                <w:sz w:val="17"/>
                <w:szCs w:val="17"/>
                <w:b w:val="1"/>
                <w:bCs w:val="1"/>
                <w:color w:val="auto"/>
              </w:rPr>
              <w:t>Authorized</w:t>
            </w:r>
          </w:p>
        </w:tc>
        <w:tc>
          <w:tcPr>
            <w:tcW w:w="1540" w:type="dxa"/>
            <w:vAlign w:val="bottom"/>
            <w:tcBorders>
              <w:top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Issued</w:t>
            </w:r>
          </w:p>
        </w:tc>
        <w:tc>
          <w:tcPr>
            <w:tcW w:w="100" w:type="dxa"/>
            <w:vAlign w:val="bottom"/>
          </w:tcPr>
          <w:p>
            <w:pPr>
              <w:spacing w:after="0"/>
              <w:rPr>
                <w:sz w:val="18"/>
                <w:szCs w:val="18"/>
                <w:color w:val="auto"/>
              </w:rPr>
            </w:pPr>
          </w:p>
        </w:tc>
      </w:tr>
      <w:tr>
        <w:trPr>
          <w:trHeight w:val="202"/>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Shares, par value $0.001</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67,047</w:t>
            </w:r>
          </w:p>
        </w:tc>
        <w:tc>
          <w:tcPr>
            <w:tcW w:w="2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1"/>
        </w:trPr>
        <w:tc>
          <w:tcPr>
            <w:tcW w:w="4120" w:type="dxa"/>
            <w:vAlign w:val="bottom"/>
          </w:tcPr>
          <w:p>
            <w:pPr>
              <w:spacing w:after="0"/>
              <w:rPr>
                <w:sz w:val="20"/>
                <w:szCs w:val="20"/>
                <w:color w:val="auto"/>
              </w:rPr>
            </w:pPr>
            <w:r>
              <w:rPr>
                <w:rFonts w:ascii="Arial" w:cs="Arial" w:eastAsia="Arial" w:hAnsi="Arial"/>
                <w:sz w:val="17"/>
                <w:szCs w:val="17"/>
                <w:color w:val="auto"/>
              </w:rPr>
              <w:t>Preferred Shares</w:t>
            </w:r>
          </w:p>
        </w:tc>
        <w:tc>
          <w:tcPr>
            <w:tcW w:w="1480" w:type="dxa"/>
            <w:vAlign w:val="bottom"/>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222222"/>
        </w:rPr>
        <w:t>In connection with the July 25, 2018 Business Combination and Recapitalization, the following occurred:</w:t>
      </w:r>
    </w:p>
    <w:p>
      <w:pPr>
        <w:spacing w:after="0" w:line="223" w:lineRule="exact"/>
        <w:rPr>
          <w:sz w:val="20"/>
          <w:szCs w:val="20"/>
          <w:color w:val="auto"/>
        </w:rPr>
      </w:pPr>
    </w:p>
    <w:p>
      <w:pPr>
        <w:jc w:val="both"/>
        <w:ind w:left="640" w:hanging="321"/>
        <w:spacing w:after="0" w:line="260"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222222"/>
        </w:rPr>
        <w:t xml:space="preserve">In exchange for the 4.6 million common units of Priority, 60.1 million common shares were issued in a private placement that resulted in Priority receiving approximately $49.4 million. The 60.1 million shares excludes 0.5 million shares issued as partial consideration in two business acquisitions (see Note 2, </w:t>
      </w:r>
      <w:r>
        <w:rPr>
          <w:rFonts w:ascii="Arial" w:cs="Arial" w:eastAsia="Arial" w:hAnsi="Arial"/>
          <w:sz w:val="17"/>
          <w:szCs w:val="17"/>
          <w:i w:val="1"/>
          <w:iCs w:val="1"/>
          <w:color w:val="222222"/>
        </w:rPr>
        <w:t>Acquisitions of Businesses</w:t>
      </w:r>
      <w:r>
        <w:rPr>
          <w:rFonts w:ascii="Arial" w:cs="Arial" w:eastAsia="Arial" w:hAnsi="Arial"/>
          <w:sz w:val="17"/>
          <w:szCs w:val="17"/>
          <w:color w:val="222222"/>
        </w:rPr>
        <w:t xml:space="preserve">) and includes 3.0 million shares issued in connection with a Priority equity incentive plan (see Note 12, </w:t>
      </w:r>
      <w:r>
        <w:rPr>
          <w:rFonts w:ascii="Arial" w:cs="Arial" w:eastAsia="Arial" w:hAnsi="Arial"/>
          <w:sz w:val="17"/>
          <w:szCs w:val="17"/>
          <w:i w:val="1"/>
          <w:iCs w:val="1"/>
          <w:color w:val="222222"/>
        </w:rPr>
        <w:t>Equity-Based Compensation</w:t>
      </w:r>
      <w:r>
        <w:rPr>
          <w:rFonts w:ascii="Arial" w:cs="Arial" w:eastAsia="Arial" w:hAnsi="Arial"/>
          <w:sz w:val="17"/>
          <w:szCs w:val="17"/>
          <w:color w:val="222222"/>
        </w:rPr>
        <w:t>).</w:t>
      </w:r>
    </w:p>
    <w:p>
      <w:pPr>
        <w:spacing w:after="0" w:line="2"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81"/>
        </w:numPr>
        <w:rPr>
          <w:rFonts w:ascii="Arial" w:cs="Arial" w:eastAsia="Arial" w:hAnsi="Arial"/>
          <w:sz w:val="17"/>
          <w:szCs w:val="17"/>
          <w:color w:val="222222"/>
        </w:rPr>
      </w:pPr>
      <w:r>
        <w:rPr>
          <w:rFonts w:ascii="Arial" w:cs="Arial" w:eastAsia="Arial" w:hAnsi="Arial"/>
          <w:sz w:val="17"/>
          <w:szCs w:val="17"/>
          <w:color w:val="auto"/>
        </w:rPr>
        <w:t>In exchange for the publicly-traded shares of MI Acquisitions that originated from MI Acquisition’s 2016 IPO, approximately 4.9 million shares of common stock was issued through share conversion.</w:t>
      </w:r>
    </w:p>
    <w:p>
      <w:pPr>
        <w:spacing w:after="0" w:line="1" w:lineRule="exact"/>
        <w:rPr>
          <w:rFonts w:ascii="Arial" w:cs="Arial" w:eastAsia="Arial" w:hAnsi="Arial"/>
          <w:sz w:val="17"/>
          <w:szCs w:val="17"/>
          <w:color w:val="222222"/>
        </w:rPr>
      </w:pPr>
    </w:p>
    <w:p>
      <w:pPr>
        <w:ind w:left="640" w:hanging="321"/>
        <w:spacing w:after="0" w:line="256" w:lineRule="auto"/>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222222"/>
        </w:rPr>
        <w:t>$2.1 million was paid to the MI Acquisition’s founding shareholders (the “MI Founders”) for 421,107 MI Acquisitions’ private placement units and 453,210 MI Acquisitions’ common shares held by MI Founders. Each unit consisted of one share and one warrant.</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81"/>
        </w:numPr>
        <w:rPr>
          <w:rFonts w:ascii="Arial" w:cs="Arial" w:eastAsia="Arial" w:hAnsi="Arial"/>
          <w:sz w:val="17"/>
          <w:szCs w:val="17"/>
          <w:color w:val="auto"/>
        </w:rPr>
      </w:pPr>
      <w:r>
        <w:rPr>
          <w:rFonts w:ascii="Arial" w:cs="Arial" w:eastAsia="Arial" w:hAnsi="Arial"/>
          <w:sz w:val="17"/>
          <w:szCs w:val="17"/>
          <w:color w:val="222222"/>
        </w:rPr>
        <w:t>MI Founders forfeited 174,863 of the founders’ common shares.</w:t>
      </w:r>
    </w:p>
    <w:p>
      <w:pPr>
        <w:spacing w:after="0" w:line="21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At September 30, 2018, the Company had 67,047,044 shares of common stock outstanding, of which: 1) 60,071,200 shares were issued in the Recapitalization through the private placement; 2) 874,317 shares issued to the sellers of Priority that were purchased from the MI Founders; 3) 4,926,878 shares were issued to holders of common stock of MI Acquisitions originating from MI Acquisitions’ 2016 initial public offering; 4) 699,454 shares were issued to the MI Founders; and</w:t>
      </w:r>
    </w:p>
    <w:p>
      <w:pPr>
        <w:spacing w:after="0" w:line="1" w:lineRule="exact"/>
        <w:rPr>
          <w:sz w:val="20"/>
          <w:szCs w:val="20"/>
          <w:color w:val="auto"/>
        </w:rPr>
      </w:pPr>
    </w:p>
    <w:p>
      <w:pPr>
        <w:ind w:firstLine="5"/>
        <w:spacing w:after="0" w:line="273" w:lineRule="auto"/>
        <w:tabs>
          <w:tab w:leader="none" w:pos="1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475,195 shares were issued as partial consideration for two business acquisitions. Certain holders of common shares from the private placement may be subject to holding period restrictions under applicable securities laws.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222222"/>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222222"/>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color w:val="222222"/>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Earn-Out Consideration</w:t>
      </w:r>
    </w:p>
    <w:p>
      <w:pPr>
        <w:spacing w:after="0" w:line="22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222222"/>
        </w:rPr>
        <w:t xml:space="preserve">Subsequent to July 25, 2018, an additional 9.8 million private placement common shares may be issued as earn-out consideration to the sellers of Priority, or at their election, to members of Priority’s management or other service providers, pursuant to the Company’s Earn-Out Incentive Plan. For the first earn-out of up to 4.9 million common shares, Consolidated Adjusted EBITDA (as defined in the Earn-Out Incentive Plan) of the Company must be no less than $82.5 million for the year ending December 31, 2018 and the Company’s stock price must have traded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2018, none of the 9.8 million shares have been earned. Any shares issued to management or directors under compensation plans will be expensed under the provisions of ASC 718, </w:t>
      </w:r>
      <w:r>
        <w:rPr>
          <w:rFonts w:ascii="Arial" w:cs="Arial" w:eastAsia="Arial" w:hAnsi="Arial"/>
          <w:sz w:val="15"/>
          <w:szCs w:val="15"/>
          <w:i w:val="1"/>
          <w:iCs w:val="1"/>
          <w:color w:val="222222"/>
        </w:rPr>
        <w:t>Stock Compensation</w:t>
      </w:r>
      <w:r>
        <w:rPr>
          <w:rFonts w:ascii="Arial" w:cs="Arial" w:eastAsia="Arial" w:hAnsi="Arial"/>
          <w:sz w:val="15"/>
          <w:szCs w:val="15"/>
          <w:color w:val="222222"/>
        </w:rPr>
        <w: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Call Right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222222"/>
        </w:rPr>
        <w:t>The Company’s Executive Chairman was given the right to require any of the MI Founders to sell all or a portion of their Company securities at a call-right purchase price, payable in cash. The call-right purchase price for common shares will be based on the greater of: 1) $10.30; 2) a preceding volume-weighted average closing price (as defined); or 3) a subsequent volume-weighted average closing price (as defined). The call-right purchase price for warrants will be determined by the greater of: 1) a preceding volume-weighted average closing price (as defined) of the called security or 2) a subsequent volume-weighted average closing price of the called security. The call right does not constitute a derivate under GAAP.</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MI Acquisitions Warrants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222222"/>
        </w:rPr>
        <w:t>The outstanding MI Acquisitions warrants allow the holders to purchase 5,712,608 shares of the Company’s common stock at an exercise price of $11.50 per share, subject to certain adjustments (5,310,108 of these warrants are designated as “public warrants” and 402,500 are designated as “private warrants”). The warrants may only be exercised during the period commencing on the later to occur of (i) 30 days following the completion of the MI Acquisitions’ initial business combination and (ii) 12 months following the closing of MI Acquisitions’ IPO, and terminating on the earlier to occur of (i) five years following the date the warrants became exercisable, and (ii) the date fixed for redemption upon the Company electing to redeem the warrants. The Company has the option to redeem all (and not less than all) of the outstanding public warrants at any time from and after the warrants become exercisable, and prior to their expiration, at the price of $0.01 per warrant; provided that the last sales price of the Company’s common stock has been equal to or greater than $16.00 per share (subject to adjustment for splits, dividends, recapitalizations and other similar events), for any 20 trading days within a 30 trading day period ending on the third business day prior to the date on which notice of redemption is given and provided further that (i) there is a current registration statement in effect with respect to the shares of common stock underlying the public warrants for each day in the 30-day trading period and continuing each day thereafter until the redemption date or (ii) the cashless exercise is exempt from the registration requirements under the Securities Act of 1933, as amended. The warrants are classified as equity, and therefore, subsequent changes in the fair value of the warrants will not be recognized in earnings.</w:t>
      </w:r>
    </w:p>
    <w:p>
      <w:pPr>
        <w:spacing w:after="0" w:line="1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222222"/>
        </w:rPr>
        <w:t>The outstanding purchase option that was sold to the underwriters (in addition to the warrants discussed above) for an aggregate purchase price of $100.00, allows the holders to purchase up to a total of 300,000 units (each consisting of a share of common stock and a public warrant) exercisable at $12.00 per unit commencing on the later of the consummation of a business combination and six months from September 13, 2016 (the “Purchase Option”). The Purchase Option expires five years from September 13, 2016. The units issuable upon exercise of the Purchase Option are identical to the units offered in MI Acquisitions’ IPO. The Purchase Option is classified as equity in the accompanying unaudited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Business Combination and Recapitalization Costs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22222"/>
        </w:rPr>
        <w:t>In connection with the July 25, 2018 Business Combination and Recapitalization, the Company incurred $13.3 million of fees and expenses, of which $9.7 million of recapitalization costs were charged to Additional Paid in Capital since these costs were less than the cash received in conjunction with the Recapitalization costs were directly related to the issuance of equity for the Recapitalization. These costs are presented as Recapitalization costs in the accompanying unaudited condensed consolidated statements of changes in equity (deficit). The remaining $3.6 million of expenses were related to the Business Combination and are presented in selling, general, and administrative expenses in the accompanying unaudited condensed consolidated statements of operations for the three quarters ended September 30, 2018.</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7" w:name="page148"/>
    <w:bookmarkEnd w:id="147"/>
    <w:p>
      <w:pPr>
        <w:spacing w:after="0"/>
        <w:rPr>
          <w:sz w:val="20"/>
          <w:szCs w:val="20"/>
          <w:color w:val="auto"/>
        </w:rPr>
      </w:pPr>
      <w:r>
        <w:rPr>
          <w:rFonts w:ascii="Arial" w:cs="Arial" w:eastAsia="Arial" w:hAnsi="Arial"/>
          <w:sz w:val="17"/>
          <w:szCs w:val="17"/>
          <w:b w:val="1"/>
          <w:bCs w:val="1"/>
          <w:color w:val="222222"/>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Nasdaq</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2018, the Company received a notice from Nasdaq stating Nasdaq’s intention to suspend the Company’s common stock and warrants from trading on the exchange based on the Company’s failure to have at least 400 round lot holders of each listed security. Following a hearing in October 2018 at which the Company demonstrated its compliance with the 400 round lot holders rule in respect of the Company’s common stock and presented a plan with respect to the warrants, Nasdaq withdrew its objection to the listing of the Company’s common stock and extended the listing compliance deadline for the Company’s warrants.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Events for Priority Holdings, LLC that Occurred Prior to July 25, 2018</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January 3, 2017, Priority used the proceeds from the 2017 debt restructuring to redeem 4,681,590 Class A Common units for $200.0 million (the “Redemption”). Concurrent with the Redemption, (i) Priority and its members entered into an amended and restated operating agreement that eliminated the Class A Preferred units and the Class C Common units and (ii) the Plan of Merger, dated as of May 21, 2014 between Priority Payment Systems Holdings, LLC and Pipeline Cynergy Holdings, LLC was terminated which resulted in the cancellation of related contingent consideration due to the Preferred A unitholders.</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January 31, 2017, Priority entered into a redemption agreement with one of its minority unitholders to redeem their former Class A common membership units for a total redemption price of $12.2 million. Priority accounted for the Common Unit Repurchase Obligation as a liability because it was required to redeem these former Class A Common units for cash. The liability was recorded at fair value at the date of the redemption agreement, which was equal to the redemption value. Under this agreement, Priority redeemed $3.0 million of 69,470 former Class A Common units in April 2017. As of December 31, 2017, the Common Unit Repurchase Obligation had a redemption value of $9.2 million.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remaining $9.2 million was redeemed through the January 17, 2018 redemption of 115,751 former Class A Common units for $5.0 million and the February 23, 2018 redemption of 96,999 former Class A Common Units for $4.2 million.</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aforementioned redemptions, Priority redeemed 295,834 former Class A Common units for $26.0 million on January 17, 2018 and 445,410 former Class A Common Units for $39.0 million on January 19, 2018. As a result of the aforementioned redemptions, Priority was 100% owned by Priority Investment Holdings, LLC and Priority Incentive Equity Holdings, LLC until July 25, 2018.</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former Class A common units redeemed in January and February 2018 were then canceled by Priority. The redemption transactions and the amended and restated operating agreement resulted in one unitholder gaining control and becoming the majority unitholder of Priority. These changes in the equity structure of Priority were recorded as capital transactions.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At December 31, 2017, Priority had 5,249 voting former Class A common shares authorized and issued, and 335 and 302 non-voting former Class B common shares authorized and issued, respectively.</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Prior to July 25, 2018, Priority recorded distributions of $7.1 million and $3.4 million to its members during the three quarters ended September 30, 2018 and 2017, respectively.</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2" w:lineRule="exact"/>
        <w:rPr>
          <w:sz w:val="20"/>
          <w:szCs w:val="20"/>
          <w:color w:val="auto"/>
        </w:rPr>
      </w:pPr>
    </w:p>
    <w:p>
      <w:pPr>
        <w:ind w:left="520" w:hanging="515"/>
        <w:spacing w:after="0"/>
        <w:tabs>
          <w:tab w:leader="none" w:pos="52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EQUITY-BASED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Management Incentive Plan</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2014, as part of the merger with Pipeline Cynergy Holdings LLC, Priority established the Priority Holdings Management Incentive Plan (the “Plan”) pursuant to the operating agreement of Priority Holdings, LLC, for which selected Priority employees and contractors may be awarded management incentive units representing a fractional part of the interests in profits, losses and distributions of Priority and having the rights and obligations specified with respect to Class B Priority Common Units or such other class of units as Priority’s board of managers may establish from time to time. 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Equity-based compensation expense was $1.1 million and $0.7 million for three quarters ended September 30, 2018 and 2017, respectively, which is included in “Salary and employee benefits” in the accompanying unaudited condensed consolidated statements of operations. As of September 30, 2018, there is approximately $1.1 million of total unrecognized compensation cost related to non-vested share units granted under the Plan. Under the Plan, there is no stated exercise price per unit.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2018 Equity Incentive Plan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July 2018, the Company’s board of directors approved the 2018 Equity Incentive Plan (the “2018 Plan”). The 2018 Plan provides for the issuance of up to 10% of the number of shares of the Company’s common stock outstanding at the close of business on July 25, 2018. Under the 2018 Plan, the compensation committee of the Company’s board of directors may grant awards of non-qualified stock options, incentive stock options, stock appreciation rights, restricted stock awards, restricted stock units, other stock-based awards (including cash bonus awards) or any combination of the foregoing to current or prospective employees, officers, consultants, advisors, or non-employee members of the Company’s board of directors. The Company was not required to recognize any compensation expense under the provisions of ASC 718, </w:t>
      </w:r>
      <w:r>
        <w:rPr>
          <w:rFonts w:ascii="Arial" w:cs="Arial" w:eastAsia="Arial" w:hAnsi="Arial"/>
          <w:sz w:val="16"/>
          <w:szCs w:val="16"/>
          <w:i w:val="1"/>
          <w:iCs w:val="1"/>
          <w:color w:val="auto"/>
        </w:rPr>
        <w:t>Stock Compensation</w:t>
      </w:r>
      <w:r>
        <w:rPr>
          <w:rFonts w:ascii="Arial" w:cs="Arial" w:eastAsia="Arial" w:hAnsi="Arial"/>
          <w:sz w:val="16"/>
          <w:szCs w:val="16"/>
          <w:color w:val="auto"/>
        </w:rPr>
        <w:t>, for the 2018 Plan during the three quarters ended September 30, 2018.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22222"/>
        </w:rPr>
        <w:t>Earn-Out Consideration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12, </w:t>
      </w:r>
      <w:r>
        <w:rPr>
          <w:rFonts w:ascii="Arial" w:cs="Arial" w:eastAsia="Arial" w:hAnsi="Arial"/>
          <w:sz w:val="17"/>
          <w:szCs w:val="17"/>
          <w:i w:val="1"/>
          <w:iCs w:val="1"/>
          <w:color w:val="auto"/>
        </w:rPr>
        <w:t>Equity</w:t>
      </w:r>
      <w:r>
        <w:rPr>
          <w:rFonts w:ascii="Arial" w:cs="Arial" w:eastAsia="Arial" w:hAnsi="Arial"/>
          <w:sz w:val="17"/>
          <w:szCs w:val="17"/>
          <w:color w:val="auto"/>
        </w:rPr>
        <w:t>.</w:t>
      </w:r>
    </w:p>
    <w:p>
      <w:pPr>
        <w:spacing w:after="0" w:line="217" w:lineRule="exact"/>
        <w:rPr>
          <w:sz w:val="20"/>
          <w:szCs w:val="20"/>
          <w:color w:val="auto"/>
        </w:rPr>
      </w:pPr>
    </w:p>
    <w:p>
      <w:pPr>
        <w:ind w:left="520" w:hanging="515"/>
        <w:spacing w:after="0"/>
        <w:tabs>
          <w:tab w:leader="none" w:pos="52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is a description of the valuation methodology used for the warrants and contingent consideration which are recorded and remeasured at fair value at the end of each reporting period.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Goldman Sachs Warrant</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The GS warrant was classified as level 3 in the fair value hierarchy. Historically, the fair value of the GS warrant was estimated based on the fair value of Priority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Priority adjusted the carrying value of the warrant to fair value as determined by the valuation model and recognized the change in fair value as an increase or decrease in interest and other expense. On July 25, 2018, the GS warrant was redeemed in exchange for $12.7 million cash, which resulted in a gain of $0.1 million, as the value of the GS warrant immediately prior to the cancellation was $12.8 million. See Note 7, </w:t>
      </w:r>
      <w:r>
        <w:rPr>
          <w:rFonts w:ascii="Arial" w:cs="Arial" w:eastAsia="Arial" w:hAnsi="Arial"/>
          <w:sz w:val="16"/>
          <w:szCs w:val="16"/>
          <w:i w:val="1"/>
          <w:iCs w:val="1"/>
          <w:color w:val="auto"/>
        </w:rPr>
        <w:t>Long-Term Debt and Warrant Liability.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warrants were no longer outstanding as of September 30, 2018 and had a fair value of $8.7 million as of December 31, 2017.</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three quarters ended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Warrant Liability</w:t>
            </w:r>
          </w:p>
        </w:tc>
      </w:tr>
      <w:tr>
        <w:trPr>
          <w:trHeight w:val="203"/>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28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6960" w:type="dxa"/>
            <w:vAlign w:val="bottom"/>
          </w:tcPr>
          <w:p>
            <w:pPr>
              <w:ind w:left="320"/>
              <w:spacing w:after="0"/>
              <w:rPr>
                <w:sz w:val="20"/>
                <w:szCs w:val="20"/>
                <w:color w:val="auto"/>
              </w:rPr>
            </w:pPr>
            <w:r>
              <w:rPr>
                <w:rFonts w:ascii="Arial" w:cs="Arial" w:eastAsia="Arial" w:hAnsi="Arial"/>
                <w:sz w:val="17"/>
                <w:szCs w:val="17"/>
                <w:color w:val="auto"/>
              </w:rPr>
              <w:t>Extinguishment of GS 1.8% warrant liability (Note 7)</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(8,701)</w:t>
            </w:r>
          </w:p>
        </w:tc>
      </w:tr>
      <w:tr>
        <w:trPr>
          <w:trHeight w:val="209"/>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GS 2.2% warrant liability (Note 7)</w:t>
            </w: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12,182</w:t>
            </w:r>
          </w:p>
        </w:tc>
      </w:tr>
      <w:tr>
        <w:trPr>
          <w:trHeight w:val="209"/>
        </w:trPr>
        <w:tc>
          <w:tcPr>
            <w:tcW w:w="6960" w:type="dxa"/>
            <w:vAlign w:val="bottom"/>
          </w:tcPr>
          <w:p>
            <w:pPr>
              <w:ind w:left="320"/>
              <w:spacing w:after="0"/>
              <w:rPr>
                <w:sz w:val="20"/>
                <w:szCs w:val="20"/>
                <w:color w:val="auto"/>
              </w:rPr>
            </w:pPr>
            <w:r>
              <w:rPr>
                <w:rFonts w:ascii="Arial" w:cs="Arial" w:eastAsia="Arial" w:hAnsi="Arial"/>
                <w:sz w:val="17"/>
                <w:szCs w:val="17"/>
                <w:color w:val="auto"/>
              </w:rPr>
              <w:t>Adjustment to fair value included in earnings</w:t>
            </w:r>
          </w:p>
        </w:tc>
        <w:tc>
          <w:tcPr>
            <w:tcW w:w="2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591</w:t>
            </w:r>
          </w:p>
        </w:tc>
      </w:tr>
      <w:tr>
        <w:trPr>
          <w:trHeight w:val="209"/>
        </w:trPr>
        <w:tc>
          <w:tcPr>
            <w:tcW w:w="6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Extinguishment of GS 2.2% warrant liability (Note 7)</w:t>
            </w:r>
          </w:p>
        </w:tc>
        <w:tc>
          <w:tcPr>
            <w:tcW w:w="2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(12,701)</w:t>
            </w:r>
          </w:p>
        </w:tc>
      </w:tr>
      <w:tr>
        <w:trPr>
          <w:trHeight w:val="222"/>
        </w:trPr>
        <w:tc>
          <w:tcPr>
            <w:tcW w:w="6960" w:type="dxa"/>
            <w:vAlign w:val="bottom"/>
          </w:tcPr>
          <w:p>
            <w:pPr>
              <w:ind w:left="320"/>
              <w:spacing w:after="0"/>
              <w:rPr>
                <w:sz w:val="20"/>
                <w:szCs w:val="20"/>
                <w:color w:val="auto"/>
              </w:rPr>
            </w:pPr>
            <w:r>
              <w:rPr>
                <w:rFonts w:ascii="Arial" w:cs="Arial" w:eastAsia="Arial" w:hAnsi="Arial"/>
                <w:sz w:val="17"/>
                <w:szCs w:val="17"/>
                <w:color w:val="auto"/>
              </w:rPr>
              <w:t>Change in fair value of warrant liability</w:t>
            </w:r>
          </w:p>
        </w:tc>
        <w:tc>
          <w:tcPr>
            <w:tcW w:w="2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r>
      <w:tr>
        <w:trPr>
          <w:trHeight w:val="216"/>
        </w:trPr>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September 30, 2018</w:t>
            </w:r>
          </w:p>
        </w:tc>
        <w:tc>
          <w:tcPr>
            <w:tcW w:w="28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0"/>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among the fair value levels during the three quarters ended September 30,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estimated fair values of contingent consideration related to the Priority Payment Systems Tech Partners and Priority Payment Systems Northeast business acquisitions (see Note 2, </w:t>
      </w:r>
      <w:r>
        <w:rPr>
          <w:rFonts w:ascii="Arial" w:cs="Arial" w:eastAsia="Arial" w:hAnsi="Arial"/>
          <w:sz w:val="16"/>
          <w:szCs w:val="16"/>
          <w:i w:val="1"/>
          <w:iCs w:val="1"/>
          <w:color w:val="auto"/>
        </w:rPr>
        <w:t>Acquisitions of Businesses</w:t>
      </w:r>
      <w:r>
        <w:rPr>
          <w:rFonts w:ascii="Arial" w:cs="Arial" w:eastAsia="Arial" w:hAnsi="Arial"/>
          <w:sz w:val="16"/>
          <w:szCs w:val="16"/>
          <w:color w:val="auto"/>
        </w:rPr>
        <w:t>) were based on a weighted payout probability at the measurement date, which falls within Level 3 on the fair value hierarchy. Both of these acquisitions occurred during the first three quarters of 2018, and at September 30, 2018, the total fair value of the contingent consideration for both acquisitions was approximately $1.0 million, which was not materially different than the fair values on their original measurement dates.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Debt</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Company’s outstanding debt obligations (see Note 7, </w:t>
      </w:r>
      <w:r>
        <w:rPr>
          <w:rFonts w:ascii="Arial" w:cs="Arial" w:eastAsia="Arial" w:hAnsi="Arial"/>
          <w:sz w:val="17"/>
          <w:szCs w:val="17"/>
          <w:i w:val="1"/>
          <w:iCs w:val="1"/>
          <w:color w:val="auto"/>
        </w:rPr>
        <w:t>Long-term Debt and Warrant Liability</w:t>
      </w:r>
      <w:r>
        <w:rPr>
          <w:rFonts w:ascii="Arial" w:cs="Arial" w:eastAsia="Arial" w:hAnsi="Arial"/>
          <w:sz w:val="17"/>
          <w:szCs w:val="17"/>
          <w:color w:val="auto"/>
        </w:rPr>
        <w:t>) are reflected in the consolidated balance sheet at carrying value since the Company did not elect to remeasure its debt obligations to fair value at the end of each reporting period. These debt obligations are not remeasured at fair value each reporting period. The carrying values of the Company’s long-term debt approximate fair value due to the mechanisms in the credit agreements that adjust the applicable interest rates.</w:t>
      </w:r>
    </w:p>
    <w:p>
      <w:pPr>
        <w:spacing w:after="0" w:line="171" w:lineRule="exact"/>
        <w:rPr>
          <w:sz w:val="20"/>
          <w:szCs w:val="20"/>
          <w:color w:val="auto"/>
        </w:rPr>
      </w:pPr>
    </w:p>
    <w:p>
      <w:pPr>
        <w:ind w:left="520" w:hanging="515"/>
        <w:spacing w:after="0"/>
        <w:tabs>
          <w:tab w:leader="none" w:pos="52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To manage the business, the Company’s Executive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See Note 16, </w:t>
      </w:r>
      <w:r>
        <w:rPr>
          <w:rFonts w:ascii="Arial" w:cs="Arial" w:eastAsia="Arial" w:hAnsi="Arial"/>
          <w:sz w:val="16"/>
          <w:szCs w:val="16"/>
          <w:i w:val="1"/>
          <w:iCs w:val="1"/>
          <w:color w:val="auto"/>
        </w:rPr>
        <w:t>Segment Information</w:t>
      </w:r>
      <w:r>
        <w:rPr>
          <w:rFonts w:ascii="Arial" w:cs="Arial" w:eastAsia="Arial" w:hAnsi="Arial"/>
          <w:sz w:val="16"/>
          <w:szCs w:val="16"/>
          <w:color w:val="auto"/>
        </w:rPr>
        <w:t>, to these audited consolidated financial statements as of and for the year ended December 31, 2017.</w:t>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0" w:name="page151"/>
    <w:bookmarkEnd w:id="15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Information on segments and reconciliations to consolidated revenues, consolidated operating income and consolidated depreciation and amortization are as follows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ind w:left="2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373"/>
              <w:spacing w:after="0"/>
              <w:rPr>
                <w:sz w:val="20"/>
                <w:szCs w:val="20"/>
                <w:color w:val="auto"/>
              </w:rPr>
            </w:pPr>
            <w:r>
              <w:rPr>
                <w:rFonts w:ascii="Arial" w:cs="Arial" w:eastAsia="Arial" w:hAnsi="Arial"/>
                <w:sz w:val="17"/>
                <w:szCs w:val="17"/>
                <w:b w:val="1"/>
                <w:bCs w:val="1"/>
                <w:color w:val="auto"/>
                <w:w w:val="89"/>
              </w:rPr>
              <w:t>2017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1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302,514</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287,129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18,520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300"/>
              <w:spacing w:after="0"/>
              <w:rPr>
                <w:sz w:val="20"/>
                <w:szCs w:val="20"/>
                <w:color w:val="auto"/>
              </w:rPr>
            </w:pPr>
            <w:r>
              <w:rPr>
                <w:rFonts w:ascii="Arial" w:cs="Arial" w:eastAsia="Arial" w:hAnsi="Arial"/>
                <w:sz w:val="17"/>
                <w:szCs w:val="17"/>
                <w:color w:val="auto"/>
              </w:rPr>
              <w:t>Consolidated Revenues</w:t>
            </w: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4820" w:type="dxa"/>
            <w:vAlign w:val="bottom"/>
            <w:vMerge w:val="continue"/>
          </w:tcPr>
          <w:p>
            <w:pPr>
              <w:spacing w:after="0"/>
              <w:rPr>
                <w:sz w:val="22"/>
                <w:szCs w:val="22"/>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323,949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305,649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82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b w:val="1"/>
                <w:bCs w:val="1"/>
                <w:color w:val="auto"/>
              </w:rPr>
              <w:t>Operating income (loss):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15,070</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22,457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4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shd w:val="clear" w:color="auto" w:fill="CCEEFF"/>
          </w:tcPr>
          <w:p>
            <w:pPr>
              <w:ind w:left="300"/>
              <w:spacing w:after="0"/>
              <w:rPr>
                <w:sz w:val="20"/>
                <w:szCs w:val="20"/>
                <w:color w:val="auto"/>
              </w:rPr>
            </w:pPr>
            <w:r>
              <w:rPr>
                <w:rFonts w:ascii="Arial" w:cs="Arial" w:eastAsia="Arial" w:hAnsi="Arial"/>
                <w:sz w:val="17"/>
                <w:szCs w:val="17"/>
                <w:color w:val="auto"/>
              </w:rPr>
              <w:t>Consolidated operating income</w:t>
            </w:r>
          </w:p>
        </w:tc>
        <w:tc>
          <w:tcPr>
            <w:tcW w:w="14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vMerge w:val="continue"/>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14,643</w:t>
            </w: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24,300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4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Depreciation and amortization:</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tcPr>
          <w:p>
            <w:pPr>
              <w:ind w:left="140"/>
              <w:spacing w:after="0"/>
              <w:rPr>
                <w:sz w:val="20"/>
                <w:szCs w:val="20"/>
                <w:color w:val="auto"/>
              </w:rPr>
            </w:pPr>
            <w:r>
              <w:rPr>
                <w:rFonts w:ascii="Arial" w:cs="Arial" w:eastAsia="Arial" w:hAnsi="Arial"/>
                <w:sz w:val="17"/>
                <w:szCs w:val="17"/>
                <w:color w:val="auto"/>
              </w:rPr>
              <w:t>Consumer Payments</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12,268</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940" w:type="dxa"/>
            <w:vAlign w:val="bottom"/>
            <w:gridSpan w:val="3"/>
          </w:tcPr>
          <w:p>
            <w:pPr>
              <w:jc w:val="right"/>
              <w:ind w:right="100"/>
              <w:spacing w:after="0"/>
              <w:rPr>
                <w:sz w:val="20"/>
                <w:szCs w:val="20"/>
                <w:color w:val="auto"/>
              </w:rPr>
            </w:pPr>
            <w:r>
              <w:rPr>
                <w:rFonts w:ascii="Arial" w:cs="Arial" w:eastAsia="Arial" w:hAnsi="Arial"/>
                <w:sz w:val="17"/>
                <w:szCs w:val="17"/>
                <w:color w:val="auto"/>
              </w:rPr>
              <w:t>10,983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 Payments and Managed Services</w:t>
            </w:r>
          </w:p>
        </w:tc>
        <w:tc>
          <w:tcPr>
            <w:tcW w:w="14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tcPr>
          <w:p>
            <w:pPr>
              <w:ind w:left="300"/>
              <w:spacing w:after="0"/>
              <w:rPr>
                <w:sz w:val="20"/>
                <w:szCs w:val="20"/>
                <w:color w:val="auto"/>
              </w:rPr>
            </w:pPr>
            <w:r>
              <w:rPr>
                <w:rFonts w:ascii="Arial" w:cs="Arial" w:eastAsia="Arial" w:hAnsi="Arial"/>
                <w:sz w:val="17"/>
                <w:szCs w:val="17"/>
                <w:color w:val="auto"/>
              </w:rPr>
              <w:t>Consolidated depreciation and amortization</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12,679</w:t>
            </w:r>
          </w:p>
        </w:tc>
        <w:tc>
          <w:tcPr>
            <w:tcW w:w="460" w:type="dxa"/>
            <w:vAlign w:val="bottom"/>
          </w:tcPr>
          <w:p>
            <w:pPr>
              <w:jc w:val="right"/>
              <w:ind w:right="273"/>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11,254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Substantially all of the Company’s corporate overhead expense are allocated to the Consumer Payments segment.</w:t>
      </w:r>
    </w:p>
    <w:p>
      <w:pPr>
        <w:spacing w:after="0" w:line="223" w:lineRule="exact"/>
        <w:rPr>
          <w:sz w:val="20"/>
          <w:szCs w:val="20"/>
          <w:color w:val="auto"/>
        </w:rPr>
      </w:pPr>
    </w:p>
    <w:p>
      <w:pPr>
        <w:ind w:right="40"/>
        <w:spacing w:after="0" w:line="288" w:lineRule="auto"/>
        <w:rPr>
          <w:sz w:val="20"/>
          <w:szCs w:val="20"/>
          <w:color w:val="auto"/>
        </w:rPr>
      </w:pPr>
      <w:r>
        <w:rPr>
          <w:rFonts w:ascii="Arial" w:cs="Arial" w:eastAsia="Arial" w:hAnsi="Arial"/>
          <w:sz w:val="17"/>
          <w:szCs w:val="17"/>
          <w:color w:val="auto"/>
        </w:rPr>
        <w:t>The Company’s results of operations and financial condition are not significantly reliant upon any single customer for the three quarters ended September 30, 2018 and 2017. Substantially all revenues are generated in the United States.</w:t>
      </w:r>
    </w:p>
    <w:p>
      <w:pPr>
        <w:spacing w:after="0" w:line="153" w:lineRule="exact"/>
        <w:rPr>
          <w:sz w:val="20"/>
          <w:szCs w:val="20"/>
          <w:color w:val="auto"/>
        </w:rPr>
      </w:pPr>
    </w:p>
    <w:p>
      <w:pPr>
        <w:ind w:left="580" w:hanging="575"/>
        <w:spacing w:after="0"/>
        <w:tabs>
          <w:tab w:leader="none" w:pos="58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EARNINGS (LOSS)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Basic earnings (loss) per share (“EPS”) is computed by dividing net income (loss) available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or if-converted method. The two-class method allocates earnings and losses between common shares and participating securities. Diluted EPS excludes potential shares of common stock if their effect is anti-dilutive.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a result of the Recapitalization, the Company has retrospectively adjusted the weighted average Class A units outstanding prior to July 25, 2018 by multiplying them by the exchange ratio used to determine the number of Class A common shares into which they converted.</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1" w:name="page152"/>
    <w:bookmarkEnd w:id="15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10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the computation of the Company’s basic and diluted earnings (loss) per share:</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Net (loss) income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(11,367)</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Less: Distributions to participating securities</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(loss) income available to common stockholders</w:t>
            </w:r>
          </w:p>
        </w:tc>
        <w:tc>
          <w:tcPr>
            <w:tcW w:w="13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(11,412</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Denominator:</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(loss) earnings per share</w:t>
            </w:r>
          </w:p>
        </w:tc>
        <w:tc>
          <w:tcPr>
            <w:tcW w:w="1600" w:type="dxa"/>
            <w:vAlign w:val="bottom"/>
            <w:gridSpan w:val="2"/>
            <w:shd w:val="clear" w:color="auto" w:fill="CCEEFF"/>
          </w:tcPr>
          <w:p>
            <w:pPr>
              <w:jc w:val="right"/>
              <w:ind w:right="12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(0.19)</w:t>
            </w: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7"/>
                <w:szCs w:val="17"/>
                <w:b w:val="1"/>
                <w:bCs w:val="1"/>
                <w:color w:val="auto"/>
              </w:rPr>
              <w:t>Three quarters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September 30,</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3"/>
              <w:spacing w:after="0"/>
              <w:rPr>
                <w:sz w:val="20"/>
                <w:szCs w:val="20"/>
                <w:color w:val="auto"/>
              </w:rPr>
            </w:pPr>
            <w:r>
              <w:rPr>
                <w:rFonts w:ascii="Arial" w:cs="Arial" w:eastAsia="Arial" w:hAnsi="Arial"/>
                <w:sz w:val="17"/>
                <w:szCs w:val="17"/>
                <w:b w:val="1"/>
                <w:bCs w:val="1"/>
                <w:color w:val="auto"/>
                <w:w w:val="89"/>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Numerator:</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Net (loss) income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(11,367)</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Less: Gain on warrant liability</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Less: Distributions to participating securities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 available to common stockholders</w:t>
            </w:r>
          </w:p>
        </w:tc>
        <w:tc>
          <w:tcPr>
            <w:tcW w:w="1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(11,412</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7"/>
                <w:szCs w:val="17"/>
                <w:color w:val="auto"/>
              </w:rPr>
              <w:t>Weighted average shares outstanding</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Dilutive common share equivalents</w:t>
            </w: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Weighted average diluted shares outstanding</w:t>
            </w:r>
          </w:p>
        </w:tc>
        <w:tc>
          <w:tcPr>
            <w:tcW w:w="13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60,339</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67,430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7"/>
                <w:szCs w:val="17"/>
                <w:b w:val="1"/>
                <w:bCs w:val="1"/>
                <w:color w:val="auto"/>
              </w:rPr>
              <w:t>Diluted (loss) earnings per share</w:t>
            </w:r>
          </w:p>
        </w:tc>
        <w:tc>
          <w:tcPr>
            <w:tcW w:w="1600" w:type="dxa"/>
            <w:vAlign w:val="bottom"/>
            <w:gridSpan w:val="2"/>
          </w:tcPr>
          <w:p>
            <w:pPr>
              <w:jc w:val="right"/>
              <w:ind w:right="124"/>
              <w:spacing w:after="0"/>
              <w:rPr>
                <w:sz w:val="20"/>
                <w:szCs w:val="20"/>
                <w:color w:val="auto"/>
              </w:rPr>
            </w:pPr>
            <w:r>
              <w:rPr>
                <w:rFonts w:ascii="Arial" w:cs="Arial" w:eastAsia="Arial" w:hAnsi="Arial"/>
                <w:sz w:val="17"/>
                <w:szCs w:val="17"/>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b w:val="1"/>
                <w:bCs w:val="1"/>
                <w:color w:val="auto"/>
              </w:rPr>
              <w:t>(0.19)</w:t>
            </w:r>
          </w:p>
        </w:tc>
        <w:tc>
          <w:tcPr>
            <w:tcW w:w="520" w:type="dxa"/>
            <w:vAlign w:val="bottom"/>
            <w:gridSpan w:val="2"/>
          </w:tcPr>
          <w:p>
            <w:pPr>
              <w:jc w:val="right"/>
              <w:ind w:right="28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Anti-dilutive securities that were excluded from EPS that could potentially be dilutive in future periods were as follows:</w:t>
      </w:r>
    </w:p>
    <w:p>
      <w:pPr>
        <w:spacing w:after="0" w:line="217" w:lineRule="exact"/>
        <w:rPr>
          <w:sz w:val="20"/>
          <w:szCs w:val="20"/>
          <w:color w:val="auto"/>
        </w:rPr>
      </w:pPr>
    </w:p>
    <w:p>
      <w:pPr>
        <w:ind w:left="7980"/>
        <w:spacing w:after="0"/>
        <w:rPr>
          <w:sz w:val="20"/>
          <w:szCs w:val="20"/>
          <w:color w:val="auto"/>
        </w:rPr>
      </w:pPr>
      <w:r>
        <w:rPr>
          <w:rFonts w:ascii="Arial" w:cs="Arial" w:eastAsia="Arial" w:hAnsi="Arial"/>
          <w:sz w:val="17"/>
          <w:szCs w:val="17"/>
          <w:b w:val="1"/>
          <w:bCs w:val="1"/>
          <w:color w:val="auto"/>
        </w:rPr>
        <w:t>Three quarters ended</w:t>
      </w:r>
    </w:p>
    <w:p>
      <w:pPr>
        <w:spacing w:after="0" w:line="32" w:lineRule="exact"/>
        <w:rPr>
          <w:sz w:val="20"/>
          <w:szCs w:val="20"/>
          <w:color w:val="auto"/>
        </w:rPr>
      </w:pPr>
    </w:p>
    <w:p>
      <w:pPr>
        <w:ind w:left="8280"/>
        <w:spacing w:after="0"/>
        <w:rPr>
          <w:sz w:val="20"/>
          <w:szCs w:val="20"/>
          <w:color w:val="auto"/>
        </w:rPr>
      </w:pPr>
      <w:r>
        <w:rPr>
          <w:rFonts w:ascii="Arial" w:cs="Arial" w:eastAsia="Arial" w:hAnsi="Arial"/>
          <w:sz w:val="17"/>
          <w:szCs w:val="17"/>
          <w:b w:val="1"/>
          <w:bCs w:val="1"/>
          <w:color w:val="auto"/>
        </w:rPr>
        <w:t>September 30,</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2018</w:t>
            </w:r>
          </w:p>
        </w:tc>
        <w:tc>
          <w:tcPr>
            <w:tcW w:w="22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00" w:type="dxa"/>
            <w:vAlign w:val="bottom"/>
            <w:tcBorders>
              <w:bottom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Warrants on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5,731,216</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has various contingent share arrangements that were excluded from EPS as they were anti-dilutive for the periods presented.</w:t>
      </w:r>
    </w:p>
    <w:p>
      <w:pPr>
        <w:spacing w:after="0" w:line="229"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Subsequent events have been evaluated from the balance sheet date thorough November 14, 2018, the date on which the unaudited condensed consolidated financial statements were available to be issued.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During October 2018, the Company drew $8.0 million on its revolving credit facility to partially fund a $17.2 million purchase of a merchant portfolio.</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820"/>
          </w:cols>
          <w:pgMar w:left="240" w:top="775" w:right="839" w:bottom="1440" w:gutter="0" w:footer="0" w:header="0"/>
        </w:sectPr>
      </w:pPr>
    </w:p>
    <w:bookmarkStart w:id="152" w:name="page153"/>
    <w:bookmarkEnd w:id="152"/>
    <w:p>
      <w:pPr>
        <w:ind w:left="35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 the Shareholders and Board of Directors of Priority Technology Holdings, Inc.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3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have audited the accompanying consolidated balance sheets of Priority Technology Holdings, Inc. and Subsidiaries (formerly known as Priority Holdings, LLC and Subsidiaries) (the “Company”) as of December 31, 2017 and 2016, the related consolidated statements of operations, changes in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3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April 18, 2018, except for the effect of the 2018 Business Combination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Recapitalization disclosures in Notes 1, 12, 14 and 17 as to which the date is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November 30, 2018</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984" w:right="2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ind w:left="40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Assets: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130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27,966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32,279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Restricted cash</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16,193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 net of allowance for doubtful accounts of $484 and $727, respectively</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47,433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Due from related parties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Current portion of notes receivable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3,442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Settlement assets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7,207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current assets</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105,988</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88,405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Notes receivable, less current portion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3,807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3,991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11,943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Goodwill</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101,532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101,532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42,062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Investment in unconsolidated entities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Total assets</w:t>
            </w:r>
          </w:p>
        </w:tc>
        <w:tc>
          <w:tcPr>
            <w:tcW w:w="10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266,707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256,050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5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b w:val="1"/>
                <w:bCs w:val="1"/>
                <w:color w:val="auto"/>
              </w:rPr>
              <w:t>LIABILITIES AND EQUITY (DEFICIT)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130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18,603</w:t>
            </w:r>
          </w:p>
        </w:tc>
        <w:tc>
          <w:tcPr>
            <w:tcW w:w="1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11,162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Accrued residual commissions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23,470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Customer deposits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4,853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Due to related parties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portion of notes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7,582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Settlement obligations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10,474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Current portion of common share repurchase obligation</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10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66,482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Notes payable, net of discounts and deferred financing costs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267,939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Warrant liability</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8,701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Common share repurchase obligation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8"/>
              <w:spacing w:after="0"/>
              <w:rPr>
                <w:sz w:val="20"/>
                <w:szCs w:val="20"/>
                <w:color w:val="auto"/>
              </w:rPr>
            </w:pPr>
            <w:r>
              <w:rPr>
                <w:rFonts w:ascii="Arial" w:cs="Arial" w:eastAsia="Arial" w:hAnsi="Arial"/>
                <w:sz w:val="17"/>
                <w:szCs w:val="17"/>
                <w:color w:val="auto"/>
              </w:rPr>
              <w:t>7,690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6,050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long term liabilities</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290,380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101,084</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w:t>
            </w:r>
          </w:p>
        </w:tc>
        <w:tc>
          <w:tcPr>
            <w:tcW w:w="10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356,862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(Notes 10, 12, and 14)</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Equity (deficit)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87,039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deficit</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7"/>
                <w:szCs w:val="17"/>
                <w:b w:val="1"/>
                <w:bCs w:val="1"/>
                <w:color w:val="auto"/>
              </w:rPr>
              <w:t>Total equity (deficit)</w:t>
            </w:r>
          </w:p>
        </w:tc>
        <w:tc>
          <w:tcPr>
            <w:tcW w:w="10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(90,155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116,007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liabilities and equity (deficit)</w:t>
            </w:r>
          </w:p>
        </w:tc>
        <w:tc>
          <w:tcPr>
            <w:tcW w:w="10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266,707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256,050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4" w:name="page155"/>
    <w:bookmarkEnd w:id="15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jc w:val="right"/>
              <w:ind w:right="104"/>
              <w:spacing w:after="0"/>
              <w:rPr>
                <w:sz w:val="20"/>
                <w:szCs w:val="20"/>
                <w:color w:val="auto"/>
              </w:rPr>
            </w:pPr>
            <w:r>
              <w:rPr>
                <w:rFonts w:ascii="Arial" w:cs="Arial" w:eastAsia="Arial" w:hAnsi="Arial"/>
                <w:sz w:val="17"/>
                <w:szCs w:val="17"/>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 except per share data)</w:t>
            </w:r>
          </w:p>
        </w:tc>
        <w:tc>
          <w:tcPr>
            <w:tcW w:w="30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Merchant card fees revenue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398,988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321,091</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268,221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Outsourced services revenue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23,308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20,061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14,815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Other revenue</w:t>
            </w: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3,323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2,962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3,208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Total revenue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425,619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344,114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Costs of merchant card fees</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305,461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243,049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199,067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costs of services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15,743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13,971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Salary and employee benefits</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32,357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32,330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27,258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14,674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14,733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15,633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9,088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7,790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7,294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Other operating expenses</w:t>
            </w: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13,457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9,066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390,370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318,274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271,685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7"/>
                <w:szCs w:val="17"/>
                <w:b w:val="1"/>
                <w:bCs w:val="1"/>
                <w:color w:val="auto"/>
              </w:rPr>
              <w:t>Income from operations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35,249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OTHER INCOME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and other income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637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Interest and other expense</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(31,159)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(5,980)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(5,490)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Equity in loss of unconsolidated entities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Total other expenses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(30,655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(5,654</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4,594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20,186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0.06</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UNAUDITED PRO FORMA (C-corporation basis):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1,530</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
              <w:spacing w:after="0"/>
              <w:rPr>
                <w:sz w:val="20"/>
                <w:szCs w:val="20"/>
                <w:color w:val="auto"/>
              </w:rPr>
            </w:pPr>
            <w:r>
              <w:rPr>
                <w:rFonts w:ascii="Arial" w:cs="Arial" w:eastAsia="Arial" w:hAnsi="Arial"/>
                <w:sz w:val="17"/>
                <w:szCs w:val="17"/>
                <w:color w:val="auto"/>
              </w:rPr>
              <w:t>3,064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color w:val="auto"/>
              </w:rPr>
              <w:t>Earnings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Basic and diluted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
              <w:spacing w:after="0"/>
              <w:rPr>
                <w:sz w:val="20"/>
                <w:szCs w:val="20"/>
                <w:color w:val="auto"/>
              </w:rPr>
            </w:pPr>
            <w:r>
              <w:rPr>
                <w:rFonts w:ascii="Arial" w:cs="Arial" w:eastAsia="Arial" w:hAnsi="Arial"/>
                <w:sz w:val="17"/>
                <w:szCs w:val="17"/>
                <w:color w:val="auto"/>
              </w:rPr>
              <w:t>0.04</w:t>
            </w:r>
          </w:p>
        </w:tc>
        <w:tc>
          <w:tcPr>
            <w:tcW w:w="12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5" w:name="page156"/>
    <w:bookmarkEnd w:id="15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Changes in Equity (Deficit)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w w:val="95"/>
              </w:rPr>
              <w:t>Total</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99"/>
              </w:rPr>
              <w:t>Additional</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7"/>
                <w:szCs w:val="17"/>
                <w:color w:val="auto"/>
                <w:w w:val="96"/>
              </w:rPr>
              <w:t>Members’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center"/>
              <w:ind w:right="53"/>
              <w:spacing w:after="0"/>
              <w:rPr>
                <w:sz w:val="20"/>
                <w:szCs w:val="20"/>
                <w:color w:val="auto"/>
              </w:rPr>
            </w:pPr>
            <w:r>
              <w:rPr>
                <w:rFonts w:ascii="Arial" w:cs="Arial" w:eastAsia="Arial" w:hAnsi="Arial"/>
                <w:sz w:val="17"/>
                <w:szCs w:val="17"/>
                <w:color w:val="auto"/>
                <w:w w:val="96"/>
              </w:rPr>
              <w:t>Paid-In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7"/>
                <w:szCs w:val="17"/>
                <w:color w:val="auto"/>
              </w:rPr>
              <w:t>Preferred Units</w:t>
            </w:r>
          </w:p>
        </w:tc>
        <w:tc>
          <w:tcPr>
            <w:tcW w:w="16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7"/>
                <w:szCs w:val="17"/>
                <w:color w:val="auto"/>
              </w:rPr>
              <w:t>Common Units</w:t>
            </w:r>
          </w:p>
        </w:tc>
        <w:tc>
          <w:tcPr>
            <w:tcW w:w="200" w:type="dxa"/>
            <w:vAlign w:val="bottom"/>
          </w:tcPr>
          <w:p>
            <w:pPr>
              <w:spacing w:after="0"/>
              <w:rPr>
                <w:sz w:val="19"/>
                <w:szCs w:val="19"/>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rPr>
              <w:t>Equity</w:t>
            </w:r>
          </w:p>
        </w:tc>
        <w:tc>
          <w:tcPr>
            <w:tcW w:w="172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9"/>
                <w:szCs w:val="19"/>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color w:val="auto"/>
              </w:rPr>
              <w:t>Preferred Stock</w:t>
            </w:r>
          </w:p>
        </w:tc>
        <w:tc>
          <w:tcPr>
            <w:tcW w:w="160" w:type="dxa"/>
            <w:vAlign w:val="bottom"/>
          </w:tcPr>
          <w:p>
            <w:pPr>
              <w:spacing w:after="0"/>
              <w:rPr>
                <w:sz w:val="19"/>
                <w:szCs w:val="19"/>
                <w:color w:val="auto"/>
              </w:rPr>
            </w:pPr>
          </w:p>
        </w:tc>
        <w:tc>
          <w:tcPr>
            <w:tcW w:w="660" w:type="dxa"/>
            <w:vAlign w:val="bottom"/>
          </w:tcPr>
          <w:p>
            <w:pPr>
              <w:jc w:val="center"/>
              <w:ind w:right="33"/>
              <w:spacing w:after="0"/>
              <w:rPr>
                <w:sz w:val="20"/>
                <w:szCs w:val="20"/>
                <w:color w:val="auto"/>
              </w:rPr>
            </w:pPr>
            <w:r>
              <w:rPr>
                <w:rFonts w:ascii="Arial" w:cs="Arial" w:eastAsia="Arial" w:hAnsi="Arial"/>
                <w:sz w:val="17"/>
                <w:szCs w:val="17"/>
                <w:color w:val="auto"/>
                <w:w w:val="94"/>
              </w:rPr>
              <w:t>Capital</w:t>
            </w:r>
          </w:p>
        </w:tc>
        <w:tc>
          <w:tcPr>
            <w:tcW w:w="1000" w:type="dxa"/>
            <w:vAlign w:val="bottom"/>
            <w:gridSpan w:val="2"/>
          </w:tcPr>
          <w:p>
            <w:pPr>
              <w:ind w:left="40"/>
              <w:spacing w:after="0"/>
              <w:rPr>
                <w:sz w:val="20"/>
                <w:szCs w:val="20"/>
                <w:color w:val="auto"/>
              </w:rPr>
            </w:pPr>
            <w:r>
              <w:rPr>
                <w:rFonts w:ascii="Arial" w:cs="Arial" w:eastAsia="Arial" w:hAnsi="Arial"/>
                <w:sz w:val="17"/>
                <w:szCs w:val="17"/>
                <w:color w:val="auto"/>
                <w:w w:val="95"/>
              </w:rPr>
              <w:t>Accumulated</w:t>
            </w:r>
          </w:p>
        </w:tc>
        <w:tc>
          <w:tcPr>
            <w:tcW w:w="10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gridSpan w:val="3"/>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 thousands)</w:t>
            </w:r>
          </w:p>
        </w:tc>
        <w:tc>
          <w:tcPr>
            <w:tcW w:w="720" w:type="dxa"/>
            <w:vAlign w:val="bottom"/>
          </w:tcPr>
          <w:p>
            <w:pPr>
              <w:jc w:val="right"/>
              <w:ind w:right="93"/>
              <w:spacing w:after="0"/>
              <w:rPr>
                <w:sz w:val="20"/>
                <w:szCs w:val="20"/>
                <w:color w:val="auto"/>
              </w:rPr>
            </w:pPr>
            <w:r>
              <w:rPr>
                <w:rFonts w:ascii="Arial" w:cs="Arial" w:eastAsia="Arial" w:hAnsi="Arial"/>
                <w:sz w:val="17"/>
                <w:szCs w:val="17"/>
                <w:color w:val="auto"/>
              </w:rPr>
              <w:t>Units</w:t>
            </w:r>
          </w:p>
        </w:tc>
        <w:tc>
          <w:tcPr>
            <w:tcW w:w="1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w w:val="95"/>
              </w:rPr>
              <w:t>Amount</w:t>
            </w:r>
          </w:p>
        </w:tc>
        <w:tc>
          <w:tcPr>
            <w:tcW w:w="780" w:type="dxa"/>
            <w:vAlign w:val="bottom"/>
          </w:tcPr>
          <w:p>
            <w:pPr>
              <w:jc w:val="right"/>
              <w:ind w:right="133"/>
              <w:spacing w:after="0"/>
              <w:rPr>
                <w:sz w:val="20"/>
                <w:szCs w:val="20"/>
                <w:color w:val="auto"/>
              </w:rPr>
            </w:pPr>
            <w:r>
              <w:rPr>
                <w:rFonts w:ascii="Arial" w:cs="Arial" w:eastAsia="Arial" w:hAnsi="Arial"/>
                <w:sz w:val="17"/>
                <w:szCs w:val="17"/>
                <w:color w:val="auto"/>
              </w:rPr>
              <w:t>Units</w:t>
            </w:r>
          </w:p>
        </w:tc>
        <w:tc>
          <w:tcPr>
            <w:tcW w:w="18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7"/>
                <w:szCs w:val="17"/>
                <w:color w:val="auto"/>
                <w:w w:val="95"/>
              </w:rPr>
              <w:t>Amount</w:t>
            </w:r>
          </w:p>
        </w:tc>
        <w:tc>
          <w:tcPr>
            <w:tcW w:w="200" w:type="dxa"/>
            <w:vAlign w:val="bottom"/>
          </w:tcPr>
          <w:p>
            <w:pPr>
              <w:spacing w:after="0"/>
              <w:rPr>
                <w:sz w:val="18"/>
                <w:szCs w:val="18"/>
                <w:color w:val="auto"/>
              </w:rPr>
            </w:pPr>
          </w:p>
        </w:tc>
        <w:tc>
          <w:tcPr>
            <w:tcW w:w="820" w:type="dxa"/>
            <w:vAlign w:val="bottom"/>
          </w:tcPr>
          <w:p>
            <w:pPr>
              <w:jc w:val="center"/>
              <w:ind w:right="93"/>
              <w:spacing w:after="0"/>
              <w:rPr>
                <w:sz w:val="20"/>
                <w:szCs w:val="20"/>
                <w:color w:val="auto"/>
              </w:rPr>
            </w:pPr>
            <w:r>
              <w:rPr>
                <w:rFonts w:ascii="Arial" w:cs="Arial" w:eastAsia="Arial" w:hAnsi="Arial"/>
                <w:sz w:val="17"/>
                <w:szCs w:val="17"/>
                <w:color w:val="auto"/>
              </w:rPr>
              <w:t>(Deficit)</w:t>
            </w:r>
          </w:p>
        </w:tc>
        <w:tc>
          <w:tcPr>
            <w:tcW w:w="880" w:type="dxa"/>
            <w:vAlign w:val="bottom"/>
          </w:tcPr>
          <w:p>
            <w:pPr>
              <w:jc w:val="right"/>
              <w:ind w:right="133"/>
              <w:spacing w:after="0"/>
              <w:rPr>
                <w:sz w:val="20"/>
                <w:szCs w:val="20"/>
                <w:color w:val="auto"/>
              </w:rPr>
            </w:pPr>
            <w:r>
              <w:rPr>
                <w:rFonts w:ascii="Arial" w:cs="Arial" w:eastAsia="Arial" w:hAnsi="Arial"/>
                <w:sz w:val="17"/>
                <w:szCs w:val="17"/>
                <w:color w:val="auto"/>
              </w:rPr>
              <w:t>Shares</w:t>
            </w: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Amount</w:t>
            </w:r>
          </w:p>
        </w:tc>
        <w:tc>
          <w:tcPr>
            <w:tcW w:w="700" w:type="dxa"/>
            <w:vAlign w:val="bottom"/>
          </w:tcPr>
          <w:p>
            <w:pPr>
              <w:ind w:left="120"/>
              <w:spacing w:after="0"/>
              <w:rPr>
                <w:sz w:val="20"/>
                <w:szCs w:val="20"/>
                <w:color w:val="auto"/>
              </w:rPr>
            </w:pPr>
            <w:r>
              <w:rPr>
                <w:rFonts w:ascii="Arial" w:cs="Arial" w:eastAsia="Arial" w:hAnsi="Arial"/>
                <w:sz w:val="17"/>
                <w:szCs w:val="17"/>
                <w:color w:val="auto"/>
              </w:rPr>
              <w:t>Shares</w:t>
            </w:r>
          </w:p>
        </w:tc>
        <w:tc>
          <w:tcPr>
            <w:tcW w:w="680" w:type="dxa"/>
            <w:vAlign w:val="bottom"/>
            <w:gridSpan w:val="2"/>
          </w:tcPr>
          <w:p>
            <w:pPr>
              <w:ind w:left="80"/>
              <w:spacing w:after="0"/>
              <w:rPr>
                <w:sz w:val="20"/>
                <w:szCs w:val="20"/>
                <w:color w:val="auto"/>
              </w:rPr>
            </w:pPr>
            <w:r>
              <w:rPr>
                <w:rFonts w:ascii="Arial" w:cs="Arial" w:eastAsia="Arial" w:hAnsi="Arial"/>
                <w:sz w:val="17"/>
                <w:szCs w:val="17"/>
                <w:color w:val="auto"/>
                <w:w w:val="98"/>
              </w:rPr>
              <w:t>Amount</w:t>
            </w: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18"/>
                <w:szCs w:val="18"/>
                <w:color w:val="auto"/>
              </w:rPr>
            </w:pPr>
          </w:p>
        </w:tc>
        <w:tc>
          <w:tcPr>
            <w:tcW w:w="820" w:type="dxa"/>
            <w:vAlign w:val="bottom"/>
          </w:tcPr>
          <w:p>
            <w:pPr>
              <w:jc w:val="right"/>
              <w:ind w:right="173"/>
              <w:spacing w:after="0"/>
              <w:rPr>
                <w:sz w:val="20"/>
                <w:szCs w:val="20"/>
                <w:color w:val="auto"/>
              </w:rPr>
            </w:pPr>
            <w:r>
              <w:rPr>
                <w:rFonts w:ascii="Arial" w:cs="Arial" w:eastAsia="Arial" w:hAnsi="Arial"/>
                <w:sz w:val="17"/>
                <w:szCs w:val="17"/>
                <w:color w:val="auto"/>
              </w:rPr>
              <w:t>Deficit</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w w:val="94"/>
              </w:rPr>
              <w:t>(Deficit)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2014,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originally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reported</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2,701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2,325</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11,500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95,616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97,941</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Conversion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units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common stock</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w w:val="98"/>
              </w:rPr>
              <w:t>reclassification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of members’</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(2,701)</w:t>
            </w:r>
          </w:p>
        </w:tc>
        <w:tc>
          <w:tcPr>
            <w:tcW w:w="140" w:type="dxa"/>
            <w:vAlign w:val="bottom"/>
          </w:tcPr>
          <w:p>
            <w:pPr>
              <w:spacing w:after="0"/>
              <w:rPr>
                <w:sz w:val="18"/>
                <w:szCs w:val="18"/>
                <w:color w:val="auto"/>
              </w:rPr>
            </w:pPr>
          </w:p>
        </w:tc>
        <w:tc>
          <w:tcPr>
            <w:tcW w:w="780" w:type="dxa"/>
            <w:vAlign w:val="bottom"/>
            <w:vMerge w:val="restart"/>
          </w:tcPr>
          <w:p>
            <w:pPr>
              <w:jc w:val="right"/>
              <w:ind w:right="53"/>
              <w:spacing w:after="0"/>
              <w:rPr>
                <w:sz w:val="20"/>
                <w:szCs w:val="20"/>
                <w:color w:val="auto"/>
              </w:rPr>
            </w:pPr>
            <w:r>
              <w:rPr>
                <w:rFonts w:ascii="Arial" w:cs="Arial" w:eastAsia="Arial" w:hAnsi="Arial"/>
                <w:sz w:val="17"/>
                <w:szCs w:val="17"/>
                <w:color w:val="auto"/>
              </w:rPr>
              <w:t>(2,325)</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(11,500)</w:t>
            </w: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(95,616)</w:t>
            </w:r>
          </w:p>
        </w:tc>
        <w:tc>
          <w:tcPr>
            <w:tcW w:w="2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(97,941)</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equity (deficit)</w:t>
            </w:r>
          </w:p>
        </w:tc>
        <w:tc>
          <w:tcPr>
            <w:tcW w:w="7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187</w:t>
            </w:r>
          </w:p>
        </w:tc>
        <w:tc>
          <w:tcPr>
            <w:tcW w:w="80" w:type="dxa"/>
            <w:vAlign w:val="bottom"/>
          </w:tcPr>
          <w:p>
            <w:pPr>
              <w:spacing w:after="0"/>
              <w:rPr>
                <w:sz w:val="19"/>
                <w:szCs w:val="19"/>
                <w:color w:val="auto"/>
              </w:rPr>
            </w:pP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98,434</w:t>
            </w: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97,941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6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7"/>
                <w:szCs w:val="17"/>
                <w:color w:val="auto"/>
              </w:rPr>
              <w:t>December 31,</w:t>
            </w: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2014, as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recasted</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98,434</w:t>
            </w:r>
          </w:p>
        </w:tc>
        <w:tc>
          <w:tcPr>
            <w:tcW w:w="1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97,941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0" w:type="dxa"/>
            <w:vAlign w:val="bottom"/>
          </w:tcPr>
          <w:p>
            <w:pPr>
              <w:spacing w:after="0"/>
              <w:rPr>
                <w:sz w:val="1"/>
                <w:szCs w:val="1"/>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9,267</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9,267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2015</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187,036</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94,725</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8,587</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103,526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Cash</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(10,019)</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8,403</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2,314</w:t>
            </w:r>
          </w:p>
        </w:tc>
        <w:tc>
          <w:tcPr>
            <w:tcW w:w="0" w:type="dxa"/>
            <w:vAlign w:val="bottom"/>
          </w:tcPr>
          <w:p>
            <w:pPr>
              <w:spacing w:after="0"/>
              <w:rPr>
                <w:sz w:val="1"/>
                <w:szCs w:val="1"/>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20,186</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20,186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2016</w:t>
            </w:r>
          </w:p>
        </w:tc>
        <w:tc>
          <w:tcPr>
            <w:tcW w:w="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195,439</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87,039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28,773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116,007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Cash</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distributions to</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members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(3,399)</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(3,399)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compensation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4,594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4,594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Member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redemptions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(62,574)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(79,283)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(123,595)</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3"/>
              </w:rPr>
              <w:t>(203,000)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Reclass for</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w w:val="97"/>
              </w:rPr>
              <w:t>common share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repurchase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obligation</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(9,190)</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(9,190)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Release of</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contingent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consideration</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Elimination of</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Class C Units</w:t>
            </w:r>
          </w:p>
        </w:tc>
        <w:tc>
          <w:tcPr>
            <w:tcW w:w="7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78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(19,756)</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ind w:left="4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380" w:type="dxa"/>
            <w:vAlign w:val="bottom"/>
          </w:tcPr>
          <w:p>
            <w:pPr>
              <w:ind w:lef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Elimination of</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Preferred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Units</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(35,574)</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auto"/>
              </w:rPr>
              <w:t>Pro rata</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adjustment</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(4,425)</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and forfeitures</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b w:val="1"/>
                <w:bCs w:val="1"/>
                <w:color w:val="auto"/>
              </w:rPr>
              <w:t>December 31,</w:t>
            </w:r>
          </w:p>
        </w:tc>
        <w:tc>
          <w:tcPr>
            <w:tcW w:w="72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8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73,110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920" w:type="dxa"/>
            <w:vAlign w:val="bottom"/>
            <w:gridSpan w:val="2"/>
            <w:vMerge w:val="restart"/>
            <w:shd w:val="clear" w:color="auto" w:fill="CCEEFF"/>
          </w:tcPr>
          <w:p>
            <w:pPr>
              <w:jc w:val="right"/>
              <w:spacing w:after="0" w:line="385" w:lineRule="exact"/>
              <w:rPr>
                <w:sz w:val="20"/>
                <w:szCs w:val="20"/>
                <w:color w:val="auto"/>
              </w:rPr>
            </w:pPr>
            <w:r>
              <w:rPr>
                <w:rFonts w:ascii="Arial" w:cs="Arial" w:eastAsia="Arial" w:hAnsi="Arial"/>
                <w:sz w:val="17"/>
                <w:szCs w:val="17"/>
                <w:color w:val="auto"/>
              </w:rPr>
              <w:t>(90,228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(90,155)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2017</w:t>
            </w:r>
          </w:p>
        </w:tc>
        <w:tc>
          <w:tcPr>
            <w:tcW w:w="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066" w:gutter="0" w:footer="0" w:header="0"/>
        </w:sectPr>
      </w:pPr>
    </w:p>
    <w:bookmarkStart w:id="156" w:name="page157"/>
    <w:bookmarkEnd w:id="15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72510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8"/>
          </w:tcPr>
          <w:p>
            <w:pPr>
              <w:jc w:val="right"/>
              <w:ind w:right="104"/>
              <w:spacing w:after="0"/>
              <w:rPr>
                <w:sz w:val="20"/>
                <w:szCs w:val="20"/>
                <w:color w:val="auto"/>
              </w:rPr>
            </w:pPr>
            <w:r>
              <w:rPr>
                <w:rFonts w:ascii="Arial" w:cs="Arial" w:eastAsia="Arial" w:hAnsi="Arial"/>
                <w:sz w:val="17"/>
                <w:szCs w:val="17"/>
                <w:b w:val="1"/>
                <w:bCs w:val="1"/>
                <w:color w:val="auto"/>
              </w:rPr>
              <w:t>Year Ended December 31,</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2017</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2015</w:t>
            </w:r>
          </w:p>
        </w:tc>
        <w:tc>
          <w:tcPr>
            <w:tcW w:w="100" w:type="dxa"/>
            <w:vAlign w:val="bottom"/>
            <w:tcBorders>
              <w:bottom w:val="single" w:sz="8" w:color="auto"/>
            </w:tcBorders>
          </w:tcPr>
          <w:p>
            <w:pPr>
              <w:spacing w:after="0"/>
              <w:rPr>
                <w:sz w:val="18"/>
                <w:szCs w:val="18"/>
                <w:color w:val="auto"/>
              </w:rPr>
            </w:pPr>
          </w:p>
        </w:tc>
      </w:tr>
      <w:tr>
        <w:trPr>
          <w:trHeight w:val="202"/>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4,594</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20,186</w:t>
            </w:r>
          </w:p>
        </w:tc>
        <w:tc>
          <w:tcPr>
            <w:tcW w:w="1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9,267</w:t>
            </w: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 to reconcile net income to net cash provided by operating activities: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14,674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14,733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15,633</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Equity-based compensation expense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Amortization of debt issuance costs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324</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discount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Equity in loss of unconsolidated affiliates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70</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warrant liability</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1,435</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(2,665)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(575)</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debt extinguishment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320"/>
              <w:spacing w:after="0"/>
              <w:rPr>
                <w:sz w:val="20"/>
                <w:szCs w:val="20"/>
                <w:color w:val="auto"/>
              </w:rPr>
            </w:pPr>
            <w:r>
              <w:rPr>
                <w:rFonts w:ascii="Arial" w:cs="Arial" w:eastAsia="Arial" w:hAnsi="Arial"/>
                <w:sz w:val="17"/>
                <w:szCs w:val="17"/>
                <w:color w:val="auto"/>
              </w:rPr>
              <w:t>Payment in kind interest</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5,118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non-cash change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694</w:t>
            </w: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Change in operating assets and liabilities: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(13,687)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(5,004)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Settlement assets</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(6,987)</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(3,754)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Notes receivable</w:t>
            </w: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(1,677)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(2,855)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(1,527)</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Related parties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Accounts payable, accrued expenses and accrued residual commissions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12,317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(14,938)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8,878</w:t>
            </w:r>
          </w:p>
        </w:tc>
      </w:tr>
      <w:tr>
        <w:trPr>
          <w:trHeight w:val="209"/>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Settlement obligations</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5,374</w:t>
            </w:r>
          </w:p>
        </w:tc>
      </w:tr>
      <w:tr>
        <w:trPr>
          <w:trHeight w:val="209"/>
        </w:trPr>
        <w:tc>
          <w:tcPr>
            <w:tcW w:w="7100" w:type="dxa"/>
            <w:vAlign w:val="bottom"/>
          </w:tcPr>
          <w:p>
            <w:pPr>
              <w:ind w:left="480"/>
              <w:spacing w:after="0"/>
              <w:rPr>
                <w:sz w:val="20"/>
                <w:szCs w:val="20"/>
                <w:color w:val="auto"/>
              </w:rPr>
            </w:pPr>
            <w:r>
              <w:rPr>
                <w:rFonts w:ascii="Arial" w:cs="Arial" w:eastAsia="Arial" w:hAnsi="Arial"/>
                <w:sz w:val="17"/>
                <w:szCs w:val="17"/>
                <w:color w:val="auto"/>
              </w:rPr>
              <w:t>Customer deposits</w:t>
            </w: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2,084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875</w:t>
            </w:r>
          </w:p>
        </w:tc>
      </w:tr>
      <w:tr>
        <w:trPr>
          <w:trHeight w:val="222"/>
        </w:trPr>
        <w:tc>
          <w:tcPr>
            <w:tcW w:w="7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liabilities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w:t>
            </w:r>
          </w:p>
        </w:tc>
      </w:tr>
      <w:tr>
        <w:trPr>
          <w:trHeight w:val="202"/>
        </w:trPr>
        <w:tc>
          <w:tcPr>
            <w:tcW w:w="7100" w:type="dxa"/>
            <w:vAlign w:val="bottom"/>
            <w:tcBorders>
              <w:bottom w:val="single" w:sz="8" w:color="CCEEFF"/>
            </w:tcBorders>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36,869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22,275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25,308</w:t>
            </w:r>
          </w:p>
        </w:tc>
        <w:tc>
          <w:tcPr>
            <w:tcW w:w="100" w:type="dxa"/>
            <w:vAlign w:val="bottom"/>
            <w:tcBorders>
              <w:bottom w:val="single" w:sz="8" w:color="CCEEFF"/>
            </w:tcBorders>
          </w:tcPr>
          <w:p>
            <w:pPr>
              <w:spacing w:after="0"/>
              <w:rPr>
                <w:sz w:val="17"/>
                <w:szCs w:val="17"/>
                <w:color w:val="auto"/>
              </w:rPr>
            </w:pPr>
          </w:p>
        </w:tc>
      </w:tr>
      <w:tr>
        <w:trPr>
          <w:trHeight w:val="202"/>
        </w:trPr>
        <w:tc>
          <w:tcPr>
            <w:tcW w:w="7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775"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Current year acquisitions, net of cash acquired</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Investment of unconsolidated entity</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Additions to property and equipment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Additions to intangible assets</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5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(26,724)</w:t>
            </w:r>
          </w:p>
        </w:tc>
      </w:tr>
      <w:tr>
        <w:trPr>
          <w:trHeight w:val="209"/>
        </w:trPr>
        <w:tc>
          <w:tcPr>
            <w:tcW w:w="1500" w:type="dxa"/>
            <w:vAlign w:val="bottom"/>
            <w:gridSpan w:val="2"/>
          </w:tcPr>
          <w:p>
            <w:pPr>
              <w:jc w:val="right"/>
              <w:ind w:right="158"/>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(903)</w:t>
            </w:r>
          </w:p>
        </w:tc>
      </w:tr>
      <w:tr>
        <w:trPr>
          <w:trHeight w:val="209"/>
        </w:trPr>
        <w:tc>
          <w:tcPr>
            <w:tcW w:w="1500" w:type="dxa"/>
            <w:vAlign w:val="bottom"/>
            <w:gridSpan w:val="2"/>
          </w:tcPr>
          <w:p>
            <w:pPr>
              <w:jc w:val="right"/>
              <w:ind w:right="98"/>
              <w:spacing w:after="0"/>
              <w:rPr>
                <w:sz w:val="20"/>
                <w:szCs w:val="20"/>
                <w:color w:val="auto"/>
              </w:rPr>
            </w:pPr>
            <w:r>
              <w:rPr>
                <w:rFonts w:ascii="Arial" w:cs="Arial" w:eastAsia="Arial" w:hAnsi="Arial"/>
                <w:sz w:val="17"/>
                <w:szCs w:val="17"/>
                <w:color w:val="auto"/>
              </w:rPr>
              <w:t>(6,554)</w:t>
            </w:r>
          </w:p>
        </w:tc>
        <w:tc>
          <w:tcPr>
            <w:tcW w:w="1480" w:type="dxa"/>
            <w:vAlign w:val="bottom"/>
            <w:gridSpan w:val="2"/>
          </w:tcPr>
          <w:p>
            <w:pPr>
              <w:jc w:val="right"/>
              <w:ind w:right="78"/>
              <w:spacing w:after="0"/>
              <w:rPr>
                <w:sz w:val="20"/>
                <w:szCs w:val="20"/>
                <w:color w:val="auto"/>
              </w:rPr>
            </w:pPr>
            <w:r>
              <w:rPr>
                <w:rFonts w:ascii="Arial" w:cs="Arial" w:eastAsia="Arial" w:hAnsi="Arial"/>
                <w:sz w:val="17"/>
                <w:szCs w:val="17"/>
                <w:color w:val="auto"/>
              </w:rPr>
              <w:t>(4,098)</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(2,882)</w:t>
            </w:r>
          </w:p>
        </w:tc>
      </w:tr>
      <w:tr>
        <w:trPr>
          <w:trHeight w:val="234"/>
        </w:trPr>
        <w:tc>
          <w:tcPr>
            <w:tcW w:w="1500" w:type="dxa"/>
            <w:vAlign w:val="bottom"/>
            <w:gridSpan w:val="2"/>
          </w:tcPr>
          <w:p>
            <w:pPr>
              <w:jc w:val="right"/>
              <w:ind w:right="98"/>
              <w:spacing w:after="0"/>
              <w:rPr>
                <w:sz w:val="20"/>
                <w:szCs w:val="20"/>
                <w:color w:val="auto"/>
              </w:rPr>
            </w:pPr>
            <w:r>
              <w:rPr>
                <w:rFonts w:ascii="Arial" w:cs="Arial" w:eastAsia="Arial" w:hAnsi="Arial"/>
                <w:sz w:val="17"/>
                <w:szCs w:val="17"/>
                <w:color w:val="auto"/>
              </w:rPr>
              <w:t>(2,483)</w:t>
            </w:r>
          </w:p>
        </w:tc>
        <w:tc>
          <w:tcPr>
            <w:tcW w:w="1480" w:type="dxa"/>
            <w:vAlign w:val="bottom"/>
            <w:gridSpan w:val="2"/>
          </w:tcPr>
          <w:p>
            <w:pPr>
              <w:jc w:val="right"/>
              <w:ind w:right="78"/>
              <w:spacing w:after="0"/>
              <w:rPr>
                <w:sz w:val="20"/>
                <w:szCs w:val="20"/>
                <w:color w:val="auto"/>
              </w:rPr>
            </w:pPr>
            <w:r>
              <w:rPr>
                <w:rFonts w:ascii="Arial" w:cs="Arial" w:eastAsia="Arial" w:hAnsi="Arial"/>
                <w:sz w:val="17"/>
                <w:szCs w:val="17"/>
                <w:color w:val="auto"/>
              </w:rPr>
              <w:t>(2,264)</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(1,379)</w:t>
            </w:r>
          </w:p>
        </w:tc>
      </w:tr>
      <w:tr>
        <w:trPr>
          <w:trHeight w:val="216"/>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(9,037</w:t>
            </w:r>
          </w:p>
        </w:tc>
        <w:tc>
          <w:tcPr>
            <w:tcW w:w="240" w:type="dxa"/>
            <w:vAlign w:val="bottom"/>
          </w:tcPr>
          <w:p>
            <w:pPr>
              <w:jc w:val="right"/>
              <w:ind w:right="98"/>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(6,362</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(31,888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-713740</wp:posOffset>
            </wp:positionV>
            <wp:extent cx="7251065" cy="132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-447675</wp:posOffset>
            </wp:positionV>
            <wp:extent cx="7251065" cy="132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drawing>
          <wp:anchor simplePos="0" relativeHeight="251657728" behindDoc="1" locked="0" layoutInCell="0" allowOverlap="1">
            <wp:simplePos x="0" y="0"/>
            <wp:positionH relativeFrom="column">
              <wp:posOffset>-4504690</wp:posOffset>
            </wp:positionH>
            <wp:positionV relativeFrom="paragraph">
              <wp:posOffset>-173990</wp:posOffset>
            </wp:positionV>
            <wp:extent cx="7251065" cy="1581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065" cy="158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775" w:right="2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Proceeds from issuance of long term debt</w:t>
            </w:r>
          </w:p>
        </w:tc>
        <w:tc>
          <w:tcPr>
            <w:tcW w:w="360" w:type="dxa"/>
            <w:vAlign w:val="bottom"/>
          </w:tcPr>
          <w:p>
            <w:pPr>
              <w:spacing w:after="0"/>
              <w:rPr>
                <w:sz w:val="18"/>
                <w:szCs w:val="18"/>
                <w:color w:val="auto"/>
              </w:rPr>
            </w:pP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276,290</w:t>
            </w:r>
          </w:p>
        </w:tc>
        <w:tc>
          <w:tcPr>
            <w:tcW w:w="40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22,696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long term debt</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(90,696)</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Debt issuance costs</w:t>
            </w:r>
          </w:p>
        </w:tc>
        <w:tc>
          <w:tcPr>
            <w:tcW w:w="360" w:type="dxa"/>
            <w:vAlign w:val="bottom"/>
          </w:tcPr>
          <w:p>
            <w:pPr>
              <w:spacing w:after="0"/>
              <w:rPr>
                <w:sz w:val="18"/>
                <w:szCs w:val="18"/>
                <w:color w:val="auto"/>
              </w:rPr>
            </w:pPr>
          </w:p>
        </w:tc>
        <w:tc>
          <w:tcPr>
            <w:tcW w:w="1140" w:type="dxa"/>
            <w:vAlign w:val="bottom"/>
            <w:gridSpan w:val="2"/>
          </w:tcPr>
          <w:p>
            <w:pPr>
              <w:jc w:val="right"/>
              <w:ind w:right="98"/>
              <w:spacing w:after="0"/>
              <w:rPr>
                <w:sz w:val="20"/>
                <w:szCs w:val="20"/>
                <w:color w:val="auto"/>
              </w:rPr>
            </w:pPr>
            <w:r>
              <w:rPr>
                <w:rFonts w:ascii="Arial" w:cs="Arial" w:eastAsia="Arial" w:hAnsi="Arial"/>
                <w:sz w:val="17"/>
                <w:szCs w:val="17"/>
                <w:color w:val="auto"/>
              </w:rPr>
              <w:t>(4,570)</w:t>
            </w:r>
          </w:p>
        </w:tc>
        <w:tc>
          <w:tcPr>
            <w:tcW w:w="400" w:type="dxa"/>
            <w:vAlign w:val="bottom"/>
          </w:tcPr>
          <w:p>
            <w:pPr>
              <w:spacing w:after="0"/>
              <w:rPr>
                <w:sz w:val="18"/>
                <w:szCs w:val="18"/>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7"/>
                <w:szCs w:val="17"/>
                <w:color w:val="auto"/>
              </w:rPr>
              <w:t>(529)</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to members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8"/>
              <w:spacing w:after="0"/>
              <w:rPr>
                <w:sz w:val="20"/>
                <w:szCs w:val="20"/>
                <w:color w:val="auto"/>
              </w:rPr>
            </w:pPr>
            <w:r>
              <w:rPr>
                <w:rFonts w:ascii="Arial" w:cs="Arial" w:eastAsia="Arial" w:hAnsi="Arial"/>
                <w:sz w:val="17"/>
                <w:szCs w:val="17"/>
                <w:color w:val="auto"/>
              </w:rPr>
              <w:t>(3,399)</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(10,019)</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(3,682)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Redemption of membership interests</w:t>
            </w:r>
          </w:p>
        </w:tc>
        <w:tc>
          <w:tcPr>
            <w:tcW w:w="360" w:type="dxa"/>
            <w:vAlign w:val="bottom"/>
          </w:tcPr>
          <w:p>
            <w:pPr>
              <w:spacing w:after="0"/>
              <w:rPr>
                <w:sz w:val="19"/>
                <w:szCs w:val="19"/>
                <w:color w:val="auto"/>
              </w:rPr>
            </w:pPr>
          </w:p>
        </w:tc>
        <w:tc>
          <w:tcPr>
            <w:tcW w:w="1140" w:type="dxa"/>
            <w:vAlign w:val="bottom"/>
            <w:gridSpan w:val="2"/>
          </w:tcPr>
          <w:p>
            <w:pPr>
              <w:jc w:val="right"/>
              <w:ind w:right="98"/>
              <w:spacing w:after="0"/>
              <w:rPr>
                <w:sz w:val="20"/>
                <w:szCs w:val="20"/>
                <w:color w:val="auto"/>
              </w:rPr>
            </w:pPr>
            <w:r>
              <w:rPr>
                <w:rFonts w:ascii="Arial" w:cs="Arial" w:eastAsia="Arial" w:hAnsi="Arial"/>
                <w:sz w:val="17"/>
                <w:szCs w:val="17"/>
                <w:color w:val="auto"/>
              </w:rPr>
              <w:t>(203,000)</w:t>
            </w:r>
          </w:p>
        </w:tc>
        <w:tc>
          <w:tcPr>
            <w:tcW w:w="400" w:type="dxa"/>
            <w:vAlign w:val="bottom"/>
          </w:tcPr>
          <w:p>
            <w:pPr>
              <w:spacing w:after="0"/>
              <w:rPr>
                <w:sz w:val="19"/>
                <w:szCs w:val="19"/>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(25,375</w:t>
            </w:r>
          </w:p>
        </w:tc>
        <w:tc>
          <w:tcPr>
            <w:tcW w:w="240" w:type="dxa"/>
            <w:vAlign w:val="bottom"/>
            <w:tcBorders>
              <w:top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(10,548</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cash and restricted cash:</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Net increase in cash and restricted cash</w:t>
            </w:r>
          </w:p>
        </w:tc>
        <w:tc>
          <w:tcPr>
            <w:tcW w:w="360" w:type="dxa"/>
            <w:vAlign w:val="bottom"/>
          </w:tcPr>
          <w:p>
            <w:pPr>
              <w:spacing w:after="0"/>
              <w:rPr>
                <w:sz w:val="18"/>
                <w:szCs w:val="18"/>
                <w:color w:val="auto"/>
              </w:rPr>
            </w:pP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2,457</w:t>
            </w:r>
          </w:p>
        </w:tc>
        <w:tc>
          <w:tcPr>
            <w:tcW w:w="400" w:type="dxa"/>
            <w:vAlign w:val="bottom"/>
          </w:tcPr>
          <w:p>
            <w:pPr>
              <w:spacing w:after="0"/>
              <w:rPr>
                <w:sz w:val="18"/>
                <w:szCs w:val="18"/>
                <w:color w:val="auto"/>
              </w:rPr>
            </w:pP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5,365</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12,134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restricted cash, at the beginning of year</w:t>
            </w: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41,702</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36,337</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140"/>
              <w:spacing w:after="0"/>
              <w:rPr>
                <w:sz w:val="20"/>
                <w:szCs w:val="20"/>
                <w:color w:val="auto"/>
              </w:rPr>
            </w:pPr>
            <w:r>
              <w:rPr>
                <w:rFonts w:ascii="Arial" w:cs="Arial" w:eastAsia="Arial" w:hAnsi="Arial"/>
                <w:sz w:val="17"/>
                <w:szCs w:val="17"/>
                <w:color w:val="auto"/>
              </w:rPr>
              <w:t>Cash and restricted cash, at the end of year</w:t>
            </w: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080" w:type="dxa"/>
            <w:vAlign w:val="bottom"/>
            <w:vMerge w:val="continue"/>
          </w:tcPr>
          <w:p>
            <w:pPr>
              <w:spacing w:after="0"/>
              <w:rPr>
                <w:sz w:val="22"/>
                <w:szCs w:val="22"/>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58"/>
              <w:spacing w:after="0"/>
              <w:rPr>
                <w:sz w:val="20"/>
                <w:szCs w:val="20"/>
                <w:color w:val="auto"/>
              </w:rPr>
            </w:pPr>
            <w:r>
              <w:rPr>
                <w:rFonts w:ascii="Arial" w:cs="Arial" w:eastAsia="Arial" w:hAnsi="Arial"/>
                <w:sz w:val="17"/>
                <w:szCs w:val="17"/>
                <w:color w:val="auto"/>
              </w:rPr>
              <w:t>44,159</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41,702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paid for interest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19,036</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3,716</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3,458</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40"/>
              <w:spacing w:after="0"/>
              <w:rPr>
                <w:sz w:val="20"/>
                <w:szCs w:val="20"/>
                <w:color w:val="auto"/>
              </w:rPr>
            </w:pPr>
            <w:r>
              <w:rPr>
                <w:rFonts w:ascii="Arial" w:cs="Arial" w:eastAsia="Arial" w:hAnsi="Arial"/>
                <w:sz w:val="17"/>
                <w:szCs w:val="17"/>
                <w:color w:val="auto"/>
              </w:rPr>
              <w:t>Purchase of property and equipment through accounts payable</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60</w:t>
            </w:r>
          </w:p>
        </w:tc>
        <w:tc>
          <w:tcPr>
            <w:tcW w:w="240" w:type="dxa"/>
            <w:vAlign w:val="bottom"/>
          </w:tcPr>
          <w:p>
            <w:pPr>
              <w:spacing w:after="0"/>
              <w:rPr>
                <w:sz w:val="18"/>
                <w:szCs w:val="18"/>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38"/>
              <w:spacing w:after="0"/>
              <w:rPr>
                <w:sz w:val="20"/>
                <w:szCs w:val="20"/>
                <w:color w:val="auto"/>
              </w:rPr>
            </w:pPr>
            <w:r>
              <w:rPr>
                <w:rFonts w:ascii="Arial" w:cs="Arial" w:eastAsia="Arial" w:hAnsi="Arial"/>
                <w:sz w:val="17"/>
                <w:szCs w:val="17"/>
                <w:color w:val="auto"/>
              </w:rPr>
              <w:t>392</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share repurchase obligation</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58"/>
              <w:spacing w:after="0"/>
              <w:rPr>
                <w:sz w:val="20"/>
                <w:szCs w:val="20"/>
                <w:color w:val="auto"/>
              </w:rPr>
            </w:pPr>
            <w:r>
              <w:rPr>
                <w:rFonts w:ascii="Arial" w:cs="Arial" w:eastAsia="Arial" w:hAnsi="Arial"/>
                <w:sz w:val="17"/>
                <w:szCs w:val="17"/>
                <w:color w:val="auto"/>
              </w:rPr>
              <w:t>9,190</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ind w:right="7280" w:firstLine="5"/>
        <w:spacing w:after="0" w:line="517" w:lineRule="auto"/>
        <w:tabs>
          <w:tab w:leader="none" w:pos="171"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THE COMPANY AND BASIS OF PRESENTATION Nature of Business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Headquartered near Atlanta in Alpharetta, Georgia, Priority Technology Holdings, Inc. and subsidiaries (the “Company” or the “Registrant”) began operations in 2005 with a mission to build a merchant inspired payments platform that would advance the goals of its customers and partners. Today, the Company is a leading provider of merchant acquiring and commercial payment solutions, offering unique product capabilities to small and medium size businesses (“SMBs”)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w:t>
      </w:r>
    </w:p>
    <w:p>
      <w:pPr>
        <w:spacing w:after="0" w:line="223" w:lineRule="exact"/>
        <w:rPr>
          <w:sz w:val="20"/>
          <w:szCs w:val="20"/>
          <w:color w:val="auto"/>
        </w:rPr>
      </w:pPr>
    </w:p>
    <w:p>
      <w:pPr>
        <w:jc w:val="both"/>
        <w:ind w:left="640" w:hanging="321"/>
        <w:spacing w:after="0" w:line="261"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spacing w:after="0" w:line="2" w:lineRule="exact"/>
        <w:rPr>
          <w:rFonts w:ascii="Arial" w:cs="Arial" w:eastAsia="Arial" w:hAnsi="Arial"/>
          <w:sz w:val="17"/>
          <w:szCs w:val="17"/>
          <w:color w:val="auto"/>
        </w:rPr>
      </w:pPr>
    </w:p>
    <w:p>
      <w:pPr>
        <w:jc w:val="both"/>
        <w:ind w:left="640" w:hanging="321"/>
        <w:spacing w:after="0" w:line="256"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2" w:lineRule="exact"/>
        <w:rPr>
          <w:rFonts w:ascii="Arial" w:cs="Arial" w:eastAsia="Arial" w:hAnsi="Arial"/>
          <w:sz w:val="17"/>
          <w:szCs w:val="17"/>
          <w:color w:val="auto"/>
        </w:rPr>
      </w:pPr>
    </w:p>
    <w:p>
      <w:pPr>
        <w:ind w:left="640" w:hanging="321"/>
        <w:spacing w:after="0" w:line="291" w:lineRule="auto"/>
        <w:tabs>
          <w:tab w:leader="none" w:pos="6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Institutional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ind w:left="640" w:hanging="321"/>
        <w:spacing w:after="0" w:line="256"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Integrated partners solutions for ISVs and other third-parties that allow them to leverage the Company’s core payments engine via robust application program interfaces (“APIs”) resources and high-utility embeddable code.</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History and Recapitalization</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Inc. was incorporated under the laws of the state of Delaware as a special purpose acquisition company (“SPAC”) whose objective was to acquire, through a merger, share exchange, asset acquisition, stock purchase, recapitalization, reorganization or other similar business combination, one or more businesses or entities. MI Acquisitions completed an initial public offering (“IPO”) in September 2016, and MI Acquisitions’ common shares began trading then on Nasdaq Stock Market, LLC (“Nasdaq”) under the symbol MACQ. In addition, MI Acquisitions completed a private placement to certain initial stockholders of MI. MI Acquisitions received gross proceeds of approximately $54.0 million from the IPO and private placement.</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8" w:name="page159"/>
    <w:bookmarkEnd w:id="15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25, 2018, MI Acquisitions acquired all of the outstanding member equity interests of Priority Holdings, LLC (“Priority”) in exchange for the issuance of MI Acquisitions’ common shares (the “Business Combination”) from a private placement. As a result, Priority, which was previously a privately owned company, became a wholly-owned subsidiary of MI Acquisitions.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Simultaneously with the Business Combination, MI Acquisitions changed its name to Priority Technology Holdings, Inc. and the ticker symbol for its common stock on Nasdaq became PRTH.</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As a SPAC, MI Acquisitions had substantially no business operations prior to July 25, 2018. For financial accounting and reporting purposes under accounting principles generally accepted in the United States (“U.S. GAAP”), the acquisition was accounted for as a “reverse merger,” with no recognition of goodwill or other intangible assets. Under this method of accounting, MI Acquisitions was treated as the acquired entity whereby Priority was deemed to have issued common stock for the net assets and equity of MI Acquisitions consisting mainly of cash of $49.4 million, accompanied by a simultaneous equity recapitalization (the “Recapitalization”) of Priority. The net assets of MI Acquisitions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Priority. Prior to July 25, 2018, the results of operations, cash flows, and financial positions are those of Priority. The units and corresponding capital amounts and earnings per unit of Priority prior to the Recapitalization have been retroactively restated as shares reflecting the exchange ratio established in the Recapitalization.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common shares issued in the private placement, including the common shares issued to the sellers of Priority, are restricted shares, meaning that there are certain regulatory restrictions on the holders’ abilities to sell, transfer, pledge or otherwise dispose of the private placement shares. Common shares of the Company issued to certain non-affiliates in the private placement may become unrestricted common shares in the future due to the lapse of certain regulatory restrictions on the holders’ ability to sell, transfer, pledge, or dispose of the unregistered shares.</w:t>
      </w:r>
    </w:p>
    <w:p>
      <w:pPr>
        <w:spacing w:after="0" w:line="17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Executive Chairman controls a majority of the voting power of the Company’s outstanding common stock. As a result, the Company is a “controlled company” within the meaning of Nasdaq’s corporate governance standards.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the Company’s equity structure refer to Note 12 – Equity.</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July 25, 2018, Priority was a “pass-through” entity for income tax purposes and had no material income tax accounting reflected in its financial statements for financial reporting purposes since taxable income and deductions were “passed through” to Priority’s unconsolidated owners. Unaudited pro forma income tax has been disclosed for the year ended December 31, 2017 on the Company’s Consolidated Statement of Operations.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operates in two reportable segments, Consumer Payments and Commercial Payments and Managed Services. For more information about the Company’s segments, refer to Note 16 – Segment Information, to these consolidated financial statements. The Business Combination did not impact the Company’s reportable segments as MI was a SPAC with substantially no business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 and Restricted Cash</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in-process activity or reserves held per contract terms. At December 31, 2017 and 2016, the Company maintained restricted cash of $16.2 million and $9.4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equipment and software, net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incurred to develop software for internal use</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Settlement processing assets and obligations represent intermediary balances arising in the Company’s settlement process for merchants and other customers. See Note 3—Settlement Assets and Obligations for further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Unconsolidated Entities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Merchant Portfolios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are consumed.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Intangible Assets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that there were no indicators of impairment for the years ended December 31, 2017, 2016 and 2015.</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that there were no indications of impairment for the years ended December 31, 2017, 2016 and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Residual Commissions</w:t>
      </w:r>
    </w:p>
    <w:p>
      <w:pPr>
        <w:spacing w:after="0" w:line="229"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Accrued residual commissions consist of amounts due to ISOs and Independent Sales Agents (“ISA”)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ISO Deposit and Loss Reserve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222222"/>
        </w:rPr>
        <w:t>Equity-Based Compensation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equity-based compensation plan, allows for the issuance of the Company’s stock to employees and contractors. The Company measures and recognizes compensation expense for all equity-based awards based on estimated fair values at the time of grant. The Company estimates the fair value of equity-based awards using an option pricing valuation model. The Company expenses, on a straight-line basis, the portion of the award value expected to vest over the requisite service period, net of estimated forfeitures.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2" w:name="page163"/>
    <w:bookmarkEnd w:id="16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and Cost Recognition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Payments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Payments and Managed Services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w:t>
      </w:r>
    </w:p>
    <w:p>
      <w:pPr>
        <w:spacing w:after="0" w:line="22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Costs of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Merchant Card Fees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 The residual payments represent commissions paid to agents and ISOs based upon a percentage of the net revenues generated from merchant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Other costs of services include salaries directly related to outsourced services revenue, merchant supplies, and other service expenses.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reverse merger discussed under Corporate History and Recapitalization in this Note 1, Priority was organized as a Delaware limited liability company. Priority elected to be treated as a limited liability corporation for the purpose of filing income tax returns, and as such, the income and losses of Priority flowed through to the members. Accordingly, no provisions for federal income taxes were provided in the consolidated financial statements.</w:t>
      </w:r>
    </w:p>
    <w:p>
      <w:pPr>
        <w:spacing w:after="0" w:line="17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Level 1 – Quoted market prices in active markets for identical assets or liabilities as of the reporting date.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not corroborated by market data.</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 Liability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further discussed in Note 12 –Equity, in May 2014, the Company issued warrants to purchase Class A common shares representing 1.0% of the outstanding common shares. On January 3, 2017, these warrants were cancelled and replaced by the issuance of warrants to purchase Class A common shares representing 1.8% of the outstanding common shares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follows the two class method when computing earnings per common share as the warrants issued meet the definition of participating securities. The two-class method determines earnings (loss) per common share for each class of common shares and participating securities according to dividends declared or accumulated and participation rights in undistributed earnings. The two class method requires income available to common shareholders for the period to be allocated between common shares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shares.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Pronouncements Not Yet Adopted</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7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or ASU 2017-</w:t>
      </w:r>
    </w:p>
    <w:p>
      <w:pPr>
        <w:spacing w:after="0" w:line="37" w:lineRule="exact"/>
        <w:rPr>
          <w:sz w:val="20"/>
          <w:szCs w:val="20"/>
          <w:color w:val="auto"/>
        </w:rPr>
      </w:pPr>
    </w:p>
    <w:p>
      <w:pPr>
        <w:jc w:val="both"/>
        <w:ind w:firstLine="5"/>
        <w:spacing w:after="0" w:line="262" w:lineRule="auto"/>
        <w:tabs>
          <w:tab w:leader="none" w:pos="266" w:val="left"/>
        </w:tabs>
        <w:numPr>
          <w:ilvl w:val="0"/>
          <w:numId w:val="90"/>
        </w:numPr>
        <w:rPr>
          <w:rFonts w:ascii="Arial" w:cs="Arial" w:eastAsia="Arial" w:hAnsi="Arial"/>
          <w:sz w:val="17"/>
          <w:szCs w:val="17"/>
          <w:color w:val="auto"/>
        </w:rPr>
      </w:pPr>
      <w:r>
        <w:rPr>
          <w:rFonts w:ascii="Arial" w:cs="Arial" w:eastAsia="Arial" w:hAnsi="Arial"/>
          <w:sz w:val="17"/>
          <w:szCs w:val="17"/>
          <w:color w:val="auto"/>
        </w:rPr>
        <w:t>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73" w:lineRule="exact"/>
        <w:rPr>
          <w:sz w:val="20"/>
          <w:szCs w:val="20"/>
          <w:color w:val="auto"/>
        </w:rPr>
      </w:pPr>
    </w:p>
    <w:p>
      <w:pPr>
        <w:jc w:val="both"/>
        <w:ind w:left="640" w:hanging="321"/>
        <w:spacing w:after="0" w:line="260"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7"/>
          <w:szCs w:val="17"/>
          <w:color w:val="auto"/>
        </w:rPr>
      </w:pPr>
    </w:p>
    <w:p>
      <w:pPr>
        <w:ind w:left="640" w:hanging="321"/>
        <w:spacing w:after="0" w:line="273" w:lineRule="auto"/>
        <w:tabs>
          <w:tab w:leader="none" w:pos="6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vesting conditions of the modified award are the same as the vesting conditions of the original award immediately before the original award is modified.</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7" w:name="page168"/>
    <w:bookmarkEnd w:id="16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ind w:left="640" w:hanging="321"/>
        <w:spacing w:after="0" w:line="288" w:lineRule="auto"/>
        <w:tabs>
          <w:tab w:leader="none" w:pos="6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classification of the modified award as an equity instrument or a liability instrument is the same as the classification of the original award immediately before the original award is modified.</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ASU is effective for the Company on January 1, 2018. Early adoption is permitted, The Company does not expect the adoption of this ASU to have a material impact on the Company’s consolidated financial statements.</w:t>
      </w:r>
    </w:p>
    <w:p>
      <w:pPr>
        <w:spacing w:after="0" w:line="15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Substantially all of the Company’s revenues and receivables are attributable to merchant customer transactions, which are processed primarily by two third-party payment processors.</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Certain prior year amounts in the consolidated financial statements have been reclassified to conform to the current year presentation, with no effect on net income or shareholders’ equity.</w:t>
      </w:r>
    </w:p>
    <w:p>
      <w:pPr>
        <w:spacing w:after="0" w:line="153" w:lineRule="exact"/>
        <w:rPr>
          <w:sz w:val="20"/>
          <w:szCs w:val="20"/>
          <w:color w:val="auto"/>
        </w:rPr>
      </w:pPr>
    </w:p>
    <w:p>
      <w:pPr>
        <w:ind w:left="440" w:hanging="435"/>
        <w:spacing w:after="0"/>
        <w:tabs>
          <w:tab w:leader="none" w:pos="4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OF BUSINESSES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8" w:name="page169"/>
    <w:bookmarkEnd w:id="16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83" w:lineRule="exact"/>
        <w:rPr>
          <w:sz w:val="20"/>
          <w:szCs w:val="20"/>
          <w:color w:val="auto"/>
        </w:rPr>
      </w:pPr>
    </w:p>
    <w:p>
      <w:pPr>
        <w:jc w:val="center"/>
        <w:ind w:right="4420"/>
        <w:spacing w:after="0"/>
        <w:rPr>
          <w:sz w:val="20"/>
          <w:szCs w:val="20"/>
          <w:color w:val="auto"/>
        </w:rPr>
      </w:pPr>
      <w:r>
        <w:rPr>
          <w:rFonts w:ascii="Arial" w:cs="Arial" w:eastAsia="Arial" w:hAnsi="Arial"/>
          <w:sz w:val="15"/>
          <w:szCs w:val="15"/>
          <w:color w:val="auto"/>
        </w:rPr>
        <w:t>The following table summarizes the acquisition-date fair value of the total consideration transferred:</w:t>
      </w:r>
    </w:p>
    <w:p>
      <w:pPr>
        <w:spacing w:after="0" w:line="240"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Purchase consideration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Borders>
              <w:top w:val="single" w:sz="8" w:color="auto"/>
            </w:tcBorders>
          </w:tcPr>
          <w:p>
            <w:pPr>
              <w:spacing w:after="0"/>
              <w:rPr>
                <w:sz w:val="20"/>
                <w:szCs w:val="20"/>
                <w:color w:val="auto"/>
              </w:rPr>
            </w:pPr>
            <w:r>
              <w:rPr>
                <w:rFonts w:ascii="Arial" w:cs="Arial" w:eastAsia="Arial" w:hAnsi="Arial"/>
                <w:sz w:val="17"/>
                <w:szCs w:val="17"/>
                <w:i w:val="1"/>
                <w:iCs w:val="1"/>
                <w:color w:val="auto"/>
              </w:rPr>
              <w:t>(in thousands)</w:t>
            </w:r>
          </w:p>
        </w:tc>
        <w:tc>
          <w:tcPr>
            <w:tcW w:w="14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Cash paid to ACCPC</w:t>
            </w:r>
          </w:p>
        </w:tc>
        <w:tc>
          <w:tcPr>
            <w:tcW w:w="1900" w:type="dxa"/>
            <w:vAlign w:val="bottom"/>
            <w:gridSpan w:val="2"/>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26,724</w:t>
            </w: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Contingent consideration to ACCPC</w:t>
            </w:r>
          </w:p>
        </w:tc>
        <w:tc>
          <w:tcPr>
            <w:tcW w:w="1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900</w:t>
            </w:r>
          </w:p>
        </w:tc>
      </w:tr>
      <w:tr>
        <w:trPr>
          <w:trHeight w:val="216"/>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purchase consideration</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Cash deposits with sponsor banks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Property and equipment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Intangible assets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17,700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spacing w:after="0"/>
              <w:rPr>
                <w:sz w:val="20"/>
                <w:szCs w:val="20"/>
                <w:color w:val="auto"/>
              </w:rPr>
            </w:pPr>
            <w:r>
              <w:rPr>
                <w:rFonts w:ascii="Arial" w:cs="Arial" w:eastAsia="Arial" w:hAnsi="Arial"/>
                <w:sz w:val="17"/>
                <w:szCs w:val="17"/>
                <w:b w:val="1"/>
                <w:bCs w:val="1"/>
                <w:color w:val="auto"/>
              </w:rPr>
              <w:t>Total net assets acquired</w:t>
            </w: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17,984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Goodwill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9,640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purchase consideration</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27,624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7"/>
                <w:szCs w:val="17"/>
                <w:color w:val="auto"/>
                <w:w w:val="93"/>
              </w:rPr>
              <w:t>The following table summarizes intangible asset values assigned as follows:</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Indicated</w:t>
            </w:r>
          </w:p>
        </w:tc>
        <w:tc>
          <w:tcPr>
            <w:tcW w:w="1560" w:type="dxa"/>
            <w:vAlign w:val="bottom"/>
            <w:gridSpan w:val="2"/>
          </w:tcPr>
          <w:p>
            <w:pPr>
              <w:ind w:left="280"/>
              <w:spacing w:after="0"/>
              <w:rPr>
                <w:sz w:val="20"/>
                <w:szCs w:val="20"/>
                <w:color w:val="auto"/>
              </w:rPr>
            </w:pPr>
            <w:r>
              <w:rPr>
                <w:rFonts w:ascii="Arial" w:cs="Arial" w:eastAsia="Arial" w:hAnsi="Arial"/>
                <w:sz w:val="17"/>
                <w:szCs w:val="17"/>
                <w:b w:val="1"/>
                <w:bCs w:val="1"/>
                <w:color w:val="auto"/>
              </w:rPr>
              <w:t>Estimated</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ind w:left="40"/>
              <w:spacing w:after="0"/>
              <w:rPr>
                <w:sz w:val="20"/>
                <w:szCs w:val="20"/>
                <w:color w:val="auto"/>
              </w:rPr>
            </w:pPr>
            <w:r>
              <w:rPr>
                <w:rFonts w:ascii="Arial" w:cs="Arial" w:eastAsia="Arial" w:hAnsi="Arial"/>
                <w:sz w:val="17"/>
                <w:szCs w:val="17"/>
                <w:b w:val="1"/>
                <w:bCs w:val="1"/>
                <w:color w:val="auto"/>
              </w:rPr>
              <w:t>Fair Value at</w:t>
            </w:r>
          </w:p>
        </w:tc>
        <w:tc>
          <w:tcPr>
            <w:tcW w:w="1560" w:type="dxa"/>
            <w:vAlign w:val="bottom"/>
            <w:gridSpan w:val="2"/>
          </w:tcPr>
          <w:p>
            <w:pPr>
              <w:ind w:left="280"/>
              <w:spacing w:after="0"/>
              <w:rPr>
                <w:sz w:val="20"/>
                <w:szCs w:val="20"/>
                <w:color w:val="auto"/>
              </w:rPr>
            </w:pPr>
            <w:r>
              <w:rPr>
                <w:rFonts w:ascii="Arial" w:cs="Arial" w:eastAsia="Arial" w:hAnsi="Arial"/>
                <w:sz w:val="17"/>
                <w:szCs w:val="17"/>
                <w:b w:val="1"/>
                <w:bCs w:val="1"/>
                <w:color w:val="auto"/>
              </w:rPr>
              <w:t>Remaining</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4"/>
          </w:tcPr>
          <w:p>
            <w:pPr>
              <w:ind w:left="40"/>
              <w:spacing w:after="0"/>
              <w:rPr>
                <w:sz w:val="20"/>
                <w:szCs w:val="20"/>
                <w:color w:val="auto"/>
              </w:rPr>
            </w:pPr>
            <w:r>
              <w:rPr>
                <w:rFonts w:ascii="Arial" w:cs="Arial" w:eastAsia="Arial" w:hAnsi="Arial"/>
                <w:sz w:val="17"/>
                <w:szCs w:val="17"/>
                <w:b w:val="1"/>
                <w:bCs w:val="1"/>
                <w:color w:val="auto"/>
              </w:rPr>
              <w:t>June 19, 2015</w:t>
            </w:r>
          </w:p>
        </w:tc>
        <w:tc>
          <w:tcPr>
            <w:tcW w:w="1560" w:type="dxa"/>
            <w:vAlign w:val="bottom"/>
            <w:gridSpan w:val="2"/>
          </w:tcPr>
          <w:p>
            <w:pPr>
              <w:ind w:left="260"/>
              <w:spacing w:after="0"/>
              <w:rPr>
                <w:sz w:val="20"/>
                <w:szCs w:val="20"/>
                <w:color w:val="auto"/>
              </w:rPr>
            </w:pPr>
            <w:r>
              <w:rPr>
                <w:rFonts w:ascii="Arial" w:cs="Arial" w:eastAsia="Arial" w:hAnsi="Arial"/>
                <w:sz w:val="17"/>
                <w:szCs w:val="17"/>
                <w:b w:val="1"/>
                <w:bCs w:val="1"/>
                <w:color w:val="auto"/>
              </w:rPr>
              <w:t>Life (years)</w:t>
            </w:r>
          </w:p>
        </w:tc>
        <w:tc>
          <w:tcPr>
            <w:tcW w:w="2660" w:type="dxa"/>
            <w:vAlign w:val="bottom"/>
          </w:tcPr>
          <w:p>
            <w:pPr>
              <w:ind w:left="520"/>
              <w:spacing w:after="0"/>
              <w:rPr>
                <w:sz w:val="20"/>
                <w:szCs w:val="20"/>
                <w:color w:val="auto"/>
              </w:rPr>
            </w:pPr>
            <w:r>
              <w:rPr>
                <w:rFonts w:ascii="Arial" w:cs="Arial" w:eastAsia="Arial" w:hAnsi="Arial"/>
                <w:sz w:val="17"/>
                <w:szCs w:val="17"/>
                <w:b w:val="1"/>
                <w:bCs w:val="1"/>
                <w:color w:val="auto"/>
              </w:rPr>
              <w:t>Amortization Method</w:t>
            </w:r>
          </w:p>
        </w:tc>
        <w:tc>
          <w:tcPr>
            <w:tcW w:w="0" w:type="dxa"/>
            <w:vAlign w:val="bottom"/>
          </w:tcPr>
          <w:p>
            <w:pPr>
              <w:spacing w:after="0"/>
              <w:rPr>
                <w:sz w:val="1"/>
                <w:szCs w:val="1"/>
                <w:color w:val="auto"/>
              </w:rPr>
            </w:pPr>
          </w:p>
        </w:tc>
      </w:tr>
      <w:tr>
        <w:trPr>
          <w:trHeight w:val="202"/>
        </w:trPr>
        <w:tc>
          <w:tcPr>
            <w:tcW w:w="538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Non-compete agreements</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900</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2"/>
              </w:rPr>
              <w:t>3.0</w:t>
            </w:r>
          </w:p>
        </w:tc>
        <w:tc>
          <w:tcPr>
            <w:tcW w:w="2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Straight-line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Relationships: ISO/Agents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1,400</w:t>
            </w:r>
          </w:p>
        </w:tc>
        <w:tc>
          <w:tcPr>
            <w:tcW w:w="1360" w:type="dxa"/>
            <w:vAlign w:val="bottom"/>
            <w:shd w:val="clear" w:color="auto" w:fill="CCEEFF"/>
          </w:tcPr>
          <w:p>
            <w:pPr>
              <w:jc w:val="center"/>
              <w:ind w:left="13"/>
              <w:spacing w:after="0"/>
              <w:rPr>
                <w:sz w:val="20"/>
                <w:szCs w:val="20"/>
                <w:color w:val="auto"/>
              </w:rPr>
            </w:pPr>
            <w:r>
              <w:rPr>
                <w:rFonts w:ascii="Arial" w:cs="Arial" w:eastAsia="Arial" w:hAnsi="Arial"/>
                <w:sz w:val="17"/>
                <w:szCs w:val="17"/>
                <w:color w:val="auto"/>
                <w:w w:val="90"/>
              </w:rPr>
              <w:t>11.0</w:t>
            </w:r>
          </w:p>
        </w:tc>
        <w:tc>
          <w:tcPr>
            <w:tcW w:w="2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w w:val="93"/>
              </w:rPr>
              <w:t>Accelerated - sum-of-the-year’s digits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7"/>
                <w:szCs w:val="17"/>
                <w:color w:val="auto"/>
              </w:rPr>
              <w:t>Relationships: Merchants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7"/>
                <w:szCs w:val="17"/>
                <w:color w:val="auto"/>
              </w:rPr>
              <w:t>15,400</w:t>
            </w:r>
          </w:p>
        </w:tc>
        <w:tc>
          <w:tcPr>
            <w:tcW w:w="1360" w:type="dxa"/>
            <w:vAlign w:val="bottom"/>
          </w:tcPr>
          <w:p>
            <w:pPr>
              <w:jc w:val="center"/>
              <w:ind w:left="13"/>
              <w:spacing w:after="0"/>
              <w:rPr>
                <w:sz w:val="20"/>
                <w:szCs w:val="20"/>
                <w:color w:val="auto"/>
              </w:rPr>
            </w:pPr>
            <w:r>
              <w:rPr>
                <w:rFonts w:ascii="Arial" w:cs="Arial" w:eastAsia="Arial" w:hAnsi="Arial"/>
                <w:sz w:val="17"/>
                <w:szCs w:val="17"/>
                <w:color w:val="auto"/>
                <w:w w:val="90"/>
              </w:rPr>
              <w:t>11.0</w:t>
            </w:r>
          </w:p>
        </w:tc>
        <w:tc>
          <w:tcPr>
            <w:tcW w:w="2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3"/>
              </w:rPr>
              <w:t>Accelerated - sum-of-the-year’s digits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value of identified intangible assets</w:t>
            </w:r>
          </w:p>
        </w:tc>
        <w:tc>
          <w:tcPr>
            <w:tcW w:w="2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6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167" w:lineRule="exact"/>
        <w:rPr>
          <w:sz w:val="20"/>
          <w:szCs w:val="20"/>
          <w:color w:val="auto"/>
        </w:rPr>
      </w:pPr>
    </w:p>
    <w:p>
      <w:pPr>
        <w:ind w:left="440" w:hanging="435"/>
        <w:spacing w:after="0"/>
        <w:tabs>
          <w:tab w:leader="none" w:pos="44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69" w:name="page170"/>
    <w:bookmarkEnd w:id="16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46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Settlement Assets</w:t>
            </w:r>
          </w:p>
        </w:tc>
        <w:tc>
          <w:tcPr>
            <w:tcW w:w="1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Due from card processors</w:t>
            </w:r>
          </w:p>
        </w:tc>
        <w:tc>
          <w:tcPr>
            <w:tcW w:w="16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7"/>
                <w:szCs w:val="17"/>
                <w:color w:val="auto"/>
              </w:rPr>
              <w:t>Card settlement due from merchants</w:t>
            </w: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2"/>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563</w:t>
            </w:r>
          </w:p>
        </w:tc>
        <w:tc>
          <w:tcPr>
            <w:tcW w:w="100" w:type="dxa"/>
            <w:vAlign w:val="bottom"/>
          </w:tcPr>
          <w:p>
            <w:pPr>
              <w:spacing w:after="0"/>
              <w:rPr>
                <w:sz w:val="19"/>
                <w:szCs w:val="19"/>
                <w:color w:val="auto"/>
              </w:rPr>
            </w:pPr>
          </w:p>
        </w:tc>
      </w:tr>
      <w:tr>
        <w:trPr>
          <w:trHeight w:val="203"/>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Settlement Assets</w:t>
            </w:r>
          </w:p>
        </w:tc>
        <w:tc>
          <w:tcPr>
            <w:tcW w:w="1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7,207</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5,690</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620" w:type="dxa"/>
            <w:vAlign w:val="bottom"/>
          </w:tcPr>
          <w:p>
            <w:pPr>
              <w:spacing w:after="0"/>
              <w:rPr>
                <w:sz w:val="20"/>
                <w:szCs w:val="20"/>
                <w:color w:val="auto"/>
              </w:rPr>
            </w:pPr>
            <w:r>
              <w:rPr>
                <w:rFonts w:ascii="Arial" w:cs="Arial" w:eastAsia="Arial" w:hAnsi="Arial"/>
                <w:sz w:val="17"/>
                <w:szCs w:val="17"/>
                <w:b w:val="1"/>
                <w:bCs w:val="1"/>
                <w:color w:val="auto"/>
              </w:rPr>
              <w:t>Settlement Obligations</w:t>
            </w:r>
          </w:p>
        </w:tc>
        <w:tc>
          <w:tcPr>
            <w:tcW w:w="1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Due to ACH payees</w:t>
            </w:r>
          </w:p>
        </w:tc>
        <w:tc>
          <w:tcPr>
            <w:tcW w:w="16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7"/>
                <w:szCs w:val="17"/>
                <w:b w:val="1"/>
                <w:bCs w:val="1"/>
                <w:color w:val="auto"/>
              </w:rPr>
              <w:t>Total settlement assets (obligations), net</w:t>
            </w:r>
          </w:p>
        </w:tc>
        <w:tc>
          <w:tcPr>
            <w:tcW w:w="194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(3,267</w:t>
            </w:r>
          </w:p>
        </w:tc>
        <w:tc>
          <w:tcPr>
            <w:tcW w:w="180" w:type="dxa"/>
            <w:vAlign w:val="bottom"/>
          </w:tcPr>
          <w:p>
            <w:pPr>
              <w:jc w:val="right"/>
              <w:ind w:right="102"/>
              <w:spacing w:after="0"/>
              <w:rPr>
                <w:sz w:val="20"/>
                <w:szCs w:val="20"/>
                <w:color w:val="auto"/>
              </w:rPr>
            </w:pPr>
            <w:r>
              <w:rPr>
                <w:rFonts w:ascii="Arial" w:cs="Arial" w:eastAsia="Arial" w:hAnsi="Arial"/>
                <w:sz w:val="8"/>
                <w:szCs w:val="8"/>
                <w:color w:val="auto"/>
                <w:w w:val="73"/>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1,202</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ACH payees are offset by restricted cash.</w:t>
      </w:r>
    </w:p>
    <w:p>
      <w:pPr>
        <w:spacing w:after="0" w:line="217" w:lineRule="exact"/>
        <w:rPr>
          <w:sz w:val="20"/>
          <w:szCs w:val="20"/>
          <w:color w:val="auto"/>
        </w:rPr>
      </w:pPr>
    </w:p>
    <w:p>
      <w:pPr>
        <w:ind w:left="440" w:hanging="435"/>
        <w:spacing w:after="0"/>
        <w:tabs>
          <w:tab w:leader="none" w:pos="440"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UNCONSOLIDATED ENTITIES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vMerge w:val="restart"/>
          </w:tcPr>
          <w:p>
            <w:pPr>
              <w:jc w:val="center"/>
              <w:ind w:left="293"/>
              <w:spacing w:after="0"/>
              <w:rPr>
                <w:sz w:val="20"/>
                <w:szCs w:val="20"/>
                <w:color w:val="auto"/>
              </w:rPr>
            </w:pPr>
            <w:r>
              <w:rPr>
                <w:rFonts w:ascii="Arial" w:cs="Arial" w:eastAsia="Arial" w:hAnsi="Arial"/>
                <w:sz w:val="17"/>
                <w:szCs w:val="17"/>
                <w:b w:val="1"/>
                <w:bCs w:val="1"/>
                <w:color w:val="auto"/>
                <w:w w:val="92"/>
              </w:rPr>
              <w:t>Ownership Percentage</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3"/>
              </w:rPr>
              <w:t>Total Investment</w:t>
            </w:r>
          </w:p>
        </w:tc>
        <w:tc>
          <w:tcPr>
            <w:tcW w:w="0" w:type="dxa"/>
            <w:vAlign w:val="bottom"/>
          </w:tcPr>
          <w:p>
            <w:pPr>
              <w:spacing w:after="0"/>
              <w:rPr>
                <w:sz w:val="1"/>
                <w:szCs w:val="1"/>
                <w:color w:val="auto"/>
              </w:rPr>
            </w:pPr>
          </w:p>
        </w:tc>
      </w:tr>
      <w:tr>
        <w:trPr>
          <w:trHeight w:val="203"/>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4"/>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jc w:val="center"/>
              <w:ind w:right="380"/>
              <w:spacing w:after="0"/>
              <w:rPr>
                <w:sz w:val="20"/>
                <w:szCs w:val="20"/>
                <w:color w:val="auto"/>
              </w:rPr>
            </w:pPr>
            <w:r>
              <w:rPr>
                <w:rFonts w:ascii="Arial" w:cs="Arial" w:eastAsia="Arial" w:hAnsi="Arial"/>
                <w:sz w:val="17"/>
                <w:szCs w:val="17"/>
                <w:b w:val="1"/>
                <w:bCs w:val="1"/>
                <w:i w:val="1"/>
                <w:iCs w:val="1"/>
                <w:color w:val="auto"/>
                <w:w w:val="89"/>
              </w:rPr>
              <w:t>As of December 31,</w:t>
            </w:r>
          </w:p>
        </w:tc>
        <w:tc>
          <w:tcPr>
            <w:tcW w:w="0" w:type="dxa"/>
            <w:vAlign w:val="bottom"/>
          </w:tcPr>
          <w:p>
            <w:pPr>
              <w:spacing w:after="0"/>
              <w:rPr>
                <w:sz w:val="1"/>
                <w:szCs w:val="1"/>
                <w:color w:val="auto"/>
              </w:rPr>
            </w:pPr>
          </w:p>
        </w:tc>
      </w:tr>
      <w:tr>
        <w:trPr>
          <w:trHeight w:val="228"/>
        </w:trPr>
        <w:tc>
          <w:tcPr>
            <w:tcW w:w="5500" w:type="dxa"/>
            <w:vAlign w:val="bottom"/>
            <w:vMerge w:val="restart"/>
          </w:tcPr>
          <w:p>
            <w:pPr>
              <w:spacing w:after="0"/>
              <w:rPr>
                <w:sz w:val="20"/>
                <w:szCs w:val="20"/>
                <w:color w:val="auto"/>
              </w:rPr>
            </w:pPr>
            <w:r>
              <w:rPr>
                <w:rFonts w:ascii="Arial" w:cs="Arial" w:eastAsia="Arial" w:hAnsi="Arial"/>
                <w:sz w:val="17"/>
                <w:szCs w:val="17"/>
                <w:b w:val="1"/>
                <w:bCs w:val="1"/>
                <w:color w:val="auto"/>
              </w:rPr>
              <w:t>Unconsolidated Entity</w:t>
            </w:r>
          </w:p>
        </w:tc>
        <w:tc>
          <w:tcPr>
            <w:tcW w:w="120" w:type="dxa"/>
            <w:vAlign w:val="bottom"/>
            <w:vMerge w:val="restart"/>
          </w:tcPr>
          <w:p>
            <w:pPr>
              <w:spacing w:after="0"/>
              <w:rPr>
                <w:sz w:val="19"/>
                <w:szCs w:val="19"/>
                <w:color w:val="auto"/>
              </w:rPr>
            </w:pPr>
          </w:p>
        </w:tc>
        <w:tc>
          <w:tcPr>
            <w:tcW w:w="2360" w:type="dxa"/>
            <w:vAlign w:val="bottom"/>
            <w:tcBorders>
              <w:bottom w:val="single" w:sz="8" w:color="auto"/>
            </w:tcBorders>
            <w:gridSpan w:val="4"/>
          </w:tcPr>
          <w:p>
            <w:pPr>
              <w:jc w:val="center"/>
              <w:ind w:left="293"/>
              <w:spacing w:after="0"/>
              <w:rPr>
                <w:sz w:val="20"/>
                <w:szCs w:val="20"/>
                <w:color w:val="auto"/>
              </w:rPr>
            </w:pPr>
            <w:r>
              <w:rPr>
                <w:rFonts w:ascii="Arial" w:cs="Arial" w:eastAsia="Arial" w:hAnsi="Arial"/>
                <w:sz w:val="17"/>
                <w:szCs w:val="17"/>
                <w:b w:val="1"/>
                <w:bCs w:val="1"/>
                <w:color w:val="auto"/>
                <w:w w:val="92"/>
              </w:rPr>
              <w:t>As of December 31,</w:t>
            </w:r>
          </w:p>
        </w:tc>
        <w:tc>
          <w:tcPr>
            <w:tcW w:w="3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473"/>
              <w:spacing w:after="0"/>
              <w:rPr>
                <w:sz w:val="20"/>
                <w:szCs w:val="20"/>
                <w:color w:val="auto"/>
              </w:rPr>
            </w:pPr>
            <w:r>
              <w:rPr>
                <w:rFonts w:ascii="Arial" w:cs="Arial" w:eastAsia="Arial" w:hAnsi="Arial"/>
                <w:sz w:val="17"/>
                <w:szCs w:val="17"/>
                <w:i w:val="1"/>
                <w:iCs w:val="1"/>
                <w:color w:val="auto"/>
                <w:w w:val="92"/>
              </w:rPr>
              <w:t>(in thousands)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2017</w:t>
            </w:r>
          </w:p>
        </w:tc>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w w:val="95"/>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AME Commerce</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w:t>
            </w:r>
          </w:p>
        </w:tc>
        <w:tc>
          <w:tcPr>
            <w:tcW w:w="8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14.3%</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7"/>
                <w:szCs w:val="17"/>
                <w:color w:val="auto"/>
              </w:rPr>
              <w:t>PayRight Health Solutions</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21.8%</w:t>
            </w:r>
          </w:p>
        </w:tc>
        <w:tc>
          <w:tcPr>
            <w:tcW w:w="8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21.8%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1,101</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1,222</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shareholder also owns an interest in AME. AME experienced a net loss for the years ended December 31, 2017, 2016 and 2015 of which the Company recorded $16,671, $21,280, and $41,492, respectively, as equity loss in unconsolidated entity.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0" w:name="page171"/>
    <w:bookmarkEnd w:id="17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74" w:lineRule="exact"/>
        <w:rPr>
          <w:sz w:val="20"/>
          <w:szCs w:val="20"/>
          <w:color w:val="auto"/>
        </w:rPr>
      </w:pPr>
    </w:p>
    <w:p>
      <w:pPr>
        <w:ind w:left="440" w:hanging="435"/>
        <w:spacing w:after="0"/>
        <w:tabs>
          <w:tab w:leader="none" w:pos="44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NOTES RECEIVABLE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the notes receivable at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100" w:type="dxa"/>
            <w:vAlign w:val="bottom"/>
          </w:tcPr>
          <w:p>
            <w:pPr>
              <w:spacing w:after="0"/>
              <w:rPr>
                <w:sz w:val="20"/>
                <w:szCs w:val="20"/>
                <w:color w:val="auto"/>
              </w:rPr>
            </w:pPr>
            <w:r>
              <w:rPr>
                <w:rFonts w:ascii="Arial" w:cs="Arial" w:eastAsia="Arial" w:hAnsi="Arial"/>
                <w:sz w:val="17"/>
                <w:szCs w:val="17"/>
                <w:b w:val="1"/>
                <w:bCs w:val="1"/>
                <w:color w:val="auto"/>
              </w:rPr>
              <w:t>Year ended 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2,377</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1,251</w:t>
            </w:r>
          </w:p>
        </w:tc>
      </w:tr>
      <w:tr>
        <w:trPr>
          <w:trHeight w:val="221"/>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2898775" cy="149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149225"/>
                    </a:xfrm>
                    <a:prstGeom prst="rect">
                      <a:avLst/>
                    </a:prstGeom>
                    <a:noFill/>
                  </pic:spPr>
                </pic:pic>
              </a:graphicData>
            </a:graphic>
          </wp:anchor>
        </w:drawing>
      </w:r>
    </w:p>
    <w:p>
      <w:pPr>
        <w:ind w:left="4080" w:hanging="897"/>
        <w:spacing w:after="0"/>
        <w:tabs>
          <w:tab w:leader="none" w:pos="40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7,249</w:t>
      </w:r>
    </w:p>
    <w:p>
      <w:pPr>
        <w:spacing w:after="0" w:line="244" w:lineRule="exact"/>
        <w:rPr>
          <w:rFonts w:ascii="Arial" w:cs="Arial" w:eastAsia="Arial" w:hAnsi="Arial"/>
          <w:sz w:val="17"/>
          <w:szCs w:val="17"/>
          <w:color w:val="auto"/>
        </w:rPr>
      </w:pPr>
    </w:p>
    <w:p>
      <w:pPr>
        <w:ind w:left="440" w:hanging="435"/>
        <w:spacing w:after="0"/>
        <w:tabs>
          <w:tab w:leader="none" w:pos="440"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-252730</wp:posOffset>
            </wp:positionV>
            <wp:extent cx="8140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goodwill and intangible assets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6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120" w:type="dxa"/>
            <w:vAlign w:val="bottom"/>
            <w:tcBorders>
              <w:bottom w:val="single" w:sz="8" w:color="CCEEFF"/>
            </w:tcBorders>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w:t>
            </w:r>
          </w:p>
        </w:tc>
        <w:tc>
          <w:tcPr>
            <w:tcW w:w="18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101,532</w:t>
            </w:r>
          </w:p>
        </w:tc>
        <w:tc>
          <w:tcPr>
            <w:tcW w:w="120" w:type="dxa"/>
            <w:vAlign w:val="bottom"/>
            <w:tcBorders>
              <w:bottom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7"/>
                <w:szCs w:val="17"/>
                <w:color w:val="auto"/>
              </w:rPr>
              <w:t>Other intangible assets:</w:t>
            </w: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46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Merchant portfolios</w:t>
            </w:r>
          </w:p>
        </w:tc>
        <w:tc>
          <w:tcPr>
            <w:tcW w:w="210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46,716</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Non-compete agreements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3,390</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3,390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Tradename</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2,580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2,580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Acquired technology (developed internally)</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13,200</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Customer relationships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51,090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51,090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116,976</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114,493</w:t>
            </w:r>
          </w:p>
        </w:tc>
        <w:tc>
          <w:tcPr>
            <w:tcW w:w="120" w:type="dxa"/>
            <w:vAlign w:val="bottom"/>
            <w:tcBorders>
              <w:bottom w:val="single" w:sz="8" w:color="CCEEFF"/>
            </w:tcBorders>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amortization:</w:t>
            </w:r>
          </w:p>
        </w:tc>
        <w:tc>
          <w:tcPr>
            <w:tcW w:w="1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Merchant portfolios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(41,915)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(40,411)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Non-compete agreements</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(3,243)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Tradename</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(776)</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Acquired technology (developed internally)</w:t>
            </w: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(7,928)</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360"/>
              <w:spacing w:after="0"/>
              <w:rPr>
                <w:sz w:val="20"/>
                <w:szCs w:val="20"/>
                <w:color w:val="auto"/>
              </w:rPr>
            </w:pPr>
            <w:r>
              <w:rPr>
                <w:rFonts w:ascii="Arial" w:cs="Arial" w:eastAsia="Arial" w:hAnsi="Arial"/>
                <w:sz w:val="17"/>
                <w:szCs w:val="17"/>
                <w:color w:val="auto"/>
              </w:rPr>
              <w:t>Customer relationships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(21,052)</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(15,107)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(74,914)</w:t>
            </w: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(64,456)</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42,062</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50,037</w:t>
            </w: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7"/>
                <w:szCs w:val="17"/>
                <w:color w:val="auto"/>
              </w:rPr>
              <w:t>F-48</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amortization periods for intangible assets at December 31, 2017 and 2016 are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Useful Life</w:t>
            </w:r>
          </w:p>
        </w:tc>
        <w:tc>
          <w:tcPr>
            <w:tcW w:w="23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Amortization Method</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2"/>
              </w:rPr>
              <w:t>Weighted Average Life</w:t>
            </w:r>
          </w:p>
        </w:tc>
      </w:tr>
      <w:tr>
        <w:trPr>
          <w:trHeight w:val="203"/>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Merchant portfolios</w:t>
            </w: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 – 10 years</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Straight-line or double declining</w:t>
            </w:r>
          </w:p>
        </w:tc>
        <w:tc>
          <w:tcPr>
            <w:tcW w:w="10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7.2 years</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5380" w:type="dxa"/>
            <w:vAlign w:val="bottom"/>
          </w:tcPr>
          <w:p>
            <w:pPr>
              <w:spacing w:after="0"/>
              <w:rPr>
                <w:sz w:val="20"/>
                <w:szCs w:val="20"/>
                <w:color w:val="auto"/>
              </w:rPr>
            </w:pPr>
            <w:r>
              <w:rPr>
                <w:rFonts w:ascii="Arial" w:cs="Arial" w:eastAsia="Arial" w:hAnsi="Arial"/>
                <w:sz w:val="17"/>
                <w:szCs w:val="17"/>
                <w:color w:val="auto"/>
              </w:rPr>
              <w:t>Non-compete agreements</w:t>
            </w: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3 years</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3 years</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Tradename</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12 years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12 years</w:t>
            </w:r>
          </w:p>
        </w:tc>
      </w:tr>
      <w:tr>
        <w:trPr>
          <w:trHeight w:val="209"/>
        </w:trPr>
        <w:tc>
          <w:tcPr>
            <w:tcW w:w="5380" w:type="dxa"/>
            <w:vAlign w:val="bottom"/>
          </w:tcPr>
          <w:p>
            <w:pPr>
              <w:spacing w:after="0"/>
              <w:rPr>
                <w:sz w:val="20"/>
                <w:szCs w:val="20"/>
                <w:color w:val="auto"/>
              </w:rPr>
            </w:pPr>
            <w:r>
              <w:rPr>
                <w:rFonts w:ascii="Arial" w:cs="Arial" w:eastAsia="Arial" w:hAnsi="Arial"/>
                <w:sz w:val="17"/>
                <w:szCs w:val="17"/>
                <w:color w:val="auto"/>
              </w:rPr>
              <w:t>Internally developed technology</w:t>
            </w:r>
          </w:p>
        </w:tc>
        <w:tc>
          <w:tcPr>
            <w:tcW w:w="18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6 years</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Straight-line</w:t>
            </w:r>
          </w:p>
        </w:tc>
        <w:tc>
          <w:tcPr>
            <w:tcW w:w="182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6 years</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89"/>
              </w:rPr>
              <w:t>10 – 25 years</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Sum of years digits</w:t>
            </w: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14.9 years</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$10.5 million, $11.9 million, and $12.0 million for the years ended December 31, 2017, 2016 and 2015, respectively.</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amortization expense of intangible assets as of December 31, 2017 for the next five years and thereafter 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Year ending December 31,</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9,461</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8,435</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6,326</w:t>
            </w: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4,736</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3,279</w:t>
            </w:r>
          </w:p>
        </w:tc>
      </w:tr>
      <w:tr>
        <w:trPr>
          <w:trHeight w:val="209"/>
        </w:trPr>
        <w:tc>
          <w:tcPr>
            <w:tcW w:w="32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9,825</w:t>
            </w:r>
          </w:p>
        </w:tc>
      </w:tr>
      <w:tr>
        <w:trPr>
          <w:trHeight w:val="202"/>
        </w:trPr>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Actual amortization expense to be reported in future periods could differ from these estimates as a result of new intangible asset acquisitions, changes in useful lives, and other relevant events or circumstances.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 w:type="dxa"/>
            <w:vAlign w:val="bottom"/>
          </w:tcPr>
          <w:p>
            <w:pPr>
              <w:spacing w:after="0"/>
              <w:rPr>
                <w:sz w:val="20"/>
                <w:szCs w:val="20"/>
                <w:color w:val="auto"/>
              </w:rPr>
            </w:pPr>
            <w:r>
              <w:rPr>
                <w:rFonts w:ascii="Arial" w:cs="Arial" w:eastAsia="Arial" w:hAnsi="Arial"/>
                <w:sz w:val="17"/>
                <w:szCs w:val="17"/>
                <w:b w:val="1"/>
                <w:bCs w:val="1"/>
                <w:color w:val="auto"/>
              </w:rPr>
              <w:t>7.</w:t>
            </w:r>
          </w:p>
        </w:tc>
        <w:tc>
          <w:tcPr>
            <w:tcW w:w="7020" w:type="dxa"/>
            <w:vAlign w:val="bottom"/>
          </w:tcPr>
          <w:p>
            <w:pPr>
              <w:ind w:left="160"/>
              <w:spacing w:after="0"/>
              <w:rPr>
                <w:sz w:val="20"/>
                <w:szCs w:val="20"/>
                <w:color w:val="auto"/>
              </w:rPr>
            </w:pPr>
            <w:r>
              <w:rPr>
                <w:rFonts w:ascii="Arial" w:cs="Arial" w:eastAsia="Arial" w:hAnsi="Arial"/>
                <w:sz w:val="17"/>
                <w:szCs w:val="17"/>
                <w:b w:val="1"/>
                <w:bCs w:val="1"/>
                <w:color w:val="auto"/>
              </w:rPr>
              <w:t>PROPERTY, EQUIPMENT AND SOFTWARE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9"/>
        </w:trPr>
        <w:tc>
          <w:tcPr>
            <w:tcW w:w="7300" w:type="dxa"/>
            <w:vAlign w:val="bottom"/>
            <w:gridSpan w:val="2"/>
          </w:tcPr>
          <w:p>
            <w:pPr>
              <w:spacing w:after="0"/>
              <w:rPr>
                <w:sz w:val="20"/>
                <w:szCs w:val="20"/>
                <w:color w:val="auto"/>
              </w:rPr>
            </w:pPr>
            <w:r>
              <w:rPr>
                <w:rFonts w:ascii="Arial" w:cs="Arial" w:eastAsia="Arial" w:hAnsi="Arial"/>
                <w:sz w:val="17"/>
                <w:szCs w:val="17"/>
                <w:color w:val="auto"/>
              </w:rPr>
              <w:t>A summary of property, equipment, and software as of December 31, 2017 and 2016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9"/>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Useful Life</w:t>
            </w:r>
          </w:p>
        </w:tc>
      </w:tr>
      <w:tr>
        <w:trPr>
          <w:trHeight w:val="203"/>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2-7 years</w:t>
            </w: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Equipment</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6,256</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5,658</w:t>
            </w:r>
          </w:p>
        </w:tc>
        <w:tc>
          <w:tcPr>
            <w:tcW w:w="1180" w:type="dxa"/>
            <w:vAlign w:val="bottom"/>
          </w:tcPr>
          <w:p>
            <w:pPr>
              <w:jc w:val="center"/>
              <w:spacing w:after="0"/>
              <w:rPr>
                <w:sz w:val="20"/>
                <w:szCs w:val="20"/>
                <w:color w:val="auto"/>
              </w:rPr>
            </w:pPr>
            <w:r>
              <w:rPr>
                <w:rFonts w:ascii="Arial" w:cs="Arial" w:eastAsia="Arial" w:hAnsi="Arial"/>
                <w:sz w:val="17"/>
                <w:szCs w:val="17"/>
                <w:color w:val="auto"/>
                <w:w w:val="90"/>
              </w:rPr>
              <w:t>3-7 years</w:t>
            </w: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Computer software</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20,443</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17,017</w:t>
            </w:r>
          </w:p>
        </w:tc>
        <w:tc>
          <w:tcPr>
            <w:tcW w:w="1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3-5 years</w:t>
            </w: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4,965</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3,525</w:t>
            </w:r>
          </w:p>
        </w:tc>
        <w:tc>
          <w:tcPr>
            <w:tcW w:w="1180" w:type="dxa"/>
            <w:vAlign w:val="bottom"/>
          </w:tcPr>
          <w:p>
            <w:pPr>
              <w:jc w:val="center"/>
              <w:spacing w:after="0"/>
              <w:rPr>
                <w:sz w:val="20"/>
                <w:szCs w:val="20"/>
                <w:color w:val="auto"/>
              </w:rPr>
            </w:pPr>
            <w:r>
              <w:rPr>
                <w:rFonts w:ascii="Arial" w:cs="Arial" w:eastAsia="Arial" w:hAnsi="Arial"/>
                <w:sz w:val="17"/>
                <w:szCs w:val="17"/>
                <w:color w:val="auto"/>
                <w:w w:val="92"/>
              </w:rPr>
              <w:t>5-10 years</w:t>
            </w:r>
          </w:p>
        </w:tc>
      </w:tr>
      <w:tr>
        <w:trPr>
          <w:trHeight w:val="202"/>
        </w:trPr>
        <w:tc>
          <w:tcPr>
            <w:tcW w:w="280" w:type="dxa"/>
            <w:vAlign w:val="bottom"/>
            <w:tcBorders>
              <w:top w:val="single" w:sz="8" w:color="CCEEFF"/>
            </w:tcBorders>
            <w:shd w:val="clear" w:color="auto" w:fill="CCEEFF"/>
          </w:tcPr>
          <w:p>
            <w:pPr>
              <w:spacing w:after="0"/>
              <w:rPr>
                <w:sz w:val="17"/>
                <w:szCs w:val="17"/>
                <w:color w:val="auto"/>
              </w:rPr>
            </w:pPr>
          </w:p>
        </w:tc>
        <w:tc>
          <w:tcPr>
            <w:tcW w:w="70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33,535</w:t>
            </w: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27,313</w:t>
            </w:r>
          </w:p>
        </w:tc>
        <w:tc>
          <w:tcPr>
            <w:tcW w:w="2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r>
      <w:tr>
        <w:trPr>
          <w:trHeight w:val="209"/>
        </w:trPr>
        <w:tc>
          <w:tcPr>
            <w:tcW w:w="7300" w:type="dxa"/>
            <w:vAlign w:val="bottom"/>
            <w:gridSpan w:val="2"/>
          </w:tcPr>
          <w:p>
            <w:pPr>
              <w:spacing w:after="0"/>
              <w:rPr>
                <w:sz w:val="20"/>
                <w:szCs w:val="20"/>
                <w:color w:val="auto"/>
              </w:rPr>
            </w:pPr>
            <w:r>
              <w:rPr>
                <w:rFonts w:ascii="Arial" w:cs="Arial" w:eastAsia="Arial" w:hAnsi="Arial"/>
                <w:sz w:val="17"/>
                <w:szCs w:val="17"/>
                <w:color w:val="auto"/>
              </w:rPr>
              <w:t>Less accumulated depreciation</w:t>
            </w:r>
          </w:p>
        </w:tc>
        <w:tc>
          <w:tcPr>
            <w:tcW w:w="2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(21,592)</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(17,429)</w:t>
            </w:r>
          </w:p>
        </w:tc>
        <w:tc>
          <w:tcPr>
            <w:tcW w:w="1180" w:type="dxa"/>
            <w:vAlign w:val="bottom"/>
          </w:tcPr>
          <w:p>
            <w:pPr>
              <w:spacing w:after="0"/>
              <w:rPr>
                <w:sz w:val="18"/>
                <w:szCs w:val="18"/>
                <w:color w:val="auto"/>
              </w:rPr>
            </w:pPr>
          </w:p>
        </w:tc>
      </w:tr>
      <w:tr>
        <w:trPr>
          <w:trHeight w:val="202"/>
        </w:trPr>
        <w:tc>
          <w:tcPr>
            <w:tcW w:w="7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Property, equipment, and software, net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Computer software represents purchased software and internally developed back office and merchant interfacing systems used to assist the reporting of merchant processing transactions and other related information.</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totaled $4.2 million, $2.8 million, and $3.6 million for the years ended December 31, 2017, 2016 and 2015, respectively.</w:t>
      </w:r>
    </w:p>
    <w:p>
      <w:pPr>
        <w:spacing w:after="0" w:line="217" w:lineRule="exact"/>
        <w:rPr>
          <w:sz w:val="20"/>
          <w:szCs w:val="20"/>
          <w:color w:val="auto"/>
        </w:rPr>
      </w:pPr>
    </w:p>
    <w:p>
      <w:pPr>
        <w:ind w:left="440" w:hanging="435"/>
        <w:spacing w:after="0"/>
        <w:tabs>
          <w:tab w:leader="none" w:pos="440"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Borders>
              <w:bottom w:val="single" w:sz="8" w:color="CCEEFF"/>
            </w:tcBorders>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3"/>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9"/>
        </w:trPr>
        <w:tc>
          <w:tcPr>
            <w:tcW w:w="3960" w:type="dxa"/>
            <w:vAlign w:val="bottom"/>
          </w:tcPr>
          <w:p>
            <w:pPr>
              <w:spacing w:after="0"/>
              <w:rPr>
                <w:sz w:val="20"/>
                <w:szCs w:val="20"/>
                <w:color w:val="auto"/>
              </w:rPr>
            </w:pPr>
            <w:r>
              <w:rPr>
                <w:rFonts w:ascii="Arial" w:cs="Arial" w:eastAsia="Arial" w:hAnsi="Arial"/>
                <w:sz w:val="17"/>
                <w:szCs w:val="17"/>
                <w:color w:val="auto"/>
              </w:rPr>
              <w:t>Accrued compensation</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6,136</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5,101</w:t>
            </w:r>
          </w:p>
        </w:tc>
        <w:tc>
          <w:tcPr>
            <w:tcW w:w="100" w:type="dxa"/>
            <w:vAlign w:val="bottom"/>
          </w:tcPr>
          <w:p>
            <w:pPr>
              <w:spacing w:after="0"/>
              <w:rPr>
                <w:sz w:val="18"/>
                <w:szCs w:val="18"/>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3,716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2,581</w:t>
            </w:r>
          </w:p>
        </w:tc>
        <w:tc>
          <w:tcPr>
            <w:tcW w:w="100" w:type="dxa"/>
            <w:vAlign w:val="bottom"/>
            <w:shd w:val="clear" w:color="auto" w:fill="CCEEFF"/>
          </w:tcPr>
          <w:p>
            <w:pPr>
              <w:spacing w:after="0"/>
              <w:rPr>
                <w:sz w:val="18"/>
                <w:szCs w:val="18"/>
                <w:color w:val="auto"/>
              </w:rPr>
            </w:pPr>
          </w:p>
        </w:tc>
      </w:tr>
      <w:tr>
        <w:trPr>
          <w:trHeight w:val="202"/>
        </w:trPr>
        <w:tc>
          <w:tcPr>
            <w:tcW w:w="39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18,603</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11,162</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20"/>
                <w:szCs w:val="20"/>
                <w:color w:val="auto"/>
              </w:rPr>
            </w:pPr>
            <w:r>
              <w:rPr>
                <w:rFonts w:ascii="Arial" w:cs="Arial" w:eastAsia="Arial" w:hAnsi="Arial"/>
                <w:sz w:val="17"/>
                <w:szCs w:val="17"/>
                <w:b w:val="1"/>
                <w:bCs w:val="1"/>
                <w:color w:val="auto"/>
                <w:w w:val="84"/>
              </w:rPr>
              <w:t>9.</w:t>
            </w:r>
          </w:p>
        </w:tc>
        <w:tc>
          <w:tcPr>
            <w:tcW w:w="8360" w:type="dxa"/>
            <w:vAlign w:val="bottom"/>
          </w:tcPr>
          <w:p>
            <w:pPr>
              <w:ind w:left="300"/>
              <w:spacing w:after="0"/>
              <w:rPr>
                <w:sz w:val="20"/>
                <w:szCs w:val="20"/>
                <w:color w:val="auto"/>
              </w:rPr>
            </w:pPr>
            <w:r>
              <w:rPr>
                <w:rFonts w:ascii="Arial" w:cs="Arial" w:eastAsia="Arial" w:hAnsi="Arial"/>
                <w:sz w:val="17"/>
                <w:szCs w:val="17"/>
                <w:b w:val="1"/>
                <w:bCs w:val="1"/>
                <w:color w:val="auto"/>
              </w:rPr>
              <w:t>LONG-TERM DEBT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9"/>
        </w:trPr>
        <w:tc>
          <w:tcPr>
            <w:tcW w:w="8500" w:type="dxa"/>
            <w:vAlign w:val="bottom"/>
            <w:gridSpan w:val="2"/>
          </w:tcPr>
          <w:p>
            <w:pPr>
              <w:spacing w:after="0"/>
              <w:rPr>
                <w:sz w:val="20"/>
                <w:szCs w:val="20"/>
                <w:color w:val="auto"/>
              </w:rPr>
            </w:pPr>
            <w:r>
              <w:rPr>
                <w:rFonts w:ascii="Arial" w:cs="Arial" w:eastAsia="Arial" w:hAnsi="Arial"/>
                <w:sz w:val="17"/>
                <w:szCs w:val="17"/>
                <w:color w:val="auto"/>
              </w:rPr>
              <w:t>Long-term debt as of December 31, 2017 and 2016 consists of the following:</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i w:val="1"/>
                <w:iCs w:val="1"/>
                <w:color w:val="auto"/>
              </w:rPr>
              <w:t>(in thousands)</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77"/>
        </w:trPr>
        <w:tc>
          <w:tcPr>
            <w:tcW w:w="850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w w:val="98"/>
              </w:rPr>
              <w:t>Term Loan - Senior, matures January 3, 2023 and bears interest at LIBOR plus 6% for 2017 (Actual rate of 7.4% at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2"/>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2017)</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198,000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500" w:type="dxa"/>
            <w:vAlign w:val="bottom"/>
            <w:gridSpan w:val="2"/>
          </w:tcPr>
          <w:p>
            <w:pPr>
              <w:spacing w:after="0"/>
              <w:rPr>
                <w:sz w:val="20"/>
                <w:szCs w:val="20"/>
                <w:color w:val="auto"/>
              </w:rPr>
            </w:pPr>
            <w:r>
              <w:rPr>
                <w:rFonts w:ascii="Arial" w:cs="Arial" w:eastAsia="Arial" w:hAnsi="Arial"/>
                <w:sz w:val="17"/>
                <w:szCs w:val="17"/>
                <w:color w:val="auto"/>
                <w:w w:val="94"/>
              </w:rPr>
              <w:t>Term Loan - Subordinated, matures July 3, 2023 and bears interest at 5% plus payment-in-kind interest for 2017 (Actual</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8500" w:type="dxa"/>
            <w:vAlign w:val="bottom"/>
            <w:gridSpan w:val="2"/>
          </w:tcPr>
          <w:p>
            <w:pPr>
              <w:spacing w:after="0"/>
              <w:rPr>
                <w:sz w:val="20"/>
                <w:szCs w:val="20"/>
                <w:color w:val="auto"/>
              </w:rPr>
            </w:pPr>
            <w:r>
              <w:rPr>
                <w:rFonts w:ascii="Arial" w:cs="Arial" w:eastAsia="Arial" w:hAnsi="Arial"/>
                <w:sz w:val="17"/>
                <w:szCs w:val="17"/>
                <w:color w:val="auto"/>
              </w:rPr>
              <w:t>rate of 11.3% at December 31, 2017)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85,118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7"/>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4"/>
              </w:rPr>
              <w:t>Note payable - Term Loan, matures May 21, 2019 and bears interest at Libor plus 3.8% for 2016 (Actual rate of 4.4% at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2"/>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55,000</w:t>
            </w:r>
          </w:p>
        </w:tc>
      </w:tr>
      <w:tr>
        <w:trPr>
          <w:trHeight w:val="197"/>
        </w:trPr>
        <w:tc>
          <w:tcPr>
            <w:tcW w:w="8500" w:type="dxa"/>
            <w:vAlign w:val="bottom"/>
            <w:gridSpan w:val="2"/>
          </w:tcPr>
          <w:p>
            <w:pPr>
              <w:spacing w:after="0"/>
              <w:rPr>
                <w:sz w:val="20"/>
                <w:szCs w:val="20"/>
                <w:color w:val="auto"/>
              </w:rPr>
            </w:pPr>
            <w:r>
              <w:rPr>
                <w:rFonts w:ascii="Arial" w:cs="Arial" w:eastAsia="Arial" w:hAnsi="Arial"/>
                <w:sz w:val="17"/>
                <w:szCs w:val="17"/>
                <w:color w:val="auto"/>
                <w:w w:val="98"/>
              </w:rPr>
              <w:t>Note payable - MDTL, matures May 21, 2019 and bears interest at Libor plus 3.8% for 2016 (Actual rate of 4.4% at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8500" w:type="dxa"/>
            <w:vAlign w:val="bottom"/>
            <w:gridSpan w:val="2"/>
          </w:tcPr>
          <w:p>
            <w:pPr>
              <w:spacing w:after="0"/>
              <w:rPr>
                <w:sz w:val="20"/>
                <w:szCs w:val="20"/>
                <w:color w:val="auto"/>
              </w:rPr>
            </w:pPr>
            <w:r>
              <w:rPr>
                <w:rFonts w:ascii="Arial" w:cs="Arial" w:eastAsia="Arial" w:hAnsi="Arial"/>
                <w:sz w:val="17"/>
                <w:szCs w:val="17"/>
                <w:color w:val="auto"/>
              </w:rPr>
              <w:t>December 31, 2016)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33,696</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Debt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88,696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8500" w:type="dxa"/>
            <w:vAlign w:val="bottom"/>
            <w:gridSpan w:val="2"/>
          </w:tcPr>
          <w:p>
            <w:pPr>
              <w:spacing w:after="0"/>
              <w:rPr>
                <w:sz w:val="20"/>
                <w:szCs w:val="20"/>
                <w:color w:val="auto"/>
              </w:rPr>
            </w:pPr>
            <w:r>
              <w:rPr>
                <w:rFonts w:ascii="Arial" w:cs="Arial" w:eastAsia="Arial" w:hAnsi="Arial"/>
                <w:sz w:val="17"/>
                <w:szCs w:val="17"/>
                <w:color w:val="auto"/>
              </w:rPr>
              <w:t>Less: current portion of long-term debt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(7,582)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9"/>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unamortized debt discounts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(654)</w:t>
            </w:r>
          </w:p>
        </w:tc>
      </w:tr>
      <w:tr>
        <w:trPr>
          <w:trHeight w:val="222"/>
        </w:trPr>
        <w:tc>
          <w:tcPr>
            <w:tcW w:w="8500" w:type="dxa"/>
            <w:vAlign w:val="bottom"/>
            <w:gridSpan w:val="2"/>
          </w:tcPr>
          <w:p>
            <w:pPr>
              <w:spacing w:after="0"/>
              <w:rPr>
                <w:sz w:val="20"/>
                <w:szCs w:val="20"/>
                <w:color w:val="auto"/>
              </w:rPr>
            </w:pPr>
            <w:r>
              <w:rPr>
                <w:rFonts w:ascii="Arial" w:cs="Arial" w:eastAsia="Arial" w:hAnsi="Arial"/>
                <w:sz w:val="17"/>
                <w:szCs w:val="17"/>
                <w:color w:val="auto"/>
              </w:rPr>
              <w:t>Less: deferred financing costs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(948)</w:t>
            </w:r>
          </w:p>
        </w:tc>
      </w:tr>
      <w:tr>
        <w:trPr>
          <w:trHeight w:val="215"/>
        </w:trPr>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long-term debt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267,939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Debt Restructuring</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2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On January 18, 2018, the Company amended the Credit Agreement. Refer to Note 18 - Subsequent Events.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Principal contractual maturities on the Company’s long-term debt as of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Year ending December 31,</w:t>
            </w: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Maturities</w:t>
            </w:r>
          </w:p>
        </w:tc>
      </w:tr>
      <w:tr>
        <w:trPr>
          <w:trHeight w:val="203"/>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tcPr>
          <w:p>
            <w:pPr>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r>
      <w:tr>
        <w:trPr>
          <w:trHeight w:val="209"/>
        </w:trPr>
        <w:tc>
          <w:tcPr>
            <w:tcW w:w="32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267,536</w:t>
            </w:r>
          </w:p>
        </w:tc>
      </w:tr>
      <w:tr>
        <w:trPr>
          <w:trHeight w:val="202"/>
        </w:trPr>
        <w:tc>
          <w:tcPr>
            <w:tcW w:w="3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shares.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2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4" w:name="page175"/>
    <w:bookmarkEnd w:id="174"/>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As part of the 2017 debt restructuring, the 1.0% warrant was extinguished and the Company issued new warrants to GS to purchase 1.8% of the Company’s outstanding Class A common shares.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commitments under non-cancelable operating leases with initial or remaining terms in excess of one year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00" w:type="dxa"/>
            <w:vAlign w:val="bottom"/>
            <w:gridSpan w:val="2"/>
            <w:vMerge w:val="restart"/>
          </w:tcPr>
          <w:p>
            <w:pPr>
              <w:ind w:left="400"/>
              <w:spacing w:after="0"/>
              <w:rPr>
                <w:sz w:val="20"/>
                <w:szCs w:val="20"/>
                <w:color w:val="auto"/>
              </w:rPr>
            </w:pPr>
            <w:r>
              <w:rPr>
                <w:rFonts w:ascii="Arial" w:cs="Arial" w:eastAsia="Arial" w:hAnsi="Arial"/>
                <w:sz w:val="17"/>
                <w:szCs w:val="17"/>
                <w:b w:val="1"/>
                <w:bCs w:val="1"/>
                <w:color w:val="auto"/>
              </w:rPr>
              <w:t>Years ending December 31,</w:t>
            </w:r>
          </w:p>
        </w:tc>
        <w:tc>
          <w:tcPr>
            <w:tcW w:w="1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i w:val="1"/>
                <w:iCs w:val="1"/>
                <w:color w:val="auto"/>
                <w:w w:val="88"/>
              </w:rPr>
              <w:t>Operating Leases</w:t>
            </w:r>
          </w:p>
        </w:tc>
        <w:tc>
          <w:tcPr>
            <w:tcW w:w="0" w:type="dxa"/>
            <w:vAlign w:val="bottom"/>
          </w:tcPr>
          <w:p>
            <w:pPr>
              <w:spacing w:after="0"/>
              <w:rPr>
                <w:sz w:val="1"/>
                <w:szCs w:val="1"/>
                <w:color w:val="auto"/>
              </w:rPr>
            </w:pPr>
          </w:p>
        </w:tc>
      </w:tr>
      <w:tr>
        <w:trPr>
          <w:trHeight w:val="222"/>
        </w:trPr>
        <w:tc>
          <w:tcPr>
            <w:tcW w:w="2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7"/>
                <w:szCs w:val="17"/>
                <w:i w:val="1"/>
                <w:iCs w:val="1"/>
                <w:color w:val="auto"/>
                <w:w w:val="92"/>
              </w:rPr>
              <w:t>(in thousands)</w:t>
            </w:r>
          </w:p>
        </w:tc>
        <w:tc>
          <w:tcPr>
            <w:tcW w:w="0" w:type="dxa"/>
            <w:vAlign w:val="bottom"/>
          </w:tcPr>
          <w:p>
            <w:pPr>
              <w:spacing w:after="0"/>
              <w:rPr>
                <w:sz w:val="1"/>
                <w:szCs w:val="1"/>
                <w:color w:val="auto"/>
              </w:rPr>
            </w:pPr>
          </w:p>
        </w:tc>
      </w:tr>
      <w:tr>
        <w:trPr>
          <w:trHeight w:val="203"/>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1,057</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841</w:t>
            </w:r>
          </w:p>
        </w:tc>
        <w:tc>
          <w:tcPr>
            <w:tcW w:w="0" w:type="dxa"/>
            <w:vAlign w:val="bottom"/>
          </w:tcPr>
          <w:p>
            <w:pPr>
              <w:spacing w:after="0"/>
              <w:rPr>
                <w:sz w:val="1"/>
                <w:szCs w:val="1"/>
                <w:color w:val="auto"/>
              </w:rPr>
            </w:pPr>
          </w:p>
        </w:tc>
      </w:tr>
      <w:tr>
        <w:trPr>
          <w:trHeight w:val="209"/>
        </w:trPr>
        <w:tc>
          <w:tcPr>
            <w:tcW w:w="2820" w:type="dxa"/>
            <w:vAlign w:val="bottom"/>
          </w:tcPr>
          <w:p>
            <w:pPr>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848</w:t>
            </w:r>
          </w:p>
        </w:tc>
        <w:tc>
          <w:tcPr>
            <w:tcW w:w="0" w:type="dxa"/>
            <w:vAlign w:val="bottom"/>
          </w:tcPr>
          <w:p>
            <w:pPr>
              <w:spacing w:after="0"/>
              <w:rPr>
                <w:sz w:val="1"/>
                <w:szCs w:val="1"/>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936</w:t>
            </w:r>
          </w:p>
        </w:tc>
        <w:tc>
          <w:tcPr>
            <w:tcW w:w="0" w:type="dxa"/>
            <w:vAlign w:val="bottom"/>
          </w:tcPr>
          <w:p>
            <w:pPr>
              <w:spacing w:after="0"/>
              <w:rPr>
                <w:sz w:val="1"/>
                <w:szCs w:val="1"/>
                <w:color w:val="auto"/>
              </w:rPr>
            </w:pPr>
          </w:p>
        </w:tc>
      </w:tr>
      <w:tr>
        <w:trPr>
          <w:trHeight w:val="209"/>
        </w:trPr>
        <w:tc>
          <w:tcPr>
            <w:tcW w:w="29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7"/>
                <w:szCs w:val="17"/>
                <w:color w:val="auto"/>
              </w:rPr>
              <w:t>4,869</w:t>
            </w:r>
          </w:p>
        </w:tc>
        <w:tc>
          <w:tcPr>
            <w:tcW w:w="0" w:type="dxa"/>
            <w:vAlign w:val="bottom"/>
          </w:tcPr>
          <w:p>
            <w:pPr>
              <w:spacing w:after="0"/>
              <w:rPr>
                <w:sz w:val="1"/>
                <w:szCs w:val="1"/>
                <w:color w:val="auto"/>
              </w:rPr>
            </w:pPr>
          </w:p>
        </w:tc>
      </w:tr>
      <w:tr>
        <w:trPr>
          <w:trHeight w:val="202"/>
        </w:trPr>
        <w:tc>
          <w:tcPr>
            <w:tcW w:w="28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5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 management services agreement and an annual bonus payout with PSD Partners, which is owned by a member of Priority Investment Holdings, LLC, which, until July 25, 2018, was a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EQUITY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disclosed in Note 1 – The Company and Basis of Presentation, on July 25, 2018, the Company accounted for a “reverse merger” between Priority and MI Acquisitions and the resulting Recapitalization.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and Preferred Stock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comparative periods prior to July 25, 2018, equity is presented based on the historical equity of the accounting acquirer (Priority) prior to the Recapitalization, retroactively restated to reflect the number of shares received as a result of the Recapitalization. MI Acquisitions’ equity-related activities are consolidated with Priority beginning on July 25, 2018.</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equity structure of the Company is as follows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60" w:type="dxa"/>
            <w:vAlign w:val="bottom"/>
          </w:tcPr>
          <w:p>
            <w:pPr>
              <w:spacing w:after="0"/>
              <w:rPr>
                <w:sz w:val="19"/>
                <w:szCs w:val="19"/>
                <w:color w:val="auto"/>
              </w:rPr>
            </w:pPr>
          </w:p>
        </w:tc>
        <w:tc>
          <w:tcPr>
            <w:tcW w:w="16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2017</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7"/>
                <w:szCs w:val="17"/>
                <w:b w:val="1"/>
                <w:bCs w:val="1"/>
                <w:color w:val="auto"/>
              </w:rPr>
              <w:t>2016</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168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rPr>
              <w:t>Authorized</w:t>
            </w:r>
          </w:p>
        </w:tc>
        <w:tc>
          <w:tcPr>
            <w:tcW w:w="1040" w:type="dxa"/>
            <w:vAlign w:val="bottom"/>
          </w:tcPr>
          <w:p>
            <w:pPr>
              <w:jc w:val="right"/>
              <w:ind w:right="313"/>
              <w:spacing w:after="0"/>
              <w:rPr>
                <w:sz w:val="20"/>
                <w:szCs w:val="20"/>
                <w:color w:val="auto"/>
              </w:rPr>
            </w:pPr>
            <w:r>
              <w:rPr>
                <w:rFonts w:ascii="Arial" w:cs="Arial" w:eastAsia="Arial" w:hAnsi="Arial"/>
                <w:sz w:val="17"/>
                <w:szCs w:val="17"/>
                <w:b w:val="1"/>
                <w:bCs w:val="1"/>
                <w:color w:val="auto"/>
              </w:rPr>
              <w:t>Issued</w:t>
            </w:r>
          </w:p>
        </w:tc>
        <w:tc>
          <w:tcPr>
            <w:tcW w:w="200" w:type="dxa"/>
            <w:vAlign w:val="bottom"/>
          </w:tcPr>
          <w:p>
            <w:pPr>
              <w:spacing w:after="0"/>
              <w:rPr>
                <w:sz w:val="18"/>
                <w:szCs w:val="18"/>
                <w:color w:val="auto"/>
              </w:rPr>
            </w:pPr>
          </w:p>
        </w:tc>
        <w:tc>
          <w:tcPr>
            <w:tcW w:w="172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rPr>
              <w:t>Authorized</w:t>
            </w:r>
          </w:p>
        </w:tc>
        <w:tc>
          <w:tcPr>
            <w:tcW w:w="1020" w:type="dxa"/>
            <w:vAlign w:val="bottom"/>
          </w:tcPr>
          <w:p>
            <w:pPr>
              <w:jc w:val="right"/>
              <w:ind w:right="293"/>
              <w:spacing w:after="0"/>
              <w:rPr>
                <w:sz w:val="20"/>
                <w:szCs w:val="20"/>
                <w:color w:val="auto"/>
              </w:rPr>
            </w:pPr>
            <w:r>
              <w:rPr>
                <w:rFonts w:ascii="Arial" w:cs="Arial" w:eastAsia="Arial" w:hAnsi="Arial"/>
                <w:sz w:val="17"/>
                <w:szCs w:val="17"/>
                <w:b w:val="1"/>
                <w:bCs w:val="1"/>
                <w:color w:val="auto"/>
              </w:rPr>
              <w:t>Issued</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2"/>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Shares, par value $0.001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73,110</w:t>
            </w:r>
          </w:p>
        </w:tc>
        <w:tc>
          <w:tcPr>
            <w:tcW w:w="2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1,000,000</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195,439</w:t>
            </w: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21"/>
        </w:trPr>
        <w:tc>
          <w:tcPr>
            <w:tcW w:w="3360" w:type="dxa"/>
            <w:vAlign w:val="bottom"/>
          </w:tcPr>
          <w:p>
            <w:pPr>
              <w:spacing w:after="0"/>
              <w:rPr>
                <w:sz w:val="20"/>
                <w:szCs w:val="20"/>
                <w:color w:val="auto"/>
              </w:rPr>
            </w:pPr>
            <w:r>
              <w:rPr>
                <w:rFonts w:ascii="Arial" w:cs="Arial" w:eastAsia="Arial" w:hAnsi="Arial"/>
                <w:sz w:val="17"/>
                <w:szCs w:val="17"/>
                <w:color w:val="auto"/>
              </w:rPr>
              <w:t>Preferred Shares</w:t>
            </w:r>
          </w:p>
        </w:tc>
        <w:tc>
          <w:tcPr>
            <w:tcW w:w="168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2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9"/>
                <w:szCs w:val="19"/>
                <w:color w:val="auto"/>
              </w:rPr>
            </w:pPr>
          </w:p>
        </w:tc>
      </w:tr>
      <w:tr>
        <w:trPr>
          <w:trHeight w:val="530"/>
        </w:trPr>
        <w:tc>
          <w:tcPr>
            <w:tcW w:w="3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F-53</w:t>
            </w: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76" w:name="page177"/>
    <w:bookmarkEnd w:id="176"/>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July 25, 2018 Business Combination and Recapitalization, the following occurred:</w:t>
      </w:r>
    </w:p>
    <w:p>
      <w:pPr>
        <w:spacing w:after="0" w:line="223" w:lineRule="exact"/>
        <w:rPr>
          <w:sz w:val="20"/>
          <w:szCs w:val="20"/>
          <w:color w:val="auto"/>
        </w:rPr>
      </w:pPr>
    </w:p>
    <w:p>
      <w:pPr>
        <w:jc w:val="both"/>
        <w:ind w:left="640" w:hanging="321"/>
        <w:spacing w:after="0" w:line="261"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exchange for the 4.6 million common units of Priority, 60.1 million common shares were issued in a private placement that resulted in Priority receiving approximately $49.4 million in cash. The 60.1 million shares excludes 0.5 million shares issued as partial consideration in two business acquisitions and includes 3.0 million shares issued in connection with a Priority equity incentive plan.</w:t>
      </w:r>
    </w:p>
    <w:p>
      <w:pPr>
        <w:spacing w:after="0" w:line="2"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 exchange for the publicly-traded shares of MI Acquisitions that originated from MI Acquisition’s 2016 IPO, approximately 4.9 million shares of common stock was issued through share conversion.</w:t>
      </w:r>
    </w:p>
    <w:p>
      <w:pPr>
        <w:spacing w:after="0" w:line="1" w:lineRule="exact"/>
        <w:rPr>
          <w:rFonts w:ascii="Arial" w:cs="Arial" w:eastAsia="Arial" w:hAnsi="Arial"/>
          <w:sz w:val="17"/>
          <w:szCs w:val="17"/>
          <w:color w:val="auto"/>
        </w:rPr>
      </w:pPr>
    </w:p>
    <w:p>
      <w:pPr>
        <w:ind w:left="640" w:hanging="321"/>
        <w:spacing w:after="0" w:line="256" w:lineRule="auto"/>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$2.1 million was paid to the MI Acquisition’s founding shareholders (the “MI Founders”) for 421,107 MI Acquisitions’ private placement units and 453,210 MI Acquisitions’ common shares held by MI Founders. Each unit consisted of one share and one warrant.</w:t>
      </w:r>
    </w:p>
    <w:p>
      <w:pPr>
        <w:spacing w:after="0" w:line="1" w:lineRule="exact"/>
        <w:rPr>
          <w:rFonts w:ascii="Arial" w:cs="Arial" w:eastAsia="Arial" w:hAnsi="Arial"/>
          <w:sz w:val="17"/>
          <w:szCs w:val="17"/>
          <w:color w:val="auto"/>
        </w:rPr>
      </w:pPr>
    </w:p>
    <w:p>
      <w:pPr>
        <w:ind w:left="640" w:hanging="321"/>
        <w:spacing w:after="0"/>
        <w:tabs>
          <w:tab w:leader="none" w:pos="6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MI Founders forfeited 174,863 of the founders’ common shares.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the holders of the Company’s common stock possess all voting power for the election of members of the Company’s board of directors and all other matters requiring stockholder action and will at all times vote together as one class on all matters submitted to a vote of the Company’s stockholders. Holders of the Company’s common stock are entitled to one vote per share on matters to be voted on by stockholders. Holders of the Company’s common stock will be entitled to receive such dividends and other distributions, if any, as may be declared from time to time by the Company’s board of directors in its discretion. The holders of the Company’s common stock have no conversion, preemptive or other subscription rights and there are no sinking fund or redemption provisions applicable to the common stock.</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is authorized to issue 100,000,000 shares of preferred stock with such designations, voting and other rights and preferences as may be determined from time to time by the board of directors. As of September 30, 2018, the Company has not issued any shares of preferred stock.</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Events for Priority Holdings, LLC that Concluded Prior to July 25, 2018 (not recasted for 2018 recapitalization)</w:t>
      </w:r>
    </w:p>
    <w:p>
      <w:pPr>
        <w:spacing w:after="0" w:line="214" w:lineRule="exact"/>
        <w:rPr>
          <w:sz w:val="20"/>
          <w:szCs w:val="20"/>
          <w:color w:val="auto"/>
        </w:rPr>
      </w:pPr>
    </w:p>
    <w:p>
      <w:pPr>
        <w:ind w:right="160"/>
        <w:spacing w:after="0" w:line="263" w:lineRule="auto"/>
        <w:rPr>
          <w:sz w:val="20"/>
          <w:szCs w:val="20"/>
          <w:color w:val="auto"/>
        </w:rPr>
      </w:pPr>
      <w:r>
        <w:rPr>
          <w:rFonts w:ascii="Arial" w:cs="Arial" w:eastAsia="Arial" w:hAnsi="Arial"/>
          <w:sz w:val="20"/>
          <w:szCs w:val="20"/>
          <w:color w:val="auto"/>
        </w:rPr>
        <w:t xml:space="preserve">On May 21, 2014, Priority Payment Systems Holdings, LLC </w:t>
      </w:r>
      <w:r>
        <w:rPr>
          <w:rFonts w:ascii="Arial" w:cs="Arial" w:eastAsia="Arial" w:hAnsi="Arial"/>
          <w:sz w:val="16"/>
          <w:szCs w:val="16"/>
          <w:color w:val="auto"/>
        </w:rPr>
        <w:t>entered into a definitive agreement to merge with Pipeline Cynergy Holdings, LLC</w:t>
      </w:r>
      <w:r>
        <w:rPr>
          <w:rFonts w:ascii="Arial" w:cs="Arial" w:eastAsia="Arial" w:hAnsi="Arial"/>
          <w:sz w:val="20"/>
          <w:szCs w:val="20"/>
          <w:color w:val="auto"/>
        </w:rPr>
        <w:t xml:space="preserve"> </w:t>
      </w:r>
      <w:r>
        <w:rPr>
          <w:rFonts w:ascii="Arial" w:cs="Arial" w:eastAsia="Arial" w:hAnsi="Arial"/>
          <w:sz w:val="16"/>
          <w:szCs w:val="16"/>
          <w:color w:val="auto"/>
        </w:rPr>
        <w:t>(“PCH”)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 holders in the form of 2,701,342 PH Class A Preferred units, 4,990,000 PH Class A Common units and 1,500,000 PH Class C Common units.</w:t>
      </w:r>
    </w:p>
    <w:p>
      <w:pPr>
        <w:spacing w:after="0" w:line="20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3, 2017, the Company used the proceeds from the 2017 debt restructuring (Refer to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7" w:name="page178"/>
    <w:bookmarkEnd w:id="177"/>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EMPLOYEE BENEFIT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sponsors a defined contribution plan that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INCENTIVE INTEREST PLAN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8" w:name="page179"/>
    <w:bookmarkEnd w:id="178"/>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Under the Plan, the majority of awards vest over the requisite service period or periods during which an employee is required to provide service. The units vested at a rate of 40% or 20% at September 21, 2016 and then vest evenly over the subsequent three to five years. Simultaneously with the July 25, 2018 Business Combination and Recapitalization, the Plan was assumed by the Company with no modifications to the Plan. The Company will continue to recognize compensation expense as unvested shares are earned by the active Plan participants. Approximately 3.0 million of the private placement common shares were issued on July 25, 2018 to the Plan for vested units and unvested shares of the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20"/>
                <w:szCs w:val="20"/>
                <w:color w:val="auto"/>
              </w:rPr>
            </w:pPr>
            <w:r>
              <w:rPr>
                <w:rFonts w:ascii="Arial" w:cs="Arial" w:eastAsia="Arial" w:hAnsi="Arial"/>
                <w:sz w:val="17"/>
                <w:szCs w:val="17"/>
                <w:color w:val="auto"/>
              </w:rPr>
              <w:t>A summary of the activity under the plan is presented below:</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6980" w:type="dxa"/>
            <w:vAlign w:val="bottom"/>
          </w:tcPr>
          <w:p>
            <w:pPr>
              <w:spacing w:after="0"/>
              <w:rPr>
                <w:sz w:val="24"/>
                <w:szCs w:val="24"/>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8"/>
              </w:rPr>
              <w:t>Shares Available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for Grant</w:t>
            </w:r>
          </w:p>
        </w:tc>
        <w:tc>
          <w:tcPr>
            <w:tcW w:w="16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Shares Granted</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148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7"/>
                <w:szCs w:val="17"/>
                <w:color w:val="auto"/>
                <w:w w:val="82"/>
              </w:rPr>
              <w:t>—</w:t>
            </w:r>
          </w:p>
        </w:tc>
        <w:tc>
          <w:tcPr>
            <w:tcW w:w="2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Shares authorized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7,201,742</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Shares granted during 2016</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(7,201,742)</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7,201,742</w:t>
            </w: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7"/>
                <w:szCs w:val="17"/>
                <w:color w:val="auto"/>
              </w:rPr>
              <w:t>Balance at December 31, 2016</w:t>
            </w:r>
          </w:p>
        </w:tc>
        <w:tc>
          <w:tcPr>
            <w:tcW w:w="1480" w:type="dxa"/>
            <w:vAlign w:val="bottom"/>
            <w:tcBorders>
              <w:top w:val="single" w:sz="8" w:color="auto"/>
            </w:tcBorders>
          </w:tcPr>
          <w:p>
            <w:pPr>
              <w:ind w:left="1320"/>
              <w:spacing w:after="0"/>
              <w:rPr>
                <w:sz w:val="20"/>
                <w:szCs w:val="20"/>
                <w:color w:val="auto"/>
              </w:rPr>
            </w:pPr>
            <w:r>
              <w:rPr>
                <w:rFonts w:ascii="Arial" w:cs="Arial" w:eastAsia="Arial" w:hAnsi="Arial"/>
                <w:sz w:val="17"/>
                <w:szCs w:val="17"/>
                <w:color w:val="auto"/>
                <w:w w:val="82"/>
              </w:rPr>
              <w:t>—</w:t>
            </w:r>
          </w:p>
        </w:tc>
        <w:tc>
          <w:tcPr>
            <w:tcW w:w="2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7,201,742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(3,421,571)</w:t>
            </w:r>
          </w:p>
        </w:tc>
        <w:tc>
          <w:tcPr>
            <w:tcW w:w="0" w:type="dxa"/>
            <w:vAlign w:val="bottom"/>
          </w:tcPr>
          <w:p>
            <w:pPr>
              <w:spacing w:after="0"/>
              <w:rPr>
                <w:sz w:val="1"/>
                <w:szCs w:val="1"/>
                <w:color w:val="auto"/>
              </w:rPr>
            </w:pPr>
          </w:p>
        </w:tc>
      </w:tr>
      <w:tr>
        <w:trPr>
          <w:trHeight w:val="222"/>
        </w:trPr>
        <w:tc>
          <w:tcPr>
            <w:tcW w:w="6980" w:type="dxa"/>
            <w:vAlign w:val="bottom"/>
          </w:tcPr>
          <w:p>
            <w:pPr>
              <w:ind w:left="360"/>
              <w:spacing w:after="0"/>
              <w:rPr>
                <w:sz w:val="20"/>
                <w:szCs w:val="20"/>
                <w:color w:val="auto"/>
              </w:rPr>
            </w:pPr>
            <w:r>
              <w:rPr>
                <w:rFonts w:ascii="Arial" w:cs="Arial" w:eastAsia="Arial" w:hAnsi="Arial"/>
                <w:sz w:val="17"/>
                <w:szCs w:val="17"/>
                <w:color w:val="auto"/>
              </w:rPr>
              <w:t>Shares forfeited during 2017</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378,017</w:t>
            </w: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(378,017)</w:t>
            </w:r>
          </w:p>
        </w:tc>
        <w:tc>
          <w:tcPr>
            <w:tcW w:w="0" w:type="dxa"/>
            <w:vAlign w:val="bottom"/>
          </w:tcPr>
          <w:p>
            <w:pPr>
              <w:spacing w:after="0"/>
              <w:rPr>
                <w:sz w:val="1"/>
                <w:szCs w:val="1"/>
                <w:color w:val="auto"/>
              </w:rPr>
            </w:pPr>
          </w:p>
        </w:tc>
      </w:tr>
      <w:tr>
        <w:trPr>
          <w:trHeight w:val="20"/>
        </w:trPr>
        <w:tc>
          <w:tcPr>
            <w:tcW w:w="69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vMerge w:val="continue"/>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378,017</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3,402,154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Grant-</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5"/>
              </w:rPr>
              <w:t>Number of Shares</w:t>
            </w:r>
          </w:p>
        </w:tc>
        <w:tc>
          <w:tcPr>
            <w:tcW w:w="12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shares at December 31, 2015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980" w:type="dxa"/>
            <w:vAlign w:val="bottom"/>
          </w:tcPr>
          <w:p>
            <w:pPr>
              <w:ind w:left="320"/>
              <w:spacing w:after="0"/>
              <w:rPr>
                <w:sz w:val="20"/>
                <w:szCs w:val="20"/>
                <w:color w:val="auto"/>
              </w:rPr>
            </w:pPr>
            <w:r>
              <w:rPr>
                <w:rFonts w:ascii="Arial" w:cs="Arial" w:eastAsia="Arial" w:hAnsi="Arial"/>
                <w:sz w:val="17"/>
                <w:szCs w:val="17"/>
                <w:color w:val="auto"/>
              </w:rPr>
              <w:t>Vested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2,081,305</w:t>
            </w:r>
          </w:p>
        </w:tc>
        <w:tc>
          <w:tcPr>
            <w:tcW w:w="12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shares at December 31, 2016</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2,081,305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2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(988,831)</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Vested during 2017</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982,851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Vested shares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2,075,325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Weighted-Average</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Grant-</w:t>
            </w:r>
          </w:p>
        </w:tc>
        <w:tc>
          <w:tcPr>
            <w:tcW w:w="0" w:type="dxa"/>
            <w:vAlign w:val="bottom"/>
          </w:tcPr>
          <w:p>
            <w:pPr>
              <w:spacing w:after="0"/>
              <w:rPr>
                <w:sz w:val="1"/>
                <w:szCs w:val="1"/>
                <w:color w:val="auto"/>
              </w:rPr>
            </w:pPr>
          </w:p>
        </w:tc>
      </w:tr>
      <w:tr>
        <w:trPr>
          <w:trHeight w:val="228"/>
        </w:trPr>
        <w:tc>
          <w:tcPr>
            <w:tcW w:w="6980" w:type="dxa"/>
            <w:vAlign w:val="bottom"/>
          </w:tcPr>
          <w:p>
            <w:pPr>
              <w:spacing w:after="0"/>
              <w:rPr>
                <w:sz w:val="19"/>
                <w:szCs w:val="19"/>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5"/>
              </w:rPr>
              <w:t>Number of Shares</w:t>
            </w:r>
          </w:p>
        </w:tc>
        <w:tc>
          <w:tcPr>
            <w:tcW w:w="120" w:type="dxa"/>
            <w:vAlign w:val="bottom"/>
          </w:tcPr>
          <w:p>
            <w:pPr>
              <w:spacing w:after="0"/>
              <w:rPr>
                <w:sz w:val="19"/>
                <w:szCs w:val="19"/>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4"/>
              </w:rPr>
              <w:t>Date Fair Value</w:t>
            </w:r>
          </w:p>
        </w:tc>
        <w:tc>
          <w:tcPr>
            <w:tcW w:w="0" w:type="dxa"/>
            <w:vAlign w:val="bottom"/>
          </w:tcPr>
          <w:p>
            <w:pPr>
              <w:spacing w:after="0"/>
              <w:rPr>
                <w:sz w:val="1"/>
                <w:szCs w:val="1"/>
                <w:color w:val="auto"/>
              </w:rPr>
            </w:pPr>
          </w:p>
        </w:tc>
      </w:tr>
      <w:tr>
        <w:trPr>
          <w:trHeight w:val="203"/>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shares at December 31, 2015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Issued during 2016</w:t>
            </w: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7,201,742</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Vested during 2016</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(2,081,305)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980" w:type="dxa"/>
            <w:vAlign w:val="bottom"/>
          </w:tcPr>
          <w:p>
            <w:pPr>
              <w:spacing w:after="0"/>
              <w:rPr>
                <w:sz w:val="20"/>
                <w:szCs w:val="20"/>
                <w:color w:val="auto"/>
              </w:rPr>
            </w:pPr>
            <w:r>
              <w:rPr>
                <w:rFonts w:ascii="Arial" w:cs="Arial" w:eastAsia="Arial" w:hAnsi="Arial"/>
                <w:sz w:val="17"/>
                <w:szCs w:val="17"/>
                <w:color w:val="auto"/>
              </w:rPr>
              <w:t>Non-vested shares at December 31, 2016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5,120,437</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 rata adjustment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(2,432,740)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ind w:left="360"/>
              <w:spacing w:after="0"/>
              <w:rPr>
                <w:sz w:val="20"/>
                <w:szCs w:val="20"/>
                <w:color w:val="auto"/>
              </w:rPr>
            </w:pPr>
            <w:r>
              <w:rPr>
                <w:rFonts w:ascii="Arial" w:cs="Arial" w:eastAsia="Arial" w:hAnsi="Arial"/>
                <w:sz w:val="17"/>
                <w:szCs w:val="17"/>
                <w:color w:val="auto"/>
              </w:rPr>
              <w:t>Vested during 2017</w:t>
            </w:r>
          </w:p>
        </w:tc>
        <w:tc>
          <w:tcPr>
            <w:tcW w:w="1700" w:type="dxa"/>
            <w:vAlign w:val="bottom"/>
            <w:gridSpan w:val="2"/>
          </w:tcPr>
          <w:p>
            <w:pPr>
              <w:jc w:val="right"/>
              <w:ind w:right="160"/>
              <w:spacing w:after="0"/>
              <w:rPr>
                <w:sz w:val="20"/>
                <w:szCs w:val="20"/>
                <w:color w:val="auto"/>
              </w:rPr>
            </w:pPr>
            <w:r>
              <w:rPr>
                <w:rFonts w:ascii="Arial" w:cs="Arial" w:eastAsia="Arial" w:hAnsi="Arial"/>
                <w:sz w:val="17"/>
                <w:szCs w:val="17"/>
                <w:color w:val="auto"/>
              </w:rPr>
              <w:t>(982,851)</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Forfeited during 2017</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(378,017)</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Non-vested shares at December 31, 2017</w:t>
            </w: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7"/>
                <w:szCs w:val="17"/>
                <w:color w:val="auto"/>
              </w:rPr>
              <w:t>1,326,828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Equity-based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shares granted under the plan. Under the plan there is no stated exercise price per share.</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shares and preferred shares as call options on the equity value of the subject company, with exercise prices based on the liquidation preference of the common and preferred shares. The common and preferred shares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share price. The option-pricing method has commonly used the Black-Scholes model to price these call options. Key inputs utilized in the method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40" w:type="dxa"/>
            <w:vAlign w:val="bottom"/>
          </w:tcPr>
          <w:p>
            <w:pPr>
              <w:spacing w:after="0"/>
              <w:rPr>
                <w:sz w:val="18"/>
                <w:szCs w:val="18"/>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Grant Date –</w:t>
            </w:r>
          </w:p>
        </w:tc>
      </w:tr>
      <w:tr>
        <w:trPr>
          <w:trHeight w:val="228"/>
        </w:trPr>
        <w:tc>
          <w:tcPr>
            <w:tcW w:w="49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September 2016</w:t>
            </w:r>
          </w:p>
        </w:tc>
        <w:tc>
          <w:tcPr>
            <w:tcW w:w="200" w:type="dxa"/>
            <w:vAlign w:val="bottom"/>
            <w:tcBorders>
              <w:bottom w:val="single" w:sz="8" w:color="CCEEFF"/>
            </w:tcBorders>
          </w:tcPr>
          <w:p>
            <w:pPr>
              <w:spacing w:after="0"/>
              <w:rPr>
                <w:sz w:val="19"/>
                <w:szCs w:val="19"/>
                <w:color w:val="auto"/>
              </w:rPr>
            </w:pPr>
          </w:p>
        </w:tc>
      </w:tr>
      <w:tr>
        <w:trPr>
          <w:trHeight w:val="203"/>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0.90%</w:t>
            </w:r>
          </w:p>
        </w:tc>
      </w:tr>
      <w:tr>
        <w:trPr>
          <w:trHeight w:val="209"/>
        </w:trPr>
        <w:tc>
          <w:tcPr>
            <w:tcW w:w="4940" w:type="dxa"/>
            <w:vAlign w:val="bottom"/>
          </w:tcPr>
          <w:p>
            <w:pPr>
              <w:spacing w:after="0"/>
              <w:rPr>
                <w:sz w:val="20"/>
                <w:szCs w:val="20"/>
                <w:color w:val="auto"/>
              </w:rPr>
            </w:pPr>
            <w:r>
              <w:rPr>
                <w:rFonts w:ascii="Arial" w:cs="Arial" w:eastAsia="Arial" w:hAnsi="Arial"/>
                <w:sz w:val="17"/>
                <w:szCs w:val="17"/>
                <w:color w:val="auto"/>
              </w:rPr>
              <w:t>Dividend yield</w:t>
            </w:r>
          </w:p>
        </w:tc>
        <w:tc>
          <w:tcPr>
            <w:tcW w:w="1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30.0%</w:t>
            </w:r>
          </w:p>
        </w:tc>
      </w:tr>
      <w:tr>
        <w:trPr>
          <w:trHeight w:val="221"/>
        </w:trPr>
        <w:tc>
          <w:tcPr>
            <w:tcW w:w="49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700" w:type="dxa"/>
            <w:vAlign w:val="bottom"/>
          </w:tcPr>
          <w:p>
            <w:pPr>
              <w:jc w:val="right"/>
              <w:spacing w:after="0"/>
              <w:rPr>
                <w:sz w:val="20"/>
                <w:szCs w:val="20"/>
                <w:color w:val="auto"/>
              </w:rPr>
            </w:pPr>
            <w:r>
              <w:rPr>
                <w:rFonts w:ascii="Arial" w:cs="Arial" w:eastAsia="Arial" w:hAnsi="Arial"/>
                <w:sz w:val="17"/>
                <w:szCs w:val="17"/>
                <w:color w:val="auto"/>
              </w:rPr>
              <w:t>2.8</w:t>
            </w:r>
          </w:p>
        </w:tc>
        <w:tc>
          <w:tcPr>
            <w:tcW w:w="200" w:type="dxa"/>
            <w:vAlign w:val="bottom"/>
          </w:tcPr>
          <w:p>
            <w:pPr>
              <w:spacing w:after="0"/>
              <w:rPr>
                <w:sz w:val="19"/>
                <w:szCs w:val="19"/>
                <w:color w:val="auto"/>
              </w:rPr>
            </w:pPr>
          </w:p>
        </w:tc>
      </w:tr>
    </w:tbl>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Risk-free interest rate — The risk-free rate for shares granted during the period was determined by using a zero-coupon U.S. Treasury rate for the periods that coincided with the expected terms listed above.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Expected dividend yield — No routine dividends are currently being paid, or are expected to be paid in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Expected volatility — The expected volatility is based on the historical volatilities of a group of guideline public companies.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Expected term—estimated time to a liquidity event.</w:t>
      </w:r>
    </w:p>
    <w:p>
      <w:pPr>
        <w:spacing w:after="0" w:line="3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0" w:name="page181"/>
    <w:bookmarkEnd w:id="180"/>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methodology used for the warrant and contingent consideration which are recorded at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shares representing a 1% interest. In January 2017, these warrants were cancelled and replaced by the issuance of warrants to purchase Class A Common shares representing 1.8% of the outstanding Class A Common shares of the Company. Refer to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Contingent Consideration – Preferred A Shares Earnout</w:t>
      </w:r>
    </w:p>
    <w:p>
      <w:pPr>
        <w:spacing w:after="0" w:line="2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shares. As such, the Company classifies the contingent consideration subjected to recurring fair value measurement as Level 3.</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color w:val="auto"/>
        </w:rPr>
        <w:t>The table below presents the recorded amount of the warrants and contingent consideration classified as liabilities measured at fair value on a recurring basis as of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Arial" w:cs="Arial" w:eastAsia="Arial" w:hAnsi="Arial"/>
                <w:sz w:val="17"/>
                <w:szCs w:val="17"/>
                <w:i w:val="1"/>
                <w:iCs w:val="1"/>
                <w:color w:val="auto"/>
              </w:rPr>
              <w:t>(in thousands)</w:t>
            </w:r>
          </w:p>
        </w:tc>
        <w:tc>
          <w:tcPr>
            <w:tcW w:w="24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Level 1</w:t>
            </w:r>
          </w:p>
        </w:tc>
        <w:tc>
          <w:tcPr>
            <w:tcW w:w="1020" w:type="dxa"/>
            <w:vAlign w:val="bottom"/>
          </w:tcPr>
          <w:p>
            <w:pPr>
              <w:jc w:val="right"/>
              <w:ind w:right="13"/>
              <w:spacing w:after="0"/>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3</w:t>
            </w:r>
          </w:p>
        </w:tc>
        <w:tc>
          <w:tcPr>
            <w:tcW w:w="28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Total</w:t>
            </w:r>
          </w:p>
        </w:tc>
      </w:tr>
      <w:tr>
        <w:trPr>
          <w:trHeight w:val="203"/>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2017</w:t>
            </w:r>
          </w:p>
        </w:tc>
        <w:tc>
          <w:tcPr>
            <w:tcW w:w="2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3320" w:type="dxa"/>
            <w:vAlign w:val="bottom"/>
          </w:tcPr>
          <w:p>
            <w:pPr>
              <w:ind w:left="180"/>
              <w:spacing w:after="0"/>
              <w:rPr>
                <w:sz w:val="20"/>
                <w:szCs w:val="20"/>
                <w:color w:val="auto"/>
              </w:rPr>
            </w:pPr>
            <w:r>
              <w:rPr>
                <w:rFonts w:ascii="Arial" w:cs="Arial" w:eastAsia="Arial" w:hAnsi="Arial"/>
                <w:sz w:val="17"/>
                <w:szCs w:val="17"/>
                <w:color w:val="auto"/>
              </w:rPr>
              <w:t>Warrant liability</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8,701</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8,701</w:t>
            </w: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Contingent consideration</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20"/>
        </w:trPr>
        <w:tc>
          <w:tcPr>
            <w:tcW w:w="3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5"/>
        </w:trPr>
        <w:tc>
          <w:tcPr>
            <w:tcW w:w="33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3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7"/>
                <w:szCs w:val="17"/>
                <w:color w:val="auto"/>
              </w:rPr>
              <w:t>8,701</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8,701</w:t>
            </w:r>
          </w:p>
        </w:tc>
      </w:tr>
      <w:tr>
        <w:trPr>
          <w:trHeight w:val="189"/>
        </w:trPr>
        <w:tc>
          <w:tcPr>
            <w:tcW w:w="3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5797550" cy="4483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797550" cy="4483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3</w:t>
            </w:r>
          </w:p>
        </w:tc>
        <w:tc>
          <w:tcPr>
            <w:tcW w:w="3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w:t>
            </w:r>
          </w:p>
        </w:tc>
        <w:tc>
          <w:tcPr>
            <w:tcW w:w="2280" w:type="dxa"/>
            <w:vAlign w:val="bottom"/>
          </w:tcPr>
          <w:p>
            <w:pPr>
              <w:spacing w:after="0"/>
              <w:rPr>
                <w:sz w:val="19"/>
                <w:szCs w:val="19"/>
                <w:color w:val="auto"/>
              </w:rPr>
            </w:pPr>
          </w:p>
        </w:tc>
      </w:tr>
      <w:tr>
        <w:trPr>
          <w:trHeight w:val="202"/>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2016</w:t>
            </w: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80" w:type="dxa"/>
            <w:vAlign w:val="bottom"/>
          </w:tcPr>
          <w:p>
            <w:pPr>
              <w:spacing w:after="0"/>
              <w:rPr>
                <w:sz w:val="17"/>
                <w:szCs w:val="17"/>
                <w:color w:val="auto"/>
              </w:rPr>
            </w:pPr>
          </w:p>
        </w:tc>
      </w:tr>
      <w:tr>
        <w:trPr>
          <w:trHeight w:val="209"/>
        </w:trPr>
        <w:tc>
          <w:tcPr>
            <w:tcW w:w="3320" w:type="dxa"/>
            <w:vAlign w:val="bottom"/>
          </w:tcPr>
          <w:p>
            <w:pPr>
              <w:ind w:left="180"/>
              <w:spacing w:after="0"/>
              <w:rPr>
                <w:sz w:val="20"/>
                <w:szCs w:val="20"/>
                <w:color w:val="auto"/>
              </w:rPr>
            </w:pPr>
            <w:r>
              <w:rPr>
                <w:rFonts w:ascii="Arial" w:cs="Arial" w:eastAsia="Arial" w:hAnsi="Arial"/>
                <w:sz w:val="17"/>
                <w:szCs w:val="17"/>
                <w:color w:val="auto"/>
              </w:rPr>
              <w:t>Warrant liability</w:t>
            </w: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4,353</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4,353</w:t>
            </w:r>
          </w:p>
        </w:tc>
        <w:tc>
          <w:tcPr>
            <w:tcW w:w="2280" w:type="dxa"/>
            <w:vAlign w:val="bottom"/>
          </w:tcPr>
          <w:p>
            <w:pPr>
              <w:spacing w:after="0"/>
              <w:rPr>
                <w:sz w:val="18"/>
                <w:szCs w:val="18"/>
                <w:color w:val="auto"/>
              </w:rPr>
            </w:pPr>
          </w:p>
        </w:tc>
      </w:tr>
      <w:tr>
        <w:trPr>
          <w:trHeight w:val="222"/>
        </w:trPr>
        <w:tc>
          <w:tcPr>
            <w:tcW w:w="3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Contingent consideration</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4,222</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4,222</w:t>
            </w:r>
          </w:p>
        </w:tc>
        <w:tc>
          <w:tcPr>
            <w:tcW w:w="228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5"/>
        </w:trPr>
        <w:tc>
          <w:tcPr>
            <w:tcW w:w="3320" w:type="dxa"/>
            <w:vAlign w:val="bottom"/>
          </w:tcPr>
          <w:p>
            <w:pPr>
              <w:spacing w:after="0"/>
              <w:rPr>
                <w:sz w:val="18"/>
                <w:szCs w:val="18"/>
                <w:color w:val="auto"/>
              </w:rPr>
            </w:pPr>
          </w:p>
        </w:tc>
        <w:tc>
          <w:tcPr>
            <w:tcW w:w="1020" w:type="dxa"/>
            <w:vAlign w:val="bottom"/>
          </w:tcPr>
          <w:p>
            <w:pPr>
              <w:jc w:val="right"/>
              <w:ind w:right="83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8,575</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8,575</w:t>
            </w:r>
          </w:p>
        </w:tc>
        <w:tc>
          <w:tcPr>
            <w:tcW w:w="2280" w:type="dxa"/>
            <w:vAlign w:val="bottom"/>
          </w:tcPr>
          <w:p>
            <w:pPr>
              <w:spacing w:after="0"/>
              <w:rPr>
                <w:sz w:val="18"/>
                <w:szCs w:val="18"/>
                <w:color w:val="auto"/>
              </w:rPr>
            </w:pPr>
          </w:p>
        </w:tc>
      </w:tr>
      <w:tr>
        <w:trPr>
          <w:trHeight w:val="20"/>
        </w:trPr>
        <w:tc>
          <w:tcPr>
            <w:tcW w:w="3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522"/>
        </w:trPr>
        <w:tc>
          <w:tcPr>
            <w:tcW w:w="3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500"/>
              <w:spacing w:after="0"/>
              <w:rPr>
                <w:sz w:val="20"/>
                <w:szCs w:val="20"/>
                <w:color w:val="auto"/>
              </w:rPr>
            </w:pPr>
            <w:r>
              <w:rPr>
                <w:rFonts w:ascii="Arial" w:cs="Arial" w:eastAsia="Arial" w:hAnsi="Arial"/>
                <w:sz w:val="17"/>
                <w:szCs w:val="17"/>
                <w:color w:val="auto"/>
              </w:rPr>
              <w:t>F-58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5" w:right="239" w:bottom="1440" w:gutter="0" w:footer="0" w:header="0"/>
        </w:sectPr>
      </w:pPr>
    </w:p>
    <w:bookmarkStart w:id="181" w:name="page182"/>
    <w:bookmarkEnd w:id="181"/>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Contingent</w:t>
            </w:r>
          </w:p>
        </w:tc>
      </w:tr>
      <w:tr>
        <w:trPr>
          <w:trHeight w:val="228"/>
        </w:trPr>
        <w:tc>
          <w:tcPr>
            <w:tcW w:w="5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7"/>
                <w:szCs w:val="17"/>
                <w:b w:val="1"/>
                <w:bCs w:val="1"/>
                <w:color w:val="auto"/>
              </w:rPr>
              <w:t>Warrant Liability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6"/>
              </w:rPr>
              <w:t>Consideration</w:t>
            </w:r>
          </w:p>
        </w:tc>
      </w:tr>
      <w:tr>
        <w:trPr>
          <w:trHeight w:val="20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2014</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Additional contingent consideration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900</w:t>
            </w: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(575)</w:t>
            </w:r>
          </w:p>
        </w:tc>
      </w:tr>
      <w:tr>
        <w:trPr>
          <w:trHeight w:val="202"/>
        </w:trPr>
        <w:tc>
          <w:tcPr>
            <w:tcW w:w="5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December 31, 2015</w:t>
            </w:r>
          </w:p>
        </w:tc>
        <w:tc>
          <w:tcPr>
            <w:tcW w:w="5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3,149</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6,887</w:t>
            </w:r>
          </w:p>
        </w:tc>
        <w:tc>
          <w:tcPr>
            <w:tcW w:w="120" w:type="dxa"/>
            <w:vAlign w:val="bottom"/>
            <w:tcBorders>
              <w:bottom w:val="single" w:sz="8" w:color="CCEEFF"/>
            </w:tcBorders>
          </w:tcPr>
          <w:p>
            <w:pPr>
              <w:spacing w:after="0"/>
              <w:rPr>
                <w:sz w:val="17"/>
                <w:szCs w:val="17"/>
                <w:color w:val="auto"/>
              </w:rPr>
            </w:pPr>
          </w:p>
        </w:tc>
      </w:tr>
      <w:tr>
        <w:trPr>
          <w:trHeight w:val="202"/>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w:t>
            </w:r>
          </w:p>
        </w:tc>
        <w:tc>
          <w:tcPr>
            <w:tcW w:w="120" w:type="dxa"/>
            <w:vAlign w:val="bottom"/>
            <w:shd w:val="clear" w:color="auto" w:fill="CCEEFF"/>
          </w:tcPr>
          <w:p>
            <w:pPr>
              <w:spacing w:after="0"/>
              <w:rPr>
                <w:sz w:val="17"/>
                <w:szCs w:val="17"/>
                <w:color w:val="auto"/>
              </w:rPr>
            </w:pPr>
          </w:p>
        </w:tc>
      </w:tr>
      <w:tr>
        <w:trPr>
          <w:trHeight w:val="202"/>
        </w:trPr>
        <w:tc>
          <w:tcPr>
            <w:tcW w:w="52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December 31, 2016</w:t>
            </w:r>
          </w:p>
        </w:tc>
        <w:tc>
          <w:tcPr>
            <w:tcW w:w="5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4,353</w:t>
            </w: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4,222</w:t>
            </w:r>
          </w:p>
        </w:tc>
        <w:tc>
          <w:tcPr>
            <w:tcW w:w="120" w:type="dxa"/>
            <w:vAlign w:val="bottom"/>
            <w:tcBorders>
              <w:bottom w:val="single" w:sz="8" w:color="CCEEFF"/>
            </w:tcBorders>
          </w:tcPr>
          <w:p>
            <w:pPr>
              <w:spacing w:after="0"/>
              <w:rPr>
                <w:sz w:val="17"/>
                <w:szCs w:val="17"/>
                <w:color w:val="auto"/>
              </w:rPr>
            </w:pPr>
          </w:p>
        </w:tc>
      </w:tr>
      <w:tr>
        <w:trPr>
          <w:trHeight w:val="202"/>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Extinguishment of GS 1.0% warrant liability (Note 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GS 1.8% warrant liability (Note 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4,503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Release and adjustment of contingent consideration (Note 12)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(4,222)</w:t>
            </w:r>
          </w:p>
        </w:tc>
      </w:tr>
      <w:tr>
        <w:trPr>
          <w:trHeight w:val="209"/>
        </w:trPr>
        <w:tc>
          <w:tcPr>
            <w:tcW w:w="5200" w:type="dxa"/>
            <w:vAlign w:val="bottom"/>
          </w:tcPr>
          <w:p>
            <w:pPr>
              <w:ind w:left="360"/>
              <w:spacing w:after="0"/>
              <w:rPr>
                <w:sz w:val="20"/>
                <w:szCs w:val="20"/>
                <w:color w:val="auto"/>
              </w:rPr>
            </w:pPr>
            <w:r>
              <w:rPr>
                <w:rFonts w:ascii="Arial" w:cs="Arial" w:eastAsia="Arial" w:hAnsi="Arial"/>
                <w:sz w:val="17"/>
                <w:szCs w:val="17"/>
                <w:color w:val="auto"/>
              </w:rPr>
              <w:t>Adjustment to fair value included in earnings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7"/>
                <w:szCs w:val="17"/>
                <w:color w:val="auto"/>
              </w:rPr>
              <w:t>4,198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02"/>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There were no transfers among the fair value levels during the years ended December 31, 2017, 2016 and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The Company and Basis of Presentation. Below is a summary of each segment:</w:t>
      </w:r>
    </w:p>
    <w:p>
      <w:pPr>
        <w:spacing w:after="0" w:line="175" w:lineRule="exact"/>
        <w:rPr>
          <w:sz w:val="20"/>
          <w:szCs w:val="20"/>
          <w:color w:val="auto"/>
        </w:rPr>
      </w:pPr>
    </w:p>
    <w:p>
      <w:pPr>
        <w:jc w:val="both"/>
        <w:ind w:left="640" w:hanging="321"/>
        <w:spacing w:after="0" w:line="308" w:lineRule="auto"/>
        <w:tabs>
          <w:tab w:leader="none" w:pos="640" w:val="left"/>
        </w:tabs>
        <w:numPr>
          <w:ilvl w:val="0"/>
          <w:numId w:val="100"/>
        </w:numPr>
        <w:rPr>
          <w:rFonts w:ascii="Arial" w:cs="Arial" w:eastAsia="Arial" w:hAnsi="Arial"/>
          <w:sz w:val="15"/>
          <w:szCs w:val="15"/>
          <w:color w:val="auto"/>
        </w:rPr>
      </w:pPr>
      <w:r>
        <w:rPr>
          <w:rFonts w:ascii="Arial" w:cs="Arial" w:eastAsia="Arial" w:hAnsi="Arial"/>
          <w:sz w:val="15"/>
          <w:szCs w:val="15"/>
          <w:i w:val="1"/>
          <w:iCs w:val="1"/>
          <w:color w:val="auto"/>
        </w:rPr>
        <w:t xml:space="preserve">Consumer Payments – </w:t>
      </w:r>
      <w:r>
        <w:rPr>
          <w:rFonts w:ascii="Arial" w:cs="Arial" w:eastAsia="Arial" w:hAnsi="Arial"/>
          <w:sz w:val="15"/>
          <w:szCs w:val="15"/>
          <w:color w:val="auto"/>
        </w:rPr>
        <w:t>represents all consumer related services and offerings both merchant acquiring and transaction processing including the proprietary</w:t>
      </w:r>
      <w:r>
        <w:rPr>
          <w:rFonts w:ascii="Arial" w:cs="Arial" w:eastAsia="Arial" w:hAnsi="Arial"/>
          <w:sz w:val="15"/>
          <w:szCs w:val="15"/>
          <w:i w:val="1"/>
          <w:iCs w:val="1"/>
          <w:color w:val="auto"/>
        </w:rPr>
        <w:t xml:space="preserve"> </w:t>
      </w:r>
      <w:r>
        <w:rPr>
          <w:rFonts w:ascii="Arial" w:cs="Arial" w:eastAsia="Arial" w:hAnsi="Arial"/>
          <w:sz w:val="15"/>
          <w:szCs w:val="15"/>
          <w:color w:val="auto"/>
        </w:rPr>
        <w:t>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48" w:lineRule="exact"/>
        <w:rPr>
          <w:rFonts w:ascii="Arial" w:cs="Arial" w:eastAsia="Arial" w:hAnsi="Arial"/>
          <w:sz w:val="15"/>
          <w:szCs w:val="15"/>
          <w:color w:val="auto"/>
        </w:rPr>
      </w:pPr>
    </w:p>
    <w:p>
      <w:pPr>
        <w:jc w:val="both"/>
        <w:ind w:left="640" w:hanging="321"/>
        <w:spacing w:after="0" w:line="272" w:lineRule="auto"/>
        <w:tabs>
          <w:tab w:leader="none" w:pos="64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82" w:name="page183"/>
    <w:bookmarkEnd w:id="182"/>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35" w:lineRule="exact"/>
        <w:rPr>
          <w:sz w:val="20"/>
          <w:szCs w:val="20"/>
          <w:color w:val="auto"/>
        </w:rPr>
      </w:pPr>
    </w:p>
    <w:p>
      <w:pPr>
        <w:ind w:right="520"/>
        <w:spacing w:after="0" w:line="288" w:lineRule="auto"/>
        <w:rPr>
          <w:sz w:val="20"/>
          <w:szCs w:val="20"/>
          <w:color w:val="auto"/>
        </w:rPr>
      </w:pPr>
      <w:r>
        <w:rPr>
          <w:rFonts w:ascii="Arial" w:cs="Arial" w:eastAsia="Arial" w:hAnsi="Arial"/>
          <w:sz w:val="17"/>
          <w:szCs w:val="17"/>
          <w:color w:val="auto"/>
        </w:rPr>
        <w:t>Information on segments and reconciliations to consolidated revenues, consolidated operating income and consolidated depreciation and amortization are as follows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400,320</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322,666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270,610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25,299</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21,448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15,634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Consolidated Revenues</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7080" w:type="dxa"/>
            <w:vAlign w:val="bottom"/>
            <w:vMerge w:val="continue"/>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425,619</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344,114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286,244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33,363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23,188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2,652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shd w:val="clear" w:color="auto" w:fill="CCEEFF"/>
          </w:tcPr>
          <w:p>
            <w:pPr>
              <w:ind w:left="480"/>
              <w:spacing w:after="0"/>
              <w:rPr>
                <w:sz w:val="20"/>
                <w:szCs w:val="20"/>
                <w:color w:val="auto"/>
              </w:rPr>
            </w:pPr>
            <w:r>
              <w:rPr>
                <w:rFonts w:ascii="Arial" w:cs="Arial" w:eastAsia="Arial" w:hAnsi="Arial"/>
                <w:sz w:val="17"/>
                <w:szCs w:val="17"/>
                <w:color w:val="auto"/>
              </w:rPr>
              <w:t>Consolidated operating income</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35,249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25,840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14,324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14,396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350</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Consolidated depreciation and amortization</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14,674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14,733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color w:val="auto"/>
              </w:rPr>
              <w:t>A reconciliation of total operating income to the Company’s net income is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Operating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35,249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25,840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Less: Interest expense, net</w:t>
            </w: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(30,522)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(5,492)</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(5,222)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Less: Equity in loss of unconsolidated entities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ind w:left="48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vMerge w:val="continue"/>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4,594</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20,186</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7"/>
                <w:szCs w:val="17"/>
                <w:color w:val="auto"/>
                <w:w w:val="91"/>
              </w:rPr>
              <w:t>The table below presents total assets for each reportable segment as of December 31, 2017 and 2016: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7"/>
                <w:szCs w:val="17"/>
                <w:i w:val="1"/>
                <w:iCs w:val="1"/>
                <w:color w:val="auto"/>
              </w:rPr>
              <w:t>(in thousands)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3"/>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Pr>
          <w:p>
            <w:pPr>
              <w:ind w:left="160"/>
              <w:spacing w:after="0"/>
              <w:rPr>
                <w:sz w:val="20"/>
                <w:szCs w:val="20"/>
                <w:color w:val="auto"/>
              </w:rPr>
            </w:pPr>
            <w:r>
              <w:rPr>
                <w:rFonts w:ascii="Arial" w:cs="Arial" w:eastAsia="Arial" w:hAnsi="Arial"/>
                <w:sz w:val="17"/>
                <w:szCs w:val="17"/>
                <w:color w:val="auto"/>
              </w:rPr>
              <w:t>Consumer Payments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216,345</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Commercial Payments and Managed Services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50,362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42,699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80" w:type="dxa"/>
            <w:vAlign w:val="bottom"/>
          </w:tcPr>
          <w:p>
            <w:pPr>
              <w:ind w:left="480"/>
              <w:spacing w:after="0"/>
              <w:rPr>
                <w:sz w:val="20"/>
                <w:szCs w:val="20"/>
                <w:color w:val="auto"/>
              </w:rPr>
            </w:pPr>
            <w:r>
              <w:rPr>
                <w:rFonts w:ascii="Arial" w:cs="Arial" w:eastAsia="Arial" w:hAnsi="Arial"/>
                <w:sz w:val="17"/>
                <w:szCs w:val="17"/>
                <w:color w:val="auto"/>
              </w:rPr>
              <w:t>Consolidated assets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266,707</w:t>
            </w:r>
          </w:p>
        </w:tc>
        <w:tc>
          <w:tcPr>
            <w:tcW w:w="2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256,050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spacing w:after="0" w:line="288" w:lineRule="auto"/>
        <w:rPr>
          <w:sz w:val="20"/>
          <w:szCs w:val="20"/>
          <w:color w:val="auto"/>
        </w:rPr>
      </w:pPr>
      <w:r>
        <w:rPr>
          <w:rFonts w:ascii="Arial" w:cs="Arial" w:eastAsia="Arial" w:hAnsi="Arial"/>
          <w:sz w:val="17"/>
          <w:szCs w:val="17"/>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3" w:name="page184"/>
    <w:bookmarkEnd w:id="183"/>
    <w:p>
      <w:pPr>
        <w:spacing w:after="0"/>
        <w:rPr>
          <w:sz w:val="20"/>
          <w:szCs w:val="20"/>
          <w:color w:val="auto"/>
        </w:rPr>
      </w:pPr>
      <w:r>
        <w:rPr>
          <w:rFonts w:ascii="Arial" w:cs="Arial" w:eastAsia="Arial" w:hAnsi="Arial"/>
          <w:sz w:val="17"/>
          <w:szCs w:val="17"/>
          <w:b w:val="1"/>
          <w:bCs w:val="1"/>
          <w:color w:val="auto"/>
        </w:rPr>
        <w:t>Priority Technology Holdings,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251065" cy="165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1651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the Company’s basic and diluted earnings per share: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64"/>
              <w:spacing w:after="0"/>
              <w:rPr>
                <w:sz w:val="20"/>
                <w:szCs w:val="20"/>
                <w:color w:val="auto"/>
              </w:rPr>
            </w:pPr>
            <w:r>
              <w:rPr>
                <w:rFonts w:ascii="Arial" w:cs="Arial" w:eastAsia="Arial" w:hAnsi="Arial"/>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7"/>
                <w:szCs w:val="17"/>
                <w:i w:val="1"/>
                <w:iCs w:val="1"/>
                <w:color w:val="auto"/>
              </w:rPr>
              <w:t>(in thousands except share and per share data)</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Numerator: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4,594</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20,186</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9,267</w:t>
            </w:r>
          </w:p>
        </w:tc>
        <w:tc>
          <w:tcPr>
            <w:tcW w:w="80" w:type="dxa"/>
            <w:vAlign w:val="bottom"/>
            <w:shd w:val="clear" w:color="auto" w:fill="CCEEFF"/>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Less: Income allocated to participating securities</w:t>
            </w: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(236)</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7"/>
                <w:szCs w:val="17"/>
                <w:color w:val="auto"/>
              </w:rPr>
              <w:t>(56)</w:t>
            </w:r>
          </w:p>
        </w:tc>
      </w:tr>
      <w:tr>
        <w:trPr>
          <w:trHeight w:val="222"/>
        </w:trPr>
        <w:tc>
          <w:tcPr>
            <w:tcW w:w="7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 available to common shareholders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4,358</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20,085</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9,211</w:t>
            </w:r>
          </w:p>
        </w:tc>
        <w:tc>
          <w:tcPr>
            <w:tcW w:w="80" w:type="dxa"/>
            <w:vAlign w:val="bottom"/>
            <w:shd w:val="clear" w:color="auto" w:fill="CCEEFF"/>
          </w:tcPr>
          <w:p>
            <w:pPr>
              <w:spacing w:after="0"/>
              <w:rPr>
                <w:sz w:val="19"/>
                <w:szCs w:val="19"/>
                <w:color w:val="auto"/>
              </w:rPr>
            </w:pPr>
          </w:p>
        </w:tc>
      </w:tr>
      <w:tr>
        <w:trPr>
          <w:trHeight w:val="202"/>
        </w:trPr>
        <w:tc>
          <w:tcPr>
            <w:tcW w:w="7100" w:type="dxa"/>
            <w:vAlign w:val="bottom"/>
          </w:tcPr>
          <w:p>
            <w:pPr>
              <w:spacing w:after="0"/>
              <w:rPr>
                <w:sz w:val="20"/>
                <w:szCs w:val="20"/>
                <w:color w:val="auto"/>
              </w:rPr>
            </w:pPr>
            <w:r>
              <w:rPr>
                <w:rFonts w:ascii="Arial" w:cs="Arial" w:eastAsia="Arial" w:hAnsi="Arial"/>
                <w:sz w:val="17"/>
                <w:szCs w:val="17"/>
                <w:color w:val="auto"/>
              </w:rPr>
              <w:t>Denominator:</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 basic and diluted</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67,143,825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131,706,205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131,706,205</w:t>
            </w:r>
          </w:p>
        </w:tc>
        <w:tc>
          <w:tcPr>
            <w:tcW w:w="80" w:type="dxa"/>
            <w:vAlign w:val="bottom"/>
            <w:shd w:val="clear" w:color="auto" w:fill="CCEEFF"/>
          </w:tcPr>
          <w:p>
            <w:pPr>
              <w:spacing w:after="0"/>
              <w:rPr>
                <w:sz w:val="19"/>
                <w:szCs w:val="19"/>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b w:val="1"/>
                <w:bCs w:val="1"/>
                <w:color w:val="auto"/>
              </w:rPr>
              <w:t>Basic and diluted earnings per share</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359" w:lineRule="auto"/>
        <w:rPr>
          <w:sz w:val="20"/>
          <w:szCs w:val="20"/>
          <w:color w:val="auto"/>
        </w:rPr>
      </w:pPr>
      <w:r>
        <w:rPr>
          <w:rFonts w:ascii="Arial" w:cs="Arial" w:eastAsia="Arial" w:hAnsi="Arial"/>
          <w:sz w:val="15"/>
          <w:szCs w:val="15"/>
          <w:color w:val="auto"/>
        </w:rPr>
        <w:t>As of December 31, 2017 and 2016, there were 3,402,154 and 7,201,742 common shares as well as warrants to issue 1.8% and 1% of the outstanding Class A Common shares of the Company that are anti-dilutive. There were no dilutive common share equivalents for the years ended December 31, 2017, 2016 and 2015.</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Subsequent events have been evaluated from the balance sheet date through April 18, 2018, the date on which the condensed consolidated financial statements were available to be issued.</w:t>
      </w:r>
    </w:p>
    <w:p>
      <w:pPr>
        <w:spacing w:after="0" w:line="15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January 11, 2018, the Company increased its senior debt by $67.5 million and amended the GS warrant to increase from 1.8% to 2.2% of Class A Common shares. The proceeds of the loan were used for the redemptions described below.</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17, 2018, the Company redeemed 1,524,512 Class A Common shares for $5.0 million and 3,896,317 Class A Common shares for $26.0 million. On January 19, 2018, the Company redeemed 5,866,326 Class A Common shares for $39.0 million. On February 23, 2018, the Company redeemed 1,277,537 Class A Common shares for $4.2 million. These redemptions resulted in Priority being 100% owned and held by one shareholder.</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February 26, 2018, as amended, the shareholders of the Company entered into a contribution agreement with MI Acquisitions, a special purpose acquisition corporation, pursuant to which MI agreed to acquire all of the outstanding equity interests of the Company.</w:t>
      </w: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 I Acquisitions,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Explanatory Paragraph – Going Concern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1"/>
          <w:szCs w:val="11"/>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March 27, 2018</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62"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2"/>
              </w:rPr>
              <w:t>Assets</w:t>
            </w:r>
          </w:p>
        </w:tc>
        <w:tc>
          <w:tcPr>
            <w:tcW w:w="352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362,535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9,936</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56,241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182,132</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418,776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Cash and cash equivalents held in trust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55,081,899</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54,731,828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520" w:type="dxa"/>
            <w:vAlign w:val="bottom"/>
            <w:tcBorders>
              <w:bottom w:val="single" w:sz="8" w:color="CCEEFF"/>
            </w:tcBorders>
            <w:gridSpan w:val="5"/>
          </w:tcPr>
          <w:p>
            <w:pPr>
              <w:ind w:left="30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55,264,031</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55,150,604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040" w:type="dxa"/>
            <w:vAlign w:val="bottom"/>
            <w:gridSpan w:val="4"/>
          </w:tcPr>
          <w:p>
            <w:pPr>
              <w:spacing w:after="0" w:line="170" w:lineRule="exact"/>
              <w:rPr>
                <w:sz w:val="20"/>
                <w:szCs w:val="20"/>
                <w:color w:val="auto"/>
              </w:rPr>
            </w:pPr>
            <w:r>
              <w:rPr>
                <w:rFonts w:ascii="Arial" w:cs="Arial" w:eastAsia="Arial" w:hAnsi="Arial"/>
                <w:sz w:val="17"/>
                <w:szCs w:val="17"/>
                <w:b w:val="1"/>
                <w:bCs w:val="1"/>
                <w:color w:val="auto"/>
              </w:rPr>
              <w:t>Liabilities and Stockholders’ Equity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349,292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111,011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Offering costs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11,616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11,616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Note payable</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27,500</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388,408</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Deferred underwriting fee payable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1,062,022</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1,062,022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1,450,430</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1,212,149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Commitments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7520" w:type="dxa"/>
            <w:vAlign w:val="bottom"/>
            <w:gridSpan w:val="5"/>
          </w:tcPr>
          <w:p>
            <w:pPr>
              <w:spacing w:after="0" w:line="191" w:lineRule="exact"/>
              <w:rPr>
                <w:sz w:val="20"/>
                <w:szCs w:val="20"/>
                <w:color w:val="auto"/>
              </w:rPr>
            </w:pPr>
            <w:r>
              <w:rPr>
                <w:rFonts w:ascii="Arial" w:cs="Arial" w:eastAsia="Arial" w:hAnsi="Arial"/>
                <w:sz w:val="17"/>
                <w:szCs w:val="17"/>
                <w:b w:val="1"/>
                <w:bCs w:val="1"/>
                <w:color w:val="auto"/>
                <w:w w:val="90"/>
              </w:rPr>
              <w:t>Common stock subject to possible conversion (4,705,821 and 4,748,033 shares at conversion value as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20" w:type="dxa"/>
            <w:vAlign w:val="bottom"/>
            <w:gridSpan w:val="5"/>
          </w:tcPr>
          <w:p>
            <w:pPr>
              <w:ind w:left="120"/>
              <w:spacing w:after="0"/>
              <w:rPr>
                <w:sz w:val="20"/>
                <w:szCs w:val="20"/>
                <w:color w:val="auto"/>
              </w:rPr>
            </w:pPr>
            <w:r>
              <w:rPr>
                <w:rFonts w:ascii="Arial" w:cs="Arial" w:eastAsia="Arial" w:hAnsi="Arial"/>
                <w:sz w:val="17"/>
                <w:szCs w:val="17"/>
                <w:b w:val="1"/>
                <w:bCs w:val="1"/>
                <w:color w:val="auto"/>
              </w:rPr>
              <w:t>of December 31, 2017 and 2016, 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48,813,595</w:t>
            </w:r>
          </w:p>
        </w:tc>
        <w:tc>
          <w:tcPr>
            <w:tcW w:w="1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48,938,449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20" w:type="dxa"/>
            <w:vAlign w:val="bottom"/>
            <w:gridSpan w:val="5"/>
          </w:tcPr>
          <w:p>
            <w:pPr>
              <w:spacing w:after="0"/>
              <w:rPr>
                <w:sz w:val="20"/>
                <w:szCs w:val="20"/>
                <w:color w:val="auto"/>
              </w:rPr>
            </w:pPr>
            <w:r>
              <w:rPr>
                <w:rFonts w:ascii="Arial" w:cs="Arial" w:eastAsia="Arial" w:hAnsi="Arial"/>
                <w:sz w:val="17"/>
                <w:szCs w:val="17"/>
                <w:b w:val="1"/>
                <w:bCs w:val="1"/>
                <w:color w:val="auto"/>
              </w:rPr>
              <w:t>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w w:val="92"/>
              </w:rPr>
              <w:t>Common stock, $0.001 par value; 30,000,000 shares authorized; 2,352,922 and 2,310,710 shares issued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color w:val="auto"/>
              </w:rPr>
              <w:t>and outstanding (excluding 4,705,821 and 4,748,033 shares subject to possible conversion) at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300"/>
              <w:spacing w:after="0"/>
              <w:rPr>
                <w:sz w:val="20"/>
                <w:szCs w:val="20"/>
                <w:color w:val="auto"/>
              </w:rPr>
            </w:pPr>
            <w:r>
              <w:rPr>
                <w:rFonts w:ascii="Arial" w:cs="Arial" w:eastAsia="Arial" w:hAnsi="Arial"/>
                <w:sz w:val="17"/>
                <w:szCs w:val="17"/>
                <w:color w:val="auto"/>
              </w:rPr>
              <w:t>December 31, 2017 and 2016,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2,353</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2,311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2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Additional paid 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5,240,728</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5,115,916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20" w:type="dxa"/>
            <w:vAlign w:val="bottom"/>
            <w:gridSpan w:val="5"/>
          </w:tcPr>
          <w:p>
            <w:pPr>
              <w:ind w:left="140"/>
              <w:spacing w:after="0"/>
              <w:rPr>
                <w:sz w:val="20"/>
                <w:szCs w:val="20"/>
                <w:color w:val="auto"/>
              </w:rPr>
            </w:pPr>
            <w:r>
              <w:rPr>
                <w:rFonts w:ascii="Arial" w:cs="Arial" w:eastAsia="Arial" w:hAnsi="Arial"/>
                <w:sz w:val="17"/>
                <w:szCs w:val="17"/>
                <w:color w:val="auto"/>
              </w:rPr>
              <w:t>Accumulated deficit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7"/>
                <w:szCs w:val="17"/>
                <w:color w:val="auto"/>
              </w:rPr>
              <w:t>(243,075)</w:t>
            </w:r>
          </w:p>
        </w:tc>
        <w:tc>
          <w:tcPr>
            <w:tcW w:w="12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7"/>
                <w:szCs w:val="17"/>
                <w:color w:val="auto"/>
              </w:rPr>
              <w:t>(118,221)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Borders>
              <w:top w:val="single" w:sz="8" w:color="CCEEFF"/>
            </w:tcBorders>
            <w:gridSpan w:val="5"/>
            <w:shd w:val="clear" w:color="auto" w:fill="CCEEFF"/>
          </w:tcPr>
          <w:p>
            <w:pPr>
              <w:ind w:left="300"/>
              <w:spacing w:after="0"/>
              <w:rPr>
                <w:sz w:val="20"/>
                <w:szCs w:val="20"/>
                <w:color w:val="auto"/>
              </w:rPr>
            </w:pPr>
            <w:r>
              <w:rPr>
                <w:rFonts w:ascii="Arial" w:cs="Arial" w:eastAsia="Arial" w:hAnsi="Arial"/>
                <w:sz w:val="17"/>
                <w:szCs w:val="17"/>
                <w:b w:val="1"/>
                <w:bCs w:val="1"/>
                <w:color w:val="auto"/>
              </w:rPr>
              <w:t>Total Stockholders’ Equity</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5,000,006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752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55,264,031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55,150,604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4"/>
              </w:rPr>
              <w:t>For the Year</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For the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Ended</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00" w:type="dxa"/>
            <w:vAlign w:val="bottom"/>
            <w:gridSpan w:val="5"/>
            <w:shd w:val="clear" w:color="auto" w:fill="CCEEFF"/>
          </w:tcPr>
          <w:p>
            <w:pPr>
              <w:spacing w:after="0" w:line="170" w:lineRule="exact"/>
              <w:rPr>
                <w:sz w:val="20"/>
                <w:szCs w:val="20"/>
                <w:color w:val="auto"/>
              </w:rPr>
            </w:pPr>
            <w:r>
              <w:rPr>
                <w:rFonts w:ascii="Arial" w:cs="Arial" w:eastAsia="Arial" w:hAnsi="Arial"/>
                <w:sz w:val="17"/>
                <w:szCs w:val="17"/>
                <w:color w:val="auto"/>
              </w:rPr>
              <w:t>EXPENSES</w:t>
            </w:r>
          </w:p>
        </w:tc>
        <w:tc>
          <w:tcPr>
            <w:tcW w:w="2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shd w:val="clear" w:color="auto" w:fill="000000"/>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600" w:type="dxa"/>
            <w:vAlign w:val="bottom"/>
            <w:shd w:val="clear" w:color="auto" w:fill="CCEEFF"/>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tcPr>
          <w:p>
            <w:pPr>
              <w:spacing w:after="0"/>
              <w:rPr>
                <w:sz w:val="20"/>
                <w:szCs w:val="20"/>
                <w:color w:val="auto"/>
              </w:rPr>
            </w:pPr>
            <w:r>
              <w:rPr>
                <w:rFonts w:ascii="Arial" w:cs="Arial" w:eastAsia="Arial" w:hAnsi="Arial"/>
                <w:sz w:val="17"/>
                <w:szCs w:val="17"/>
                <w:color w:val="auto"/>
              </w:rPr>
              <w:t>Administration fee - related party</w:t>
            </w:r>
          </w:p>
        </w:tc>
        <w:tc>
          <w:tcPr>
            <w:tcW w:w="2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120,000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35,667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Operating costs</w:t>
            </w:r>
          </w:p>
        </w:tc>
        <w:tc>
          <w:tcPr>
            <w:tcW w:w="2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831,721</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137,529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5500" w:type="dxa"/>
            <w:vAlign w:val="bottom"/>
            <w:gridSpan w:val="5"/>
            <w:shd w:val="clear" w:color="auto" w:fill="CCEEFF"/>
          </w:tcPr>
          <w:p>
            <w:pPr>
              <w:spacing w:after="0" w:line="150" w:lineRule="exact"/>
              <w:rPr>
                <w:sz w:val="20"/>
                <w:szCs w:val="20"/>
                <w:color w:val="auto"/>
              </w:rPr>
            </w:pPr>
            <w:r>
              <w:rPr>
                <w:rFonts w:ascii="Arial" w:cs="Arial" w:eastAsia="Arial" w:hAnsi="Arial"/>
                <w:sz w:val="17"/>
                <w:szCs w:val="17"/>
                <w:color w:val="auto"/>
              </w:rPr>
              <w:t>TOTAL EXPENSES</w:t>
            </w:r>
          </w:p>
        </w:tc>
        <w:tc>
          <w:tcPr>
            <w:tcW w:w="2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line="150" w:lineRule="exact"/>
              <w:rPr>
                <w:sz w:val="20"/>
                <w:szCs w:val="20"/>
                <w:color w:val="auto"/>
              </w:rPr>
            </w:pPr>
            <w:r>
              <w:rPr>
                <w:rFonts w:ascii="Arial" w:cs="Arial" w:eastAsia="Arial" w:hAnsi="Arial"/>
                <w:sz w:val="17"/>
                <w:szCs w:val="17"/>
                <w:color w:val="auto"/>
              </w:rPr>
              <w:t>951,721</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00"/>
              <w:spacing w:after="0" w:line="150" w:lineRule="exact"/>
              <w:rPr>
                <w:sz w:val="20"/>
                <w:szCs w:val="20"/>
                <w:color w:val="auto"/>
              </w:rPr>
            </w:pPr>
            <w:r>
              <w:rPr>
                <w:rFonts w:ascii="Arial" w:cs="Arial" w:eastAsia="Arial" w:hAnsi="Arial"/>
                <w:sz w:val="17"/>
                <w:szCs w:val="17"/>
                <w:color w:val="auto"/>
              </w:rPr>
              <w:t>173,196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3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7"/>
                <w:szCs w:val="17"/>
                <w:color w:val="auto"/>
                <w:w w:val="96"/>
              </w:rPr>
              <w:t>OTHER INCOME</w:t>
            </w:r>
          </w:p>
        </w:tc>
        <w:tc>
          <w:tcPr>
            <w:tcW w:w="4200" w:type="dxa"/>
            <w:vAlign w:val="bottom"/>
            <w:tcBorders>
              <w:bottom w:val="single" w:sz="8" w:color="CCEEFF"/>
            </w:tcBorders>
            <w:gridSpan w:val="3"/>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tcPr>
          <w:p>
            <w:pPr>
              <w:ind w:left="140"/>
              <w:spacing w:after="0"/>
              <w:rPr>
                <w:sz w:val="20"/>
                <w:szCs w:val="20"/>
                <w:color w:val="auto"/>
              </w:rPr>
            </w:pPr>
            <w:r>
              <w:rPr>
                <w:rFonts w:ascii="Arial" w:cs="Arial" w:eastAsia="Arial" w:hAnsi="Arial"/>
                <w:sz w:val="17"/>
                <w:szCs w:val="17"/>
                <w:color w:val="auto"/>
              </w:rPr>
              <w:t>Interest income</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399,166</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37,701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gridSpan w:val="5"/>
            <w:shd w:val="clear" w:color="auto" w:fill="CCEEFF"/>
          </w:tcPr>
          <w:p>
            <w:pPr>
              <w:ind w:left="140"/>
              <w:spacing w:after="0"/>
              <w:rPr>
                <w:sz w:val="20"/>
                <w:szCs w:val="20"/>
                <w:color w:val="auto"/>
              </w:rPr>
            </w:pPr>
            <w:r>
              <w:rPr>
                <w:rFonts w:ascii="Arial" w:cs="Arial" w:eastAsia="Arial" w:hAnsi="Arial"/>
                <w:sz w:val="17"/>
                <w:szCs w:val="17"/>
                <w:color w:val="auto"/>
              </w:rPr>
              <w:t>Settlement income</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427,701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5"/>
          </w:tcPr>
          <w:p>
            <w:pPr>
              <w:ind w:left="140"/>
              <w:spacing w:after="0"/>
              <w:rPr>
                <w:sz w:val="20"/>
                <w:szCs w:val="20"/>
                <w:color w:val="auto"/>
              </w:rPr>
            </w:pPr>
            <w:r>
              <w:rPr>
                <w:rFonts w:ascii="Arial" w:cs="Arial" w:eastAsia="Arial" w:hAnsi="Arial"/>
                <w:sz w:val="17"/>
                <w:szCs w:val="17"/>
                <w:color w:val="auto"/>
              </w:rPr>
              <w:t>Extinguishment of debt</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tcBorders>
              <w:top w:val="single" w:sz="8" w:color="CCEEFF"/>
            </w:tcBorders>
            <w:gridSpan w:val="5"/>
            <w:shd w:val="clear" w:color="auto" w:fill="CCEEFF"/>
          </w:tcPr>
          <w:p>
            <w:pPr>
              <w:spacing w:after="0" w:line="131" w:lineRule="exact"/>
              <w:rPr>
                <w:sz w:val="20"/>
                <w:szCs w:val="20"/>
                <w:color w:val="auto"/>
              </w:rPr>
            </w:pPr>
            <w:r>
              <w:rPr>
                <w:rFonts w:ascii="Arial" w:cs="Arial" w:eastAsia="Arial" w:hAnsi="Arial"/>
                <w:sz w:val="15"/>
                <w:szCs w:val="15"/>
                <w:color w:val="auto"/>
              </w:rPr>
              <w:t>TOTAL OTHER INCOME</w:t>
            </w:r>
          </w:p>
        </w:tc>
        <w:tc>
          <w:tcPr>
            <w:tcW w:w="2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826,867</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137" w:lineRule="exact"/>
              <w:rPr>
                <w:sz w:val="20"/>
                <w:szCs w:val="20"/>
                <w:color w:val="auto"/>
              </w:rPr>
            </w:pPr>
            <w:r>
              <w:rPr>
                <w:rFonts w:ascii="Arial" w:cs="Arial" w:eastAsia="Arial" w:hAnsi="Arial"/>
                <w:sz w:val="15"/>
                <w:szCs w:val="15"/>
                <w:color w:val="auto"/>
              </w:rPr>
              <w:t>65,201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36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Net loss</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(124,854)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rPr>
              <w:t>Net loss per share of common stock - basic and diluted</w:t>
            </w:r>
          </w:p>
        </w:tc>
        <w:tc>
          <w:tcPr>
            <w:tcW w:w="2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5500" w:type="dxa"/>
            <w:vAlign w:val="bottom"/>
            <w:gridSpan w:val="5"/>
            <w:shd w:val="clear" w:color="auto" w:fill="CCEEFF"/>
          </w:tcPr>
          <w:p>
            <w:pPr>
              <w:spacing w:after="0"/>
              <w:rPr>
                <w:sz w:val="20"/>
                <w:szCs w:val="20"/>
                <w:color w:val="auto"/>
              </w:rPr>
            </w:pPr>
            <w:r>
              <w:rPr>
                <w:rFonts w:ascii="Arial" w:cs="Arial" w:eastAsia="Arial" w:hAnsi="Arial"/>
                <w:sz w:val="17"/>
                <w:szCs w:val="17"/>
                <w:b w:val="1"/>
                <w:bCs w:val="1"/>
                <w:color w:val="auto"/>
                <w:w w:val="90"/>
              </w:rPr>
              <w:t>Weighted average shares of common stock outstanding - basic and diluted</w:t>
            </w:r>
          </w:p>
        </w:tc>
        <w:tc>
          <w:tcPr>
            <w:tcW w:w="2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2,330,884</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1,664,794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gridSpan w:val="2"/>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700" w:type="dxa"/>
            <w:vAlign w:val="bottom"/>
            <w:gridSpan w:val="5"/>
          </w:tcPr>
          <w:p>
            <w:pPr>
              <w:jc w:val="right"/>
              <w:ind w:right="1320"/>
              <w:spacing w:after="0"/>
              <w:rPr>
                <w:sz w:val="20"/>
                <w:szCs w:val="20"/>
                <w:color w:val="auto"/>
              </w:rPr>
            </w:pPr>
            <w:r>
              <w:rPr>
                <w:rFonts w:ascii="Arial" w:cs="Arial" w:eastAsia="Arial" w:hAnsi="Arial"/>
                <w:sz w:val="17"/>
                <w:szCs w:val="17"/>
                <w:color w:val="auto"/>
              </w:rPr>
              <w:t>The accompanying notes are an integral part of these financial statements.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940"/>
              <w:spacing w:after="0"/>
              <w:rPr>
                <w:sz w:val="20"/>
                <w:szCs w:val="20"/>
                <w:color w:val="auto"/>
              </w:rPr>
            </w:pPr>
            <w:r>
              <w:rPr>
                <w:rFonts w:ascii="Arial" w:cs="Arial" w:eastAsia="Arial" w:hAnsi="Arial"/>
                <w:sz w:val="17"/>
                <w:szCs w:val="17"/>
                <w:color w:val="auto"/>
                <w:w w:val="91"/>
              </w:rPr>
              <w:t>F-64</w:t>
            </w: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75"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M I Acquisitions,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Changes in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2017 and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Additional Paid-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3020" w:type="dxa"/>
            <w:vAlign w:val="bottom"/>
            <w:gridSpan w:val="5"/>
          </w:tcPr>
          <w:p>
            <w:pPr>
              <w:jc w:val="right"/>
              <w:ind w:right="1060"/>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Accumulated</w:t>
            </w: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0"/>
              </w:rPr>
              <w:t>Stockholders’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9"/>
                <w:szCs w:val="19"/>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2015</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1,437,500</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1,438</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23,562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14,774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Sale of 5,000,000 units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5,000,000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49,995,000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50,000,000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Underwriters discount and offering expenses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(3,280,484)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(3,280,484)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Sale of 421,107 private units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421,107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421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4,210,649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4,211,070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Exercise of underwriters’ overallotment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310,109</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3,100,780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3,101,090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w w:val="96"/>
              </w:rPr>
              <w:t>Forfeiture and cancellation of 109,973 Founders’ shares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(109,973)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common stock subject to possible</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conversion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(4,748,033)</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(4,748)</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(48,933,701)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(48,938,449)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(107,995)</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2016</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2,310,710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2,311</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5,115,916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(118,221)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5,000,006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Decrease in common stock subject to possible</w:t>
            </w:r>
          </w:p>
        </w:tc>
        <w:tc>
          <w:tcPr>
            <w:tcW w:w="1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42,212</w:t>
            </w:r>
          </w:p>
        </w:tc>
        <w:tc>
          <w:tcPr>
            <w:tcW w:w="2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42</w:t>
            </w:r>
          </w:p>
        </w:tc>
        <w:tc>
          <w:tcPr>
            <w:tcW w:w="22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124,812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124,854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conversion</w:t>
            </w:r>
          </w:p>
        </w:tc>
        <w:tc>
          <w:tcPr>
            <w:tcW w:w="15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(124,854)</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(124,854)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2017</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2,352,922</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2,353</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5,240,728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(243,075)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27"/>
        </w:trPr>
        <w:tc>
          <w:tcPr>
            <w:tcW w:w="7600" w:type="dxa"/>
            <w:vAlign w:val="bottom"/>
            <w:gridSpan w:val="2"/>
          </w:tcPr>
          <w:p>
            <w:pPr>
              <w:spacing w:after="0"/>
              <w:rPr>
                <w:sz w:val="20"/>
                <w:szCs w:val="20"/>
                <w:color w:val="auto"/>
              </w:rPr>
            </w:pPr>
            <w:r>
              <w:rPr>
                <w:rFonts w:ascii="Arial" w:cs="Arial" w:eastAsia="Arial" w:hAnsi="Arial"/>
                <w:sz w:val="17"/>
                <w:szCs w:val="17"/>
                <w:b w:val="1"/>
                <w:bCs w:val="1"/>
                <w:color w:val="auto"/>
              </w:rPr>
              <w:t>M I Acquisitions, Inc.</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600" w:type="dxa"/>
            <w:vAlign w:val="bottom"/>
            <w:gridSpan w:val="2"/>
          </w:tcPr>
          <w:p>
            <w:pPr>
              <w:spacing w:after="0"/>
              <w:rPr>
                <w:sz w:val="20"/>
                <w:szCs w:val="20"/>
                <w:color w:val="auto"/>
              </w:rPr>
            </w:pPr>
            <w:r>
              <w:rPr>
                <w:rFonts w:ascii="Arial" w:cs="Arial" w:eastAsia="Arial" w:hAnsi="Arial"/>
                <w:sz w:val="17"/>
                <w:szCs w:val="17"/>
                <w:b w:val="1"/>
                <w:bCs w:val="1"/>
                <w:color w:val="auto"/>
              </w:rPr>
              <w:t>Statement of Cash Flows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580" w:type="dxa"/>
            <w:vAlign w:val="bottom"/>
          </w:tcPr>
          <w:p>
            <w:pPr>
              <w:ind w:left="3880"/>
              <w:spacing w:after="0"/>
              <w:rPr>
                <w:sz w:val="20"/>
                <w:szCs w:val="20"/>
                <w:color w:val="auto"/>
              </w:rPr>
            </w:pPr>
            <w:r>
              <w:rPr>
                <w:rFonts w:ascii="Arial" w:cs="Arial" w:eastAsia="Arial" w:hAnsi="Arial"/>
                <w:sz w:val="17"/>
                <w:szCs w:val="17"/>
                <w:b w:val="1"/>
                <w:bCs w:val="1"/>
                <w:color w:val="auto"/>
                <w:w w:val="92"/>
              </w:rPr>
              <w:t>For the years ended December 31, 2017 and 2016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4"/>
              </w:rPr>
              <w:t>For the Year</w:t>
            </w:r>
          </w:p>
        </w:tc>
        <w:tc>
          <w:tcPr>
            <w:tcW w:w="120" w:type="dxa"/>
            <w:vAlign w:val="bottom"/>
          </w:tcPr>
          <w:p>
            <w:pPr>
              <w:spacing w:after="0"/>
              <w:rPr>
                <w:sz w:val="24"/>
                <w:szCs w:val="24"/>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4"/>
              </w:rPr>
              <w:t>For the Year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58"/>
              <w:spacing w:after="0"/>
              <w:rPr>
                <w:sz w:val="20"/>
                <w:szCs w:val="20"/>
                <w:color w:val="auto"/>
              </w:rPr>
            </w:pPr>
            <w:r>
              <w:rPr>
                <w:rFonts w:ascii="Arial" w:cs="Arial" w:eastAsia="Arial" w:hAnsi="Arial"/>
                <w:sz w:val="17"/>
                <w:szCs w:val="17"/>
                <w:b w:val="1"/>
                <w:bCs w:val="1"/>
                <w:color w:val="auto"/>
                <w:w w:val="92"/>
              </w:rPr>
              <w:t>Ended</w:t>
            </w:r>
          </w:p>
        </w:tc>
        <w:tc>
          <w:tcPr>
            <w:tcW w:w="120" w:type="dxa"/>
            <w:vAlign w:val="bottom"/>
          </w:tcPr>
          <w:p>
            <w:pPr>
              <w:spacing w:after="0"/>
              <w:rPr>
                <w:sz w:val="19"/>
                <w:szCs w:val="19"/>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6"/>
              </w:rPr>
              <w:t>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7"/>
                <w:szCs w:val="17"/>
                <w:color w:val="auto"/>
              </w:rPr>
              <w:t>Net loss</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(124,854)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(107,995)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on extinguishment of debt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7"/>
                <w:szCs w:val="17"/>
                <w:color w:val="auto"/>
              </w:rPr>
              <w:t>Interest earned on cash and securities held in Trust Account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(399,166)</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(37,701)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300"/>
              <w:spacing w:after="0"/>
              <w:rPr>
                <w:sz w:val="20"/>
                <w:szCs w:val="20"/>
                <w:color w:val="auto"/>
              </w:rPr>
            </w:pPr>
            <w:r>
              <w:rPr>
                <w:rFonts w:ascii="Arial" w:cs="Arial" w:eastAsia="Arial" w:hAnsi="Arial"/>
                <w:sz w:val="17"/>
                <w:szCs w:val="17"/>
                <w:color w:val="auto"/>
              </w:rPr>
              <w:t>Formation and organization costs paid by related parties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8"/>
              <w:spacing w:after="0"/>
              <w:rPr>
                <w:sz w:val="20"/>
                <w:szCs w:val="20"/>
                <w:color w:val="auto"/>
              </w:rPr>
            </w:pPr>
            <w:r>
              <w:rPr>
                <w:rFonts w:ascii="Arial" w:cs="Arial" w:eastAsia="Arial" w:hAnsi="Arial"/>
                <w:sz w:val="17"/>
                <w:szCs w:val="17"/>
                <w:color w:val="auto"/>
              </w:rPr>
              <w:t>2,537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tcPr>
          <w:p>
            <w:pPr>
              <w:ind w:left="460"/>
              <w:spacing w:after="0"/>
              <w:rPr>
                <w:sz w:val="20"/>
                <w:szCs w:val="20"/>
                <w:color w:val="auto"/>
              </w:rPr>
            </w:pPr>
            <w:r>
              <w:rPr>
                <w:rFonts w:ascii="Arial" w:cs="Arial" w:eastAsia="Arial" w:hAnsi="Arial"/>
                <w:sz w:val="17"/>
                <w:szCs w:val="17"/>
                <w:color w:val="auto"/>
              </w:rPr>
              <w:t>Prepaid expenses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46,305</w:t>
            </w:r>
          </w:p>
        </w:tc>
        <w:tc>
          <w:tcPr>
            <w:tcW w:w="12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(56,241)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payable and accrued expenses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38"/>
              <w:spacing w:after="0"/>
              <w:rPr>
                <w:sz w:val="20"/>
                <w:szCs w:val="20"/>
                <w:color w:val="auto"/>
              </w:rPr>
            </w:pPr>
            <w:r>
              <w:rPr>
                <w:rFonts w:ascii="Arial" w:cs="Arial" w:eastAsia="Arial" w:hAnsi="Arial"/>
                <w:sz w:val="17"/>
                <w:szCs w:val="17"/>
                <w:color w:val="auto"/>
              </w:rPr>
              <w:t>238,281</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111,011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80" w:type="dxa"/>
            <w:vAlign w:val="bottom"/>
          </w:tcPr>
          <w:p>
            <w:pPr>
              <w:ind w:left="460"/>
              <w:spacing w:after="0"/>
              <w:rPr>
                <w:sz w:val="20"/>
                <w:szCs w:val="20"/>
                <w:color w:val="auto"/>
              </w:rPr>
            </w:pPr>
            <w:r>
              <w:rPr>
                <w:rFonts w:ascii="Arial" w:cs="Arial" w:eastAsia="Arial" w:hAnsi="Arial"/>
                <w:sz w:val="17"/>
                <w:szCs w:val="17"/>
                <w:color w:val="auto"/>
              </w:rPr>
              <w:t>Accrued offering costs payable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(34,383)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Net Cash Used In Operating Activities</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(239,434</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775"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251065" cy="132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deposited into Trust Account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wp:posOffset>
            </wp:positionV>
            <wp:extent cx="7251065" cy="140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5"/>
          <w:szCs w:val="15"/>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tabs>
          <w:tab w:leader="none" w:pos="1600" w:val="left"/>
        </w:tabs>
        <w:rPr>
          <w:sz w:val="20"/>
          <w:szCs w:val="20"/>
          <w:color w:val="auto"/>
        </w:rPr>
      </w:pPr>
      <w:r>
        <w:rPr>
          <w:rFonts w:ascii="Arial" w:cs="Arial" w:eastAsia="Arial" w:hAnsi="Arial"/>
          <w:sz w:val="15"/>
          <w:szCs w:val="15"/>
          <w:color w:val="auto"/>
        </w:rPr>
        <w:t>(22,607)</w:t>
      </w:r>
      <w:r>
        <w:rPr>
          <w:sz w:val="20"/>
          <w:szCs w:val="20"/>
          <w:color w:val="auto"/>
        </w:rPr>
        <w:tab/>
      </w:r>
      <w:r>
        <w:rPr>
          <w:rFonts w:ascii="Arial" w:cs="Arial" w:eastAsia="Arial" w:hAnsi="Arial"/>
          <w:sz w:val="15"/>
          <w:szCs w:val="15"/>
          <w:color w:val="auto"/>
        </w:rPr>
        <w:t>(54,694,127)</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7"/>
          <w:szCs w:val="17"/>
          <w:color w:val="auto"/>
        </w:rPr>
        <w:t>71,702</w:t>
      </w:r>
    </w:p>
    <w:p>
      <w:pPr>
        <w:spacing w:after="0" w:line="26" w:lineRule="exact"/>
        <w:rPr>
          <w:sz w:val="20"/>
          <w:szCs w:val="20"/>
          <w:color w:val="auto"/>
        </w:rPr>
      </w:pPr>
    </w:p>
    <w:p>
      <w:pPr>
        <w:ind w:left="60"/>
        <w:spacing w:after="0"/>
        <w:tabs>
          <w:tab w:leader="none" w:pos="1600" w:val="left"/>
        </w:tabs>
        <w:rPr>
          <w:sz w:val="20"/>
          <w:szCs w:val="20"/>
          <w:color w:val="auto"/>
        </w:rPr>
      </w:pPr>
      <w:r>
        <w:rPr>
          <w:rFonts w:ascii="Arial" w:cs="Arial" w:eastAsia="Arial" w:hAnsi="Arial"/>
          <w:sz w:val="15"/>
          <w:szCs w:val="15"/>
          <w:color w:val="auto"/>
        </w:rPr>
        <w:t>49,095</w:t>
      </w:r>
      <w:r>
        <w:rPr>
          <w:sz w:val="20"/>
          <w:szCs w:val="20"/>
          <w:color w:val="auto"/>
        </w:rPr>
        <w:tab/>
      </w:r>
      <w:r>
        <w:rPr>
          <w:rFonts w:ascii="Arial" w:cs="Arial" w:eastAsia="Arial" w:hAnsi="Arial"/>
          <w:sz w:val="15"/>
          <w:szCs w:val="15"/>
          <w:color w:val="auto"/>
        </w:rPr>
        <w:t>(54,694,127)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-755650</wp:posOffset>
            </wp:positionH>
            <wp:positionV relativeFrom="paragraph">
              <wp:posOffset>-108585</wp:posOffset>
            </wp:positionV>
            <wp:extent cx="23171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317115"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8140" w:space="720"/>
            <w:col w:w="2560"/>
          </w:cols>
          <w:pgMar w:left="240" w:top="77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60" w:type="dxa"/>
            <w:vAlign w:val="bottom"/>
            <w:gridSpan w:val="3"/>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public offering, net of offering costs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Proceeds from insider units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of related party notes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(131,720)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Proceeds from related party advances</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of related party advances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(55,201)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40" w:type="dxa"/>
            <w:vAlign w:val="bottom"/>
            <w:gridSpan w:val="2"/>
          </w:tcPr>
          <w:p>
            <w:pPr>
              <w:ind w:left="140"/>
              <w:spacing w:after="0"/>
              <w:rPr>
                <w:sz w:val="20"/>
                <w:szCs w:val="20"/>
                <w:color w:val="auto"/>
              </w:rPr>
            </w:pPr>
            <w:r>
              <w:rPr>
                <w:rFonts w:ascii="Arial" w:cs="Arial" w:eastAsia="Arial" w:hAnsi="Arial"/>
                <w:sz w:val="17"/>
                <w:szCs w:val="17"/>
                <w:color w:val="auto"/>
              </w:rPr>
              <w:t>Payments of offering costs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7"/>
                <w:szCs w:val="17"/>
                <w:color w:val="auto"/>
              </w:rPr>
              <w:t>(80,040)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Net Cash Provided By Financing Activities</w:t>
            </w:r>
          </w:p>
        </w:tc>
        <w:tc>
          <w:tcPr>
            <w:tcW w:w="10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55,201,934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(190,339)</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362,535</w:t>
            </w: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vMerge w:val="continue"/>
          </w:tcPr>
          <w:p>
            <w:pPr>
              <w:spacing w:after="0"/>
              <w:rPr>
                <w:sz w:val="20"/>
                <w:szCs w:val="20"/>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1600" w:type="dxa"/>
            <w:vAlign w:val="bottom"/>
            <w:gridSpan w:val="2"/>
            <w:shd w:val="clear" w:color="auto" w:fill="CCEEFF"/>
          </w:tcPr>
          <w:p>
            <w:pPr>
              <w:jc w:val="right"/>
              <w:ind w:right="413"/>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172,196</w:t>
            </w:r>
          </w:p>
        </w:tc>
        <w:tc>
          <w:tcPr>
            <w:tcW w:w="500" w:type="dxa"/>
            <w:vAlign w:val="bottom"/>
            <w:shd w:val="clear" w:color="auto" w:fill="CCEEFF"/>
          </w:tcPr>
          <w:p>
            <w:pPr>
              <w:jc w:val="right"/>
              <w:ind w:right="344"/>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362,535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7"/>
                <w:szCs w:val="17"/>
                <w:b w:val="1"/>
                <w:bCs w:val="1"/>
                <w:color w:val="auto"/>
                <w:w w:val="89"/>
              </w:rPr>
              <w:t>Supplemental disclosure of non-cash financing activities:</w:t>
            </w:r>
          </w:p>
        </w:tc>
        <w:tc>
          <w:tcPr>
            <w:tcW w:w="24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6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Payment of deferred offering costs by issuance of notes and related party notes</w:t>
            </w:r>
          </w:p>
        </w:tc>
        <w:tc>
          <w:tcPr>
            <w:tcW w:w="100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40"/>
              <w:spacing w:after="0" w:line="181" w:lineRule="exact"/>
              <w:rPr>
                <w:sz w:val="20"/>
                <w:szCs w:val="20"/>
                <w:color w:val="auto"/>
              </w:rPr>
            </w:pPr>
            <w:r>
              <w:rPr>
                <w:rFonts w:ascii="Arial" w:cs="Arial" w:eastAsia="Arial" w:hAnsi="Arial"/>
                <w:sz w:val="17"/>
                <w:szCs w:val="17"/>
                <w:color w:val="auto"/>
              </w:rPr>
              <w:t>Reclassification of deferred offering costs to equity</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258,997</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140"/>
              <w:spacing w:after="0"/>
              <w:rPr>
                <w:sz w:val="20"/>
                <w:szCs w:val="20"/>
                <w:color w:val="auto"/>
              </w:rPr>
            </w:pPr>
            <w:r>
              <w:rPr>
                <w:rFonts w:ascii="Arial" w:cs="Arial" w:eastAsia="Arial" w:hAnsi="Arial"/>
                <w:sz w:val="17"/>
                <w:szCs w:val="17"/>
                <w:color w:val="auto"/>
              </w:rPr>
              <w:t>Accrual of offering costs</w:t>
            </w:r>
          </w:p>
        </w:tc>
        <w:tc>
          <w:tcPr>
            <w:tcW w:w="16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tcBorders>
              <w:bottom w:val="single" w:sz="8" w:color="CCEEFF"/>
            </w:tcBorders>
            <w:gridSpan w:val="2"/>
            <w:vMerge w:val="continue"/>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45,999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tcBorders>
              <w:bottom w:val="single" w:sz="8" w:color="CCEEFF"/>
            </w:tcBorders>
            <w:gridSpan w:val="2"/>
            <w:shd w:val="clear" w:color="auto" w:fill="CCEEFF"/>
          </w:tcPr>
          <w:p>
            <w:pPr>
              <w:ind w:left="140"/>
              <w:spacing w:after="0" w:line="181" w:lineRule="exact"/>
              <w:rPr>
                <w:sz w:val="20"/>
                <w:szCs w:val="20"/>
                <w:color w:val="auto"/>
              </w:rPr>
            </w:pPr>
            <w:r>
              <w:rPr>
                <w:rFonts w:ascii="Arial" w:cs="Arial" w:eastAsia="Arial" w:hAnsi="Arial"/>
                <w:sz w:val="17"/>
                <w:szCs w:val="17"/>
                <w:color w:val="auto"/>
              </w:rPr>
              <w:t>Change in common stock subject to possible conversion</w:t>
            </w:r>
          </w:p>
        </w:tc>
        <w:tc>
          <w:tcPr>
            <w:tcW w:w="10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124,854</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48,938,449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140"/>
              <w:spacing w:after="0"/>
              <w:rPr>
                <w:sz w:val="20"/>
                <w:szCs w:val="20"/>
                <w:color w:val="auto"/>
              </w:rPr>
            </w:pPr>
            <w:r>
              <w:rPr>
                <w:rFonts w:ascii="Arial" w:cs="Arial" w:eastAsia="Arial" w:hAnsi="Arial"/>
                <w:sz w:val="17"/>
                <w:szCs w:val="17"/>
                <w:color w:val="auto"/>
              </w:rPr>
              <w:t>Deferred Underwriting commission</w:t>
            </w:r>
          </w:p>
        </w:tc>
        <w:tc>
          <w:tcPr>
            <w:tcW w:w="16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13"/>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1,062,022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8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w:t>
      </w:r>
    </w:p>
    <w:p>
      <w:pPr>
        <w:spacing w:after="0" w:line="2" w:lineRule="exact"/>
        <w:rPr>
          <w:sz w:val="20"/>
          <w:szCs w:val="20"/>
          <w:color w:val="auto"/>
        </w:rPr>
      </w:pPr>
    </w:p>
    <w:p>
      <w:pPr>
        <w:jc w:val="both"/>
        <w:ind w:firstLine="5"/>
        <w:spacing w:after="0" w:line="275" w:lineRule="auto"/>
        <w:tabs>
          <w:tab w:leader="none" w:pos="21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0" w:name="page191"/>
    <w:bookmarkEnd w:id="190"/>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1" w:name="page192"/>
    <w:bookmarkEnd w:id="191"/>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Going Concern</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80"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2" w:name="page193"/>
    <w:bookmarkEnd w:id="192"/>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 held in Trust Account</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approximates the carrying amounts represented in the balance sheet, primarily due to their short-term nature.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Common Share</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complies with accounting and disclosure requirements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ordinary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3" w:name="page194"/>
    <w:bookmarkEnd w:id="193"/>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net loss per common share</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30"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58"/>
              <w:spacing w:after="0"/>
              <w:rPr>
                <w:sz w:val="20"/>
                <w:szCs w:val="20"/>
                <w:color w:val="auto"/>
              </w:rPr>
            </w:pPr>
            <w:r>
              <w:rPr>
                <w:rFonts w:ascii="Arial" w:cs="Arial" w:eastAsia="Arial" w:hAnsi="Arial"/>
                <w:sz w:val="17"/>
                <w:szCs w:val="17"/>
                <w:b w:val="1"/>
                <w:bCs w:val="1"/>
                <w:color w:val="auto"/>
                <w:w w:val="94"/>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18"/>
              <w:spacing w:after="0"/>
              <w:rPr>
                <w:sz w:val="20"/>
                <w:szCs w:val="20"/>
                <w:color w:val="auto"/>
              </w:rPr>
            </w:pPr>
            <w:r>
              <w:rPr>
                <w:rFonts w:ascii="Arial" w:cs="Arial" w:eastAsia="Arial" w:hAnsi="Arial"/>
                <w:sz w:val="17"/>
                <w:szCs w:val="17"/>
                <w:b w:val="1"/>
                <w:bCs w:val="1"/>
                <w:color w:val="auto"/>
                <w:w w:val="94"/>
              </w:rPr>
              <w:t>Year Ended</w:t>
            </w:r>
          </w:p>
        </w:tc>
        <w:tc>
          <w:tcPr>
            <w:tcW w:w="0" w:type="dxa"/>
            <w:vAlign w:val="bottom"/>
          </w:tcPr>
          <w:p>
            <w:pPr>
              <w:spacing w:after="0"/>
              <w:rPr>
                <w:sz w:val="1"/>
                <w:szCs w:val="1"/>
                <w:color w:val="auto"/>
              </w:rPr>
            </w:pPr>
          </w:p>
        </w:tc>
      </w:tr>
      <w:tr>
        <w:trPr>
          <w:trHeight w:val="222"/>
        </w:trPr>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78"/>
              <w:spacing w:after="0"/>
              <w:rPr>
                <w:sz w:val="20"/>
                <w:szCs w:val="20"/>
                <w:color w:val="auto"/>
              </w:rPr>
            </w:pPr>
            <w:r>
              <w:rPr>
                <w:rFonts w:ascii="Arial" w:cs="Arial" w:eastAsia="Arial" w:hAnsi="Arial"/>
                <w:sz w:val="17"/>
                <w:szCs w:val="17"/>
                <w:b w:val="1"/>
                <w:bCs w:val="1"/>
                <w:color w:val="auto"/>
                <w:w w:val="92"/>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38"/>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8"/>
        </w:trPr>
        <w:tc>
          <w:tcPr>
            <w:tcW w:w="7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89"/>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3"/>
              <w:spacing w:after="0"/>
              <w:rPr>
                <w:sz w:val="20"/>
                <w:szCs w:val="20"/>
                <w:color w:val="auto"/>
              </w:rPr>
            </w:pPr>
            <w:r>
              <w:rPr>
                <w:rFonts w:ascii="Arial" w:cs="Arial" w:eastAsia="Arial" w:hAnsi="Arial"/>
                <w:sz w:val="17"/>
                <w:szCs w:val="17"/>
                <w:b w:val="1"/>
                <w:bCs w:val="1"/>
                <w:color w:val="auto"/>
                <w:w w:val="95"/>
              </w:rPr>
              <w:t>2016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(124,854)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300" w:type="dxa"/>
            <w:vAlign w:val="bottom"/>
          </w:tcPr>
          <w:p>
            <w:pPr>
              <w:spacing w:after="0"/>
              <w:rPr>
                <w:sz w:val="20"/>
                <w:szCs w:val="20"/>
                <w:color w:val="auto"/>
              </w:rPr>
            </w:pPr>
            <w:r>
              <w:rPr>
                <w:rFonts w:ascii="Arial" w:cs="Arial" w:eastAsia="Arial" w:hAnsi="Arial"/>
                <w:sz w:val="17"/>
                <w:szCs w:val="17"/>
                <w:color w:val="auto"/>
              </w:rPr>
              <w:t>Less: Income attributable to common shares subject to redemption</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(309,425)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38,533</w:t>
            </w:r>
          </w:p>
        </w:tc>
        <w:tc>
          <w:tcPr>
            <w:tcW w:w="0" w:type="dxa"/>
            <w:vAlign w:val="bottom"/>
          </w:tcPr>
          <w:p>
            <w:pPr>
              <w:spacing w:after="0"/>
              <w:rPr>
                <w:sz w:val="1"/>
                <w:szCs w:val="1"/>
                <w:color w:val="auto"/>
              </w:rPr>
            </w:pPr>
          </w:p>
        </w:tc>
      </w:tr>
      <w:tr>
        <w:trPr>
          <w:trHeight w:val="20"/>
        </w:trPr>
        <w:tc>
          <w:tcPr>
            <w:tcW w:w="7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Adjusted net loss</w:t>
            </w: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5"/>
        </w:trPr>
        <w:tc>
          <w:tcPr>
            <w:tcW w:w="7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(434,279</w:t>
            </w:r>
          </w:p>
        </w:tc>
        <w:tc>
          <w:tcPr>
            <w:tcW w:w="140" w:type="dxa"/>
            <w:vAlign w:val="bottom"/>
            <w:vMerge w:val="continue"/>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(69,462</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basic and diluted</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
              <w:spacing w:after="0"/>
              <w:rPr>
                <w:sz w:val="20"/>
                <w:szCs w:val="20"/>
                <w:color w:val="auto"/>
              </w:rPr>
            </w:pPr>
            <w:r>
              <w:rPr>
                <w:rFonts w:ascii="Arial" w:cs="Arial" w:eastAsia="Arial" w:hAnsi="Arial"/>
                <w:sz w:val="17"/>
                <w:szCs w:val="17"/>
                <w:color w:val="auto"/>
              </w:rPr>
              <w:t>2,330,884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1,664,794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subject to possible conversion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Equity</w:t>
      </w:r>
      <w:r>
        <w:rPr>
          <w:rFonts w:ascii="Arial" w:cs="Arial" w:eastAsia="Arial" w:hAnsi="Arial"/>
          <w:sz w:val="17"/>
          <w:szCs w:val="17"/>
          <w:color w:val="auto"/>
        </w:rPr>
        <w:t>”. Common stock subject to mandatory conversion is classified as a liability instrument and is measured at fair value. Conditionally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accounts for income taxes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4"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Settlement Income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the date which these financial statements were issued.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Management does not believe that any recently issued, but not yet effective, accounting standards if currently adopted would have a material effect on the accompanying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Initial Public Offering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5" w:name="page196"/>
    <w:bookmarkEnd w:id="195"/>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Private Units</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Notes Payable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6" w:name="page197"/>
    <w:bookmarkEnd w:id="196"/>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Underwriting Agreement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Administrative Service Fee</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is authorized to issue 1,000,000 preferred shares with a par value of $0.001 per share with such designation, rights and preferences as may be determined from time to time by the Company’s board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there are no preferred shares issued or outstanding.</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Incorporation</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Company’s Certificate of Incorporation was amended in connection with the Offering to reduce the Company’s authorized shares of common stock from 50,000,000 to 30,000,000.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As of December 31, 2017 and 2016, there were 2,352,922 and 2,310,710 common shares issued and outstanding, which excludes 4,705,821 and 4,748,033 shares subject to possible conversion, respectively.</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Option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8" w:name="page199"/>
    <w:bookmarkEnd w:id="198"/>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20"/>
                <w:szCs w:val="20"/>
                <w:color w:val="auto"/>
              </w:rPr>
            </w:pPr>
            <w:r>
              <w:rPr>
                <w:rFonts w:ascii="Arial" w:cs="Arial" w:eastAsia="Arial" w:hAnsi="Arial"/>
                <w:sz w:val="17"/>
                <w:szCs w:val="17"/>
                <w:b w:val="1"/>
                <w:bCs w:val="1"/>
                <w:color w:val="auto"/>
              </w:rPr>
              <w:t>Note 8 — Income Tax</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100" w:type="dxa"/>
            <w:vAlign w:val="bottom"/>
          </w:tcPr>
          <w:p>
            <w:pPr>
              <w:spacing w:after="0"/>
              <w:rPr>
                <w:sz w:val="20"/>
                <w:szCs w:val="20"/>
                <w:color w:val="auto"/>
              </w:rPr>
            </w:pPr>
            <w:r>
              <w:rPr>
                <w:rFonts w:ascii="Arial" w:cs="Arial" w:eastAsia="Arial" w:hAnsi="Arial"/>
                <w:sz w:val="17"/>
                <w:szCs w:val="17"/>
                <w:color w:val="auto"/>
              </w:rPr>
              <w:t>The Company’s deferred tax assets are as follows at December 31, 2017 and 2016:</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24"/>
                <w:szCs w:val="2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00" w:type="dxa"/>
            <w:vAlign w:val="bottom"/>
          </w:tcPr>
          <w:p>
            <w:pPr>
              <w:ind w:left="160"/>
              <w:spacing w:after="0"/>
              <w:rPr>
                <w:sz w:val="20"/>
                <w:szCs w:val="20"/>
                <w:color w:val="auto"/>
              </w:rPr>
            </w:pPr>
            <w:r>
              <w:rPr>
                <w:rFonts w:ascii="Arial" w:cs="Arial" w:eastAsia="Arial" w:hAnsi="Arial"/>
                <w:sz w:val="17"/>
                <w:szCs w:val="17"/>
                <w:color w:val="auto"/>
              </w:rPr>
              <w:t>Net operating loss carryforward</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51,046</w:t>
            </w:r>
          </w:p>
        </w:tc>
        <w:tc>
          <w:tcPr>
            <w:tcW w:w="12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(51,046</w:t>
            </w:r>
          </w:p>
        </w:tc>
        <w:tc>
          <w:tcPr>
            <w:tcW w:w="220" w:type="dxa"/>
            <w:vAlign w:val="bottom"/>
            <w:tcBorders>
              <w:top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color w:val="auto"/>
              </w:rPr>
              <w:t>Deferred tax asset, net of allowance</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7"/>
                <w:szCs w:val="17"/>
                <w:color w:val="auto"/>
              </w:rPr>
              <w:t>The income tax provision (benefit) consists of the following at December 31, 2017 and 2016:</w:t>
            </w: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ind w:right="258"/>
              <w:spacing w:after="0"/>
              <w:rPr>
                <w:sz w:val="20"/>
                <w:szCs w:val="20"/>
                <w:color w:val="auto"/>
              </w:rPr>
            </w:pPr>
            <w:r>
              <w:rPr>
                <w:rFonts w:ascii="Arial" w:cs="Arial" w:eastAsia="Arial" w:hAnsi="Arial"/>
                <w:sz w:val="17"/>
                <w:szCs w:val="17"/>
                <w:b w:val="1"/>
                <w:bCs w:val="1"/>
                <w:color w:val="auto"/>
                <w:w w:val="94"/>
              </w:rPr>
              <w:t>Year Ended</w:t>
            </w:r>
          </w:p>
        </w:tc>
        <w:tc>
          <w:tcPr>
            <w:tcW w:w="120" w:type="dxa"/>
            <w:vAlign w:val="bottom"/>
          </w:tcPr>
          <w:p>
            <w:pPr>
              <w:spacing w:after="0"/>
              <w:rPr>
                <w:sz w:val="24"/>
                <w:szCs w:val="24"/>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1"/>
              </w:rPr>
              <w:t>Year Ended</w:t>
            </w:r>
          </w:p>
        </w:tc>
        <w:tc>
          <w:tcPr>
            <w:tcW w:w="0" w:type="dxa"/>
            <w:vAlign w:val="bottom"/>
          </w:tcPr>
          <w:p>
            <w:pPr>
              <w:spacing w:after="0"/>
              <w:rPr>
                <w:sz w:val="1"/>
                <w:szCs w:val="1"/>
                <w:color w:val="auto"/>
              </w:rPr>
            </w:pPr>
          </w:p>
        </w:tc>
      </w:tr>
      <w:tr>
        <w:trPr>
          <w:trHeight w:val="228"/>
        </w:trPr>
        <w:tc>
          <w:tcPr>
            <w:tcW w:w="7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gridSpan w:val="2"/>
          </w:tcPr>
          <w:p>
            <w:pPr>
              <w:jc w:val="center"/>
              <w:ind w:right="278"/>
              <w:spacing w:after="0"/>
              <w:rPr>
                <w:sz w:val="20"/>
                <w:szCs w:val="20"/>
                <w:color w:val="auto"/>
              </w:rPr>
            </w:pPr>
            <w:r>
              <w:rPr>
                <w:rFonts w:ascii="Arial" w:cs="Arial" w:eastAsia="Arial" w:hAnsi="Arial"/>
                <w:sz w:val="17"/>
                <w:szCs w:val="17"/>
                <w:b w:val="1"/>
                <w:bCs w:val="1"/>
                <w:color w:val="auto"/>
                <w:w w:val="92"/>
              </w:rPr>
              <w:t>December 31, 2017</w:t>
            </w:r>
          </w:p>
        </w:tc>
        <w:tc>
          <w:tcPr>
            <w:tcW w:w="120" w:type="dxa"/>
            <w:vAlign w:val="bottom"/>
          </w:tcPr>
          <w:p>
            <w:pPr>
              <w:spacing w:after="0"/>
              <w:rPr>
                <w:sz w:val="19"/>
                <w:szCs w:val="19"/>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2"/>
              </w:rPr>
              <w:t>December 31, 2016</w:t>
            </w: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Federal</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Current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(26,219)</w:t>
            </w:r>
          </w:p>
        </w:tc>
        <w:tc>
          <w:tcPr>
            <w:tcW w:w="12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(36,718)</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7"/>
                <w:szCs w:val="17"/>
                <w:color w:val="auto"/>
              </w:rPr>
              <w:t>State and Local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160"/>
              <w:spacing w:after="0"/>
              <w:rPr>
                <w:sz w:val="20"/>
                <w:szCs w:val="20"/>
                <w:color w:val="auto"/>
              </w:rPr>
            </w:pPr>
            <w:r>
              <w:rPr>
                <w:rFonts w:ascii="Arial" w:cs="Arial" w:eastAsia="Arial" w:hAnsi="Arial"/>
                <w:sz w:val="17"/>
                <w:szCs w:val="17"/>
                <w:color w:val="auto"/>
              </w:rPr>
              <w:t>Deferred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right"/>
              <w:ind w:right="78"/>
              <w:spacing w:after="0"/>
              <w:rPr>
                <w:sz w:val="20"/>
                <w:szCs w:val="20"/>
                <w:color w:val="auto"/>
              </w:rPr>
            </w:pPr>
            <w:r>
              <w:rPr>
                <w:rFonts w:ascii="Arial" w:cs="Arial" w:eastAsia="Arial" w:hAnsi="Arial"/>
                <w:sz w:val="17"/>
                <w:szCs w:val="17"/>
                <w:color w:val="auto"/>
              </w:rPr>
              <w:t>(3,296)</w:t>
            </w:r>
          </w:p>
        </w:tc>
        <w:tc>
          <w:tcPr>
            <w:tcW w:w="12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Arial" w:cs="Arial" w:eastAsia="Arial" w:hAnsi="Arial"/>
                <w:sz w:val="17"/>
                <w:szCs w:val="17"/>
                <w:color w:val="auto"/>
              </w:rPr>
              <w:t>(9,874)</w:t>
            </w:r>
          </w:p>
        </w:tc>
        <w:tc>
          <w:tcPr>
            <w:tcW w:w="0" w:type="dxa"/>
            <w:vAlign w:val="bottom"/>
          </w:tcPr>
          <w:p>
            <w:pPr>
              <w:spacing w:after="0"/>
              <w:rPr>
                <w:sz w:val="1"/>
                <w:szCs w:val="1"/>
                <w:color w:val="auto"/>
              </w:rPr>
            </w:pPr>
          </w:p>
        </w:tc>
      </w:tr>
      <w:tr>
        <w:trPr>
          <w:trHeight w:val="222"/>
        </w:trPr>
        <w:tc>
          <w:tcPr>
            <w:tcW w:w="710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5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29,515</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a net operating loss (“NOL”) of approximately $243,100.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2017.</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26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199" w:name="page200"/>
    <w:bookmarkEnd w:id="199"/>
    <w:p>
      <w:pPr>
        <w:spacing w:after="0"/>
        <w:rPr>
          <w:sz w:val="20"/>
          <w:szCs w:val="20"/>
          <w:color w:val="auto"/>
        </w:rPr>
      </w:pPr>
      <w:r>
        <w:rPr>
          <w:rFonts w:ascii="Arial" w:cs="Arial" w:eastAsia="Arial" w:hAnsi="Arial"/>
          <w:sz w:val="17"/>
          <w:szCs w:val="17"/>
          <w:b w:val="1"/>
          <w:bCs w:val="1"/>
          <w:color w:val="auto"/>
        </w:rPr>
        <w:t>M I Acquisitions,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53975</wp:posOffset>
            </wp:positionV>
            <wp:extent cx="725106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statutory tax rate to the Company’s effective tax rates as of December 31, 2017 and 2016 is as follows:</w:t>
      </w:r>
    </w:p>
    <w:p>
      <w:pPr>
        <w:sectPr>
          <w:pgSz w:w="11900" w:h="16838" w:orient="portrait"/>
          <w:cols w:equalWidth="0" w:num="1">
            <w:col w:w="11420"/>
          </w:cols>
          <w:pgMar w:left="240" w:top="7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Statutory federal income tax rate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State taxes, net of federal tax benefit</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Change in valuation allowance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Income tax provision (benefit)</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960" w:type="dxa"/>
            <w:vAlign w:val="bottom"/>
            <w:gridSpan w:val="2"/>
          </w:tcPr>
          <w:p>
            <w:pPr>
              <w:jc w:val="right"/>
              <w:ind w:right="593"/>
              <w:spacing w:after="0"/>
              <w:rPr>
                <w:sz w:val="20"/>
                <w:szCs w:val="20"/>
                <w:color w:val="auto"/>
              </w:rPr>
            </w:pPr>
            <w:r>
              <w:rPr>
                <w:rFonts w:ascii="Arial" w:cs="Arial" w:eastAsia="Arial" w:hAnsi="Arial"/>
                <w:sz w:val="17"/>
                <w:szCs w:val="17"/>
                <w:b w:val="1"/>
                <w:bCs w:val="1"/>
                <w:color w:val="auto"/>
              </w:rPr>
              <w:t>Year Ended</w:t>
            </w:r>
          </w:p>
        </w:tc>
        <w:tc>
          <w:tcPr>
            <w:tcW w:w="18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4"/>
              </w:rPr>
              <w:t>Year Ended</w:t>
            </w:r>
          </w:p>
        </w:tc>
      </w:tr>
      <w:tr>
        <w:trPr>
          <w:trHeight w:val="228"/>
        </w:trPr>
        <w:tc>
          <w:tcPr>
            <w:tcW w:w="17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December 31, 2017</w:t>
            </w:r>
          </w:p>
        </w:tc>
        <w:tc>
          <w:tcPr>
            <w:tcW w:w="26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December 31, 2016</w:t>
            </w:r>
          </w:p>
        </w:tc>
        <w:tc>
          <w:tcPr>
            <w:tcW w:w="140" w:type="dxa"/>
            <w:vAlign w:val="bottom"/>
          </w:tcPr>
          <w:p>
            <w:pPr>
              <w:spacing w:after="0"/>
              <w:rPr>
                <w:sz w:val="19"/>
                <w:szCs w:val="19"/>
                <w:color w:val="auto"/>
              </w:rPr>
            </w:pPr>
          </w:p>
        </w:tc>
      </w:tr>
      <w:tr>
        <w:trPr>
          <w:trHeight w:val="190"/>
        </w:trPr>
        <w:tc>
          <w:tcPr>
            <w:tcW w:w="1960" w:type="dxa"/>
            <w:vAlign w:val="bottom"/>
            <w:gridSpan w:val="2"/>
          </w:tcPr>
          <w:p>
            <w:pPr>
              <w:jc w:val="right"/>
              <w:ind w:right="33"/>
              <w:spacing w:after="0" w:line="190" w:lineRule="exact"/>
              <w:rPr>
                <w:sz w:val="20"/>
                <w:szCs w:val="20"/>
                <w:color w:val="auto"/>
              </w:rPr>
            </w:pPr>
            <w:r>
              <w:rPr>
                <w:rFonts w:ascii="Arial" w:cs="Arial" w:eastAsia="Arial" w:hAnsi="Arial"/>
                <w:sz w:val="17"/>
                <w:szCs w:val="17"/>
                <w:color w:val="auto"/>
              </w:rPr>
              <w:t>-21.0%</w:t>
            </w:r>
          </w:p>
        </w:tc>
        <w:tc>
          <w:tcPr>
            <w:tcW w:w="1860" w:type="dxa"/>
            <w:vAlign w:val="bottom"/>
            <w:gridSpan w:val="3"/>
          </w:tcPr>
          <w:p>
            <w:pPr>
              <w:jc w:val="right"/>
              <w:spacing w:after="0" w:line="190" w:lineRule="exact"/>
              <w:rPr>
                <w:sz w:val="20"/>
                <w:szCs w:val="20"/>
                <w:color w:val="auto"/>
              </w:rPr>
            </w:pPr>
            <w:r>
              <w:rPr>
                <w:rFonts w:ascii="Arial" w:cs="Arial" w:eastAsia="Arial" w:hAnsi="Arial"/>
                <w:sz w:val="17"/>
                <w:szCs w:val="17"/>
                <w:color w:val="auto"/>
              </w:rPr>
              <w:t>-34.0%</w:t>
            </w:r>
          </w:p>
        </w:tc>
      </w:tr>
      <w:tr>
        <w:trPr>
          <w:trHeight w:val="209"/>
        </w:trPr>
        <w:tc>
          <w:tcPr>
            <w:tcW w:w="1960" w:type="dxa"/>
            <w:vAlign w:val="bottom"/>
            <w:gridSpan w:val="2"/>
          </w:tcPr>
          <w:p>
            <w:pPr>
              <w:jc w:val="right"/>
              <w:ind w:right="33"/>
              <w:spacing w:after="0"/>
              <w:rPr>
                <w:sz w:val="20"/>
                <w:szCs w:val="20"/>
                <w:color w:val="auto"/>
              </w:rPr>
            </w:pPr>
            <w:r>
              <w:rPr>
                <w:rFonts w:ascii="Arial" w:cs="Arial" w:eastAsia="Arial" w:hAnsi="Arial"/>
                <w:sz w:val="17"/>
                <w:szCs w:val="17"/>
                <w:color w:val="auto"/>
              </w:rPr>
              <w:t>-2.6%</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-8.6%</w:t>
            </w:r>
          </w:p>
        </w:tc>
      </w:tr>
      <w:tr>
        <w:trPr>
          <w:trHeight w:val="234"/>
        </w:trPr>
        <w:tc>
          <w:tcPr>
            <w:tcW w:w="1960" w:type="dxa"/>
            <w:vAlign w:val="bottom"/>
            <w:gridSpan w:val="2"/>
          </w:tcPr>
          <w:p>
            <w:pPr>
              <w:jc w:val="right"/>
              <w:ind w:right="33"/>
              <w:spacing w:after="0"/>
              <w:rPr>
                <w:sz w:val="20"/>
                <w:szCs w:val="20"/>
                <w:color w:val="auto"/>
              </w:rPr>
            </w:pPr>
            <w:r>
              <w:rPr>
                <w:rFonts w:ascii="Arial" w:cs="Arial" w:eastAsia="Arial" w:hAnsi="Arial"/>
                <w:sz w:val="17"/>
                <w:szCs w:val="17"/>
                <w:color w:val="auto"/>
              </w:rPr>
              <w:t>23.6%</w:t>
            </w: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42.6%</w:t>
            </w:r>
          </w:p>
        </w:tc>
      </w:tr>
      <w:tr>
        <w:trPr>
          <w:trHeight w:val="216"/>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260" w:type="dxa"/>
            <w:vAlign w:val="bottom"/>
          </w:tcPr>
          <w:p>
            <w:pPr>
              <w:jc w:val="right"/>
              <w:ind w:right="33"/>
              <w:spacing w:after="0"/>
              <w:rPr>
                <w:sz w:val="20"/>
                <w:szCs w:val="20"/>
                <w:color w:val="auto"/>
              </w:rPr>
            </w:pPr>
            <w:r>
              <w:rPr>
                <w:rFonts w:ascii="Arial" w:cs="Arial" w:eastAsia="Arial" w:hAnsi="Arial"/>
                <w:sz w:val="17"/>
                <w:szCs w:val="17"/>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w w:val="92"/>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-4822190</wp:posOffset>
            </wp:positionH>
            <wp:positionV relativeFrom="paragraph">
              <wp:posOffset>-589280</wp:posOffset>
            </wp:positionV>
            <wp:extent cx="7251065" cy="140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1065" cy="140970"/>
                    </a:xfrm>
                    <a:prstGeom prst="rect">
                      <a:avLst/>
                    </a:prstGeom>
                    <a:noFill/>
                  </pic:spPr>
                </pic:pic>
              </a:graphicData>
            </a:graphic>
          </wp:anchor>
        </w:drawing>
        <w:drawing>
          <wp:anchor simplePos="0" relativeHeight="251657728" behindDoc="1" locked="0" layoutInCell="0" allowOverlap="1">
            <wp:simplePos x="0" y="0"/>
            <wp:positionH relativeFrom="column">
              <wp:posOffset>-4822190</wp:posOffset>
            </wp:positionH>
            <wp:positionV relativeFrom="paragraph">
              <wp:posOffset>-314960</wp:posOffset>
            </wp:positionV>
            <wp:extent cx="7251065" cy="140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1065" cy="140970"/>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6880" w:space="720"/>
            <w:col w:w="3820"/>
          </w:cols>
          <w:pgMar w:left="240" w:top="775" w:right="239" w:bottom="1440" w:gutter="0" w:footer="0" w:header="0"/>
          <w:type w:val="continuous"/>
        </w:sectPr>
      </w:pPr>
    </w:p>
    <w:p>
      <w:pPr>
        <w:spacing w:after="0" w:line="29"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73"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 xml:space="preserve">On March 13, 2018, the Company issued promissory notes in the aggregate principal amount of </w:t>
      </w:r>
      <w:r>
        <w:rPr>
          <w:rFonts w:ascii="Arial" w:cs="Arial" w:eastAsia="Arial" w:hAnsi="Arial"/>
          <w:sz w:val="15"/>
          <w:szCs w:val="15"/>
          <w:color w:val="auto"/>
          <w:highlight w:val="white"/>
        </w:rPr>
        <w:t>$132,753 to its sponsors (M SPAC LLC, M SPAC Holdings I,</w:t>
      </w:r>
      <w:r>
        <w:rPr>
          <w:rFonts w:ascii="Arial" w:cs="Arial" w:eastAsia="Arial" w:hAnsi="Arial"/>
          <w:sz w:val="15"/>
          <w:szCs w:val="15"/>
          <w:color w:val="auto"/>
        </w:rPr>
        <w:t xml:space="preserve"> </w:t>
      </w:r>
      <w:r>
        <w:rPr>
          <w:rFonts w:ascii="Arial" w:cs="Arial" w:eastAsia="Arial" w:hAnsi="Arial"/>
          <w:sz w:val="15"/>
          <w:szCs w:val="15"/>
          <w:color w:val="auto"/>
          <w:highlight w:val="white"/>
        </w:rPr>
        <w:t>LLC and M SPAC Holdings II, LLC)</w:t>
      </w:r>
      <w:r>
        <w:rPr>
          <w:rFonts w:ascii="Arial" w:cs="Arial" w:eastAsia="Arial" w:hAnsi="Arial"/>
          <w:sz w:val="15"/>
          <w:szCs w:val="15"/>
          <w:color w:val="auto"/>
        </w:rPr>
        <w:t>. The $132,753 received by the Company upon issuance of the notes was deposited into the Company’s trust account for the</w:t>
      </w:r>
      <w:r>
        <w:rPr>
          <w:rFonts w:ascii="Arial" w:cs="Arial" w:eastAsia="Arial" w:hAnsi="Arial"/>
          <w:sz w:val="15"/>
          <w:szCs w:val="15"/>
          <w:color w:val="auto"/>
          <w:highlight w:val="white"/>
        </w:rPr>
        <w:t xml:space="preserve"> </w:t>
      </w:r>
      <w:r>
        <w:rPr>
          <w:rFonts w:ascii="Arial" w:cs="Arial" w:eastAsia="Arial" w:hAnsi="Arial"/>
          <w:sz w:val="15"/>
          <w:szCs w:val="15"/>
          <w:color w:val="auto"/>
        </w:rPr>
        <w:t xml:space="preserve">benefit of its public stockholders in order to extend the </w:t>
      </w:r>
      <w:r>
        <w:rPr>
          <w:rFonts w:ascii="Arial" w:cs="Arial" w:eastAsia="Arial" w:hAnsi="Arial"/>
          <w:sz w:val="15"/>
          <w:szCs w:val="15"/>
          <w:color w:val="auto"/>
          <w:highlight w:val="white"/>
        </w:rPr>
        <w:t>period of time the Company has to complete a business combination for an additional one month, from</w:t>
      </w:r>
      <w:r>
        <w:rPr>
          <w:rFonts w:ascii="Arial" w:cs="Arial" w:eastAsia="Arial" w:hAnsi="Arial"/>
          <w:sz w:val="15"/>
          <w:szCs w:val="15"/>
          <w:color w:val="auto"/>
        </w:rPr>
        <w:t xml:space="preserve"> </w:t>
      </w:r>
      <w:r>
        <w:rPr>
          <w:rFonts w:ascii="Arial" w:cs="Arial" w:eastAsia="Arial" w:hAnsi="Arial"/>
          <w:sz w:val="15"/>
          <w:szCs w:val="15"/>
          <w:color w:val="auto"/>
          <w:highlight w:val="white"/>
        </w:rPr>
        <w:t>March 19, 2018 to April 19, 2018. The notes do not bear interest and are payable five business days after the date the Company completes a business combination.</w:t>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type w:val="continuous"/>
        </w:sectPr>
      </w:pPr>
    </w:p>
    <w:bookmarkStart w:id="200" w:name="page201"/>
    <w:bookmarkEnd w:id="200"/>
    <w:p>
      <w:pPr>
        <w:jc w:val="right"/>
        <w:spacing w:after="0"/>
        <w:rPr>
          <w:sz w:val="20"/>
          <w:szCs w:val="20"/>
          <w:color w:val="auto"/>
        </w:rPr>
      </w:pPr>
      <w:r>
        <w:rPr>
          <w:rFonts w:ascii="Arial" w:cs="Arial" w:eastAsia="Arial" w:hAnsi="Arial"/>
          <w:sz w:val="17"/>
          <w:szCs w:val="17"/>
          <w:b w:val="1"/>
          <w:bCs w:val="1"/>
          <w:color w:val="auto"/>
        </w:rPr>
        <w:t>ANNEX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1 to Warrant Agreement</w:t>
      </w:r>
    </w:p>
    <w:p>
      <w:pPr>
        <w:spacing w:after="0" w:line="22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 by and between Priority Technology Holdings, Inc., a Delaware corporation (fka M I Acquisitions,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American Stock Transfer &amp; Trust Company, LLC (the “</w:t>
      </w:r>
      <w:r>
        <w:rPr>
          <w:rFonts w:ascii="Arial" w:cs="Arial" w:eastAsia="Arial" w:hAnsi="Arial"/>
          <w:sz w:val="16"/>
          <w:szCs w:val="16"/>
          <w:u w:val="single" w:color="auto"/>
          <w:color w:val="auto"/>
        </w:rPr>
        <w:t>Warrant Agent</w:t>
      </w:r>
      <w:r>
        <w:rPr>
          <w:rFonts w:ascii="Arial" w:cs="Arial" w:eastAsia="Arial" w:hAnsi="Arial"/>
          <w:sz w:val="16"/>
          <w:szCs w:val="16"/>
          <w:color w:val="auto"/>
        </w:rPr>
        <w:t>”), and constitutes an amendment to that certain Amended and Restated Warrant Agreement, dated as of September 13, 2016 (the “</w:t>
      </w:r>
      <w:r>
        <w:rPr>
          <w:rFonts w:ascii="Arial" w:cs="Arial" w:eastAsia="Arial" w:hAnsi="Arial"/>
          <w:sz w:val="16"/>
          <w:szCs w:val="16"/>
          <w:u w:val="single" w:color="auto"/>
          <w:color w:val="auto"/>
        </w:rPr>
        <w:t>Existing Warrant Agreement</w:t>
      </w:r>
      <w:r>
        <w:rPr>
          <w:rFonts w:ascii="Arial" w:cs="Arial" w:eastAsia="Arial" w:hAnsi="Arial"/>
          <w:sz w:val="16"/>
          <w:szCs w:val="16"/>
          <w:color w:val="auto"/>
        </w:rPr>
        <w:t>”), between the Company and the Warrant Agent. Capitalized terms used but not otherwise defined in this Amendment shall have the meanings given to such terms in the Existing Warrant Agreement.</w:t>
      </w:r>
    </w:p>
    <w:p>
      <w:pPr>
        <w:spacing w:after="0" w:line="147"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WHEREAS, Section 9.8 of the Existing Warrant Agreement provides that the Company and the Warrant Agent may amend, subject to certain conditions provided therein, the Existing Warrant Agreement with written consent of the registered holders of a majority of the then outstanding Warrants;</w:t>
      </w:r>
    </w:p>
    <w:p>
      <w:pPr>
        <w:spacing w:after="0" w:line="136"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WHEREAS, the Company desires to amend the Existing Warrant Agreement to provide the Company with the right to require the holders of the Warrants to exchange all of the outstanding Warrants for shares of Common Stock of the Company, on the terms and subject to the conditions set forth herein; and</w:t>
      </w:r>
    </w:p>
    <w:p>
      <w:pPr>
        <w:spacing w:after="0" w:line="136" w:lineRule="exact"/>
        <w:rPr>
          <w:sz w:val="20"/>
          <w:szCs w:val="20"/>
          <w:color w:val="auto"/>
        </w:rPr>
      </w:pPr>
    </w:p>
    <w:p>
      <w:pPr>
        <w:ind w:right="40"/>
        <w:spacing w:after="0" w:line="359" w:lineRule="auto"/>
        <w:rPr>
          <w:sz w:val="20"/>
          <w:szCs w:val="20"/>
          <w:color w:val="auto"/>
        </w:rPr>
      </w:pPr>
      <w:r>
        <w:rPr>
          <w:rFonts w:ascii="Arial" w:cs="Arial" w:eastAsia="Arial" w:hAnsi="Arial"/>
          <w:sz w:val="15"/>
          <w:szCs w:val="15"/>
          <w:color w:val="auto"/>
        </w:rPr>
        <w:t>WHEREAS, in the exchange offer and consent solicitation undertaken by the Company pursuant to the Registration Statement on Form S-4 filed with the Securities and Exchange Commission, the registered holders of more than a majority of the then outstanding Warrants consented to and approved this Amendment.</w:t>
      </w:r>
    </w:p>
    <w:p>
      <w:pPr>
        <w:spacing w:after="0" w:line="112" w:lineRule="exact"/>
        <w:rPr>
          <w:sz w:val="20"/>
          <w:szCs w:val="20"/>
          <w:color w:val="auto"/>
        </w:rPr>
      </w:pPr>
    </w:p>
    <w:p>
      <w:pPr>
        <w:ind w:right="120"/>
        <w:spacing w:after="0" w:line="359" w:lineRule="auto"/>
        <w:rPr>
          <w:sz w:val="20"/>
          <w:szCs w:val="20"/>
          <w:color w:val="auto"/>
        </w:rPr>
      </w:pPr>
      <w:r>
        <w:rPr>
          <w:rFonts w:ascii="Arial" w:cs="Arial" w:eastAsia="Arial" w:hAnsi="Arial"/>
          <w:sz w:val="15"/>
          <w:szCs w:val="15"/>
          <w:color w:val="auto"/>
        </w:rPr>
        <w:t>NOW, THEREFORE, in consideration of the mutual agreements contained herein and other good and valuable consideration, the receipt and sufficiency of which are hereby acknowledged, and intending to be legally bound hereby, the parties hereto agree to amend the Existing Warrant Agreement as set forth herein.</w:t>
      </w:r>
    </w:p>
    <w:p>
      <w:pPr>
        <w:spacing w:after="0" w:line="112" w:lineRule="exact"/>
        <w:rPr>
          <w:sz w:val="20"/>
          <w:szCs w:val="20"/>
          <w:color w:val="auto"/>
        </w:rPr>
      </w:pPr>
    </w:p>
    <w:p>
      <w:pPr>
        <w:ind w:right="1620" w:firstLine="5"/>
        <w:spacing w:after="0" w:line="513" w:lineRule="auto"/>
        <w:tabs>
          <w:tab w:leader="none" w:pos="174"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Amendment of Existing Warrant Agreement</w:t>
      </w:r>
      <w:r>
        <w:rPr>
          <w:rFonts w:ascii="Arial" w:cs="Arial" w:eastAsia="Arial" w:hAnsi="Arial"/>
          <w:sz w:val="17"/>
          <w:szCs w:val="17"/>
          <w:color w:val="auto"/>
        </w:rPr>
        <w:t xml:space="preserve">. The Existing Warrant Agreement is hereby amended by adding the new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thereto: “6A </w:t>
      </w:r>
      <w:r>
        <w:rPr>
          <w:rFonts w:ascii="Arial" w:cs="Arial" w:eastAsia="Arial" w:hAnsi="Arial"/>
          <w:sz w:val="17"/>
          <w:szCs w:val="17"/>
          <w:u w:val="single" w:color="auto"/>
          <w:color w:val="auto"/>
        </w:rPr>
        <w:t>Mandatory Exchange</w:t>
      </w:r>
      <w:r>
        <w:rPr>
          <w:rFonts w:ascii="Arial" w:cs="Arial" w:eastAsia="Arial" w:hAnsi="Arial"/>
          <w:sz w:val="17"/>
          <w:szCs w:val="17"/>
          <w:color w:val="auto"/>
        </w:rPr>
        <w:t>.</w:t>
      </w:r>
    </w:p>
    <w:p>
      <w:pPr>
        <w:spacing w:after="0" w:line="1" w:lineRule="exact"/>
        <w:rPr>
          <w:sz w:val="20"/>
          <w:szCs w:val="20"/>
          <w:color w:val="auto"/>
        </w:rPr>
      </w:pPr>
    </w:p>
    <w:p>
      <w:pPr>
        <w:ind w:left="320" w:right="60"/>
        <w:spacing w:after="0" w:line="283" w:lineRule="auto"/>
        <w:rPr>
          <w:sz w:val="20"/>
          <w:szCs w:val="20"/>
          <w:color w:val="auto"/>
        </w:rPr>
      </w:pPr>
      <w:r>
        <w:rPr>
          <w:rFonts w:ascii="Arial" w:cs="Arial" w:eastAsia="Arial" w:hAnsi="Arial"/>
          <w:sz w:val="16"/>
          <w:szCs w:val="16"/>
          <w:color w:val="auto"/>
        </w:rPr>
        <w:t xml:space="preserve">6A.1 </w:t>
      </w:r>
      <w:r>
        <w:rPr>
          <w:rFonts w:ascii="Arial" w:cs="Arial" w:eastAsia="Arial" w:hAnsi="Arial"/>
          <w:sz w:val="16"/>
          <w:szCs w:val="16"/>
          <w:u w:val="single" w:color="auto"/>
          <w:color w:val="auto"/>
        </w:rPr>
        <w:t>Company Election to Exchange</w:t>
      </w:r>
      <w:r>
        <w:rPr>
          <w:rFonts w:ascii="Arial" w:cs="Arial" w:eastAsia="Arial" w:hAnsi="Arial"/>
          <w:sz w:val="16"/>
          <w:szCs w:val="16"/>
          <w:color w:val="auto"/>
        </w:rPr>
        <w:t xml:space="preserve">. Notwithstanding any other provision in this Agreement to the contrary, all (and not less than all) of the outstanding Warrants may be exchanged, at the option of the Company, at any time while they are exercisable and prior to their expiration, at the office of the Warrant Agent, upon notice to the registered holders of the outstanding Warrants, as described in </w:t>
      </w:r>
      <w:r>
        <w:rPr>
          <w:rFonts w:ascii="Arial" w:cs="Arial" w:eastAsia="Arial" w:hAnsi="Arial"/>
          <w:sz w:val="16"/>
          <w:szCs w:val="16"/>
          <w:u w:val="single" w:color="auto"/>
          <w:color w:val="auto"/>
        </w:rPr>
        <w:t>Section 6A.2</w:t>
      </w:r>
      <w:r>
        <w:rPr>
          <w:rFonts w:ascii="Arial" w:cs="Arial" w:eastAsia="Arial" w:hAnsi="Arial"/>
          <w:sz w:val="16"/>
          <w:szCs w:val="16"/>
          <w:color w:val="auto"/>
        </w:rPr>
        <w:t xml:space="preserve"> below, for shares of Common Stock, at the exchange rate of 0.1728 shares for each Warrant held by the holder thereof (the “</w:t>
      </w:r>
      <w:r>
        <w:rPr>
          <w:rFonts w:ascii="Arial" w:cs="Arial" w:eastAsia="Arial" w:hAnsi="Arial"/>
          <w:sz w:val="16"/>
          <w:szCs w:val="16"/>
          <w:u w:val="single" w:color="auto"/>
          <w:color w:val="auto"/>
        </w:rPr>
        <w:t>Consideration</w:t>
      </w:r>
      <w:r>
        <w:rPr>
          <w:rFonts w:ascii="Arial" w:cs="Arial" w:eastAsia="Arial" w:hAnsi="Arial"/>
          <w:sz w:val="16"/>
          <w:szCs w:val="16"/>
          <w:color w:val="auto"/>
        </w:rPr>
        <w:t>”) (subject to equitable adjustment by the Company in the event of any stock splits, stock dividends, recapitalizations or similar transaction with respect to the Common Stock). In lieu of issuing fractional shares, any holder of Warrants who would otherwise have been entitled to receive fractional shares as Consideration will, after aggregating all such fractional shares of such holder, be paid in cash (without interest) in an amount equal to such fractional part of a share multiplied by [•].</w:t>
      </w:r>
      <w:r>
        <w:rPr>
          <w:rFonts w:ascii="Arial" w:cs="Arial" w:eastAsia="Arial" w:hAnsi="Arial"/>
          <w:sz w:val="27"/>
          <w:szCs w:val="27"/>
          <w:color w:val="auto"/>
          <w:vertAlign w:val="superscript"/>
        </w:rPr>
        <w:t>1</w:t>
      </w:r>
    </w:p>
    <w:p>
      <w:pPr>
        <w:spacing w:after="0" w:line="72" w:lineRule="exact"/>
        <w:rPr>
          <w:sz w:val="20"/>
          <w:szCs w:val="20"/>
          <w:color w:val="auto"/>
        </w:rPr>
      </w:pPr>
    </w:p>
    <w:p>
      <w:pPr>
        <w:ind w:left="320" w:right="80"/>
        <w:spacing w:after="0" w:line="264" w:lineRule="auto"/>
        <w:rPr>
          <w:sz w:val="20"/>
          <w:szCs w:val="20"/>
          <w:color w:val="auto"/>
        </w:rPr>
      </w:pPr>
      <w:r>
        <w:rPr>
          <w:rFonts w:ascii="Arial" w:cs="Arial" w:eastAsia="Arial" w:hAnsi="Arial"/>
          <w:sz w:val="17"/>
          <w:szCs w:val="17"/>
          <w:color w:val="auto"/>
        </w:rPr>
        <w:t xml:space="preserve">6A.2 </w:t>
      </w:r>
      <w:r>
        <w:rPr>
          <w:rFonts w:ascii="Arial" w:cs="Arial" w:eastAsia="Arial" w:hAnsi="Arial"/>
          <w:sz w:val="17"/>
          <w:szCs w:val="17"/>
          <w:u w:val="single" w:color="auto"/>
          <w:color w:val="auto"/>
        </w:rPr>
        <w:t>Date Fixed for, and Notice of, Exchange</w:t>
      </w:r>
      <w:r>
        <w:rPr>
          <w:rFonts w:ascii="Arial" w:cs="Arial" w:eastAsia="Arial" w:hAnsi="Arial"/>
          <w:sz w:val="17"/>
          <w:szCs w:val="17"/>
          <w:color w:val="auto"/>
        </w:rPr>
        <w:t>. In the event that the Company elects to exchange all of the Warrants, the Company shall fix a date for the exchange (the “</w:t>
      </w:r>
      <w:r>
        <w:rPr>
          <w:rFonts w:ascii="Arial" w:cs="Arial" w:eastAsia="Arial" w:hAnsi="Arial"/>
          <w:sz w:val="17"/>
          <w:szCs w:val="17"/>
          <w:u w:val="single" w:color="auto"/>
          <w:color w:val="auto"/>
        </w:rPr>
        <w:t>Exchange Date</w:t>
      </w:r>
      <w:r>
        <w:rPr>
          <w:rFonts w:ascii="Arial" w:cs="Arial" w:eastAsia="Arial" w:hAnsi="Arial"/>
          <w:sz w:val="17"/>
          <w:szCs w:val="17"/>
          <w:color w:val="auto"/>
        </w:rPr>
        <w:t>”). Notice of exchange shall be mailed by first class mail, postage prepaid, by the Company not less than fifteen (15) days prior to the Exchange Date to the registered holders of the Warrants at their last addresses as they shall appear on the registration books. Any notice mailed in the manner herein provided shall be conclusively presumed to have been duly given whether or not the registered holder received such notice. The Company will make a public announcement of its election following the mailing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145351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453515" cy="16510"/>
                    </a:xfrm>
                    <a:prstGeom prst="rect">
                      <a:avLst/>
                    </a:prstGeom>
                    <a:noFill/>
                  </pic:spPr>
                </pic:pic>
              </a:graphicData>
            </a:graphic>
          </wp:anchor>
        </w:drawing>
      </w:r>
    </w:p>
    <w:p>
      <w:pPr>
        <w:spacing w:after="0" w:line="202" w:lineRule="exact"/>
        <w:rPr>
          <w:sz w:val="20"/>
          <w:szCs w:val="20"/>
          <w:color w:val="auto"/>
        </w:rPr>
      </w:pPr>
    </w:p>
    <w:p>
      <w:pPr>
        <w:ind w:right="520"/>
        <w:spacing w:after="0" w:line="212" w:lineRule="auto"/>
        <w:rPr>
          <w:sz w:val="20"/>
          <w:szCs w:val="20"/>
          <w:color w:val="auto"/>
        </w:rPr>
      </w:pPr>
      <w:r>
        <w:rPr>
          <w:rFonts w:ascii="Arial" w:cs="Arial" w:eastAsia="Arial" w:hAnsi="Arial"/>
          <w:sz w:val="29"/>
          <w:szCs w:val="29"/>
          <w:color w:val="auto"/>
          <w:vertAlign w:val="superscript"/>
        </w:rPr>
        <w:t>1</w:t>
      </w:r>
      <w:r>
        <w:rPr>
          <w:rFonts w:ascii="Arial" w:cs="Arial" w:eastAsia="Arial" w:hAnsi="Arial"/>
          <w:sz w:val="17"/>
          <w:szCs w:val="17"/>
          <w:color w:val="auto"/>
        </w:rPr>
        <w:t>This will be the last sale price of the Company’s Common Stock on The NASDAQ Global Market on the last trading day of the Offer Period (as defined in Amendment No. 2 to the Registration Statement on Form S-4 filed with the SEC on January 22, 2019).</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201" w:name="page202"/>
    <w:bookmarkEnd w:id="201"/>
    <w:p>
      <w:pPr>
        <w:jc w:val="both"/>
        <w:ind w:left="320"/>
        <w:spacing w:after="0" w:line="267" w:lineRule="auto"/>
        <w:rPr>
          <w:sz w:val="20"/>
          <w:szCs w:val="20"/>
          <w:color w:val="auto"/>
        </w:rPr>
      </w:pPr>
      <w:r>
        <w:rPr>
          <w:rFonts w:ascii="Arial" w:cs="Arial" w:eastAsia="Arial" w:hAnsi="Arial"/>
          <w:sz w:val="17"/>
          <w:szCs w:val="17"/>
          <w:color w:val="auto"/>
        </w:rPr>
        <w:t xml:space="preserve">6A.3 </w:t>
      </w:r>
      <w:r>
        <w:rPr>
          <w:rFonts w:ascii="Arial" w:cs="Arial" w:eastAsia="Arial" w:hAnsi="Arial"/>
          <w:sz w:val="17"/>
          <w:szCs w:val="17"/>
          <w:u w:val="single" w:color="auto"/>
          <w:color w:val="auto"/>
        </w:rPr>
        <w:t>Exercise After Notice of Exchange</w:t>
      </w:r>
      <w:r>
        <w:rPr>
          <w:rFonts w:ascii="Arial" w:cs="Arial" w:eastAsia="Arial" w:hAnsi="Arial"/>
          <w:sz w:val="17"/>
          <w:szCs w:val="17"/>
          <w:color w:val="auto"/>
        </w:rPr>
        <w:t xml:space="preserve">. The Warrants may be exercised, for cash (or on a “cashless basis” in accordance with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of this Agreement) at any time after notice of exchange shall have been given by the Company pursuant to </w:t>
      </w:r>
      <w:r>
        <w:rPr>
          <w:rFonts w:ascii="Arial" w:cs="Arial" w:eastAsia="Arial" w:hAnsi="Arial"/>
          <w:sz w:val="17"/>
          <w:szCs w:val="17"/>
          <w:u w:val="single" w:color="auto"/>
          <w:color w:val="auto"/>
        </w:rPr>
        <w:t>Section 6A.2</w:t>
      </w:r>
      <w:r>
        <w:rPr>
          <w:rFonts w:ascii="Arial" w:cs="Arial" w:eastAsia="Arial" w:hAnsi="Arial"/>
          <w:sz w:val="17"/>
          <w:szCs w:val="17"/>
          <w:color w:val="auto"/>
        </w:rPr>
        <w:t xml:space="preserve"> hereof and prior to the Exchange Date. On and after the Exchange Date, the registered holder of the Warrants shall have no further rights except to receive, upon surrender of the Warrants, the Consideration.”</w:t>
      </w:r>
    </w:p>
    <w:p>
      <w:pPr>
        <w:spacing w:after="0" w:line="177" w:lineRule="exact"/>
        <w:rPr>
          <w:sz w:val="20"/>
          <w:szCs w:val="20"/>
          <w:color w:val="auto"/>
        </w:rPr>
      </w:pPr>
    </w:p>
    <w:p>
      <w:pPr>
        <w:ind w:left="180" w:hanging="175"/>
        <w:spacing w:after="0"/>
        <w:tabs>
          <w:tab w:leader="none" w:pos="180"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Miscellaneous Provisions</w:t>
      </w:r>
      <w:r>
        <w:rPr>
          <w:rFonts w:ascii="Arial" w:cs="Arial" w:eastAsia="Arial" w:hAnsi="Arial"/>
          <w:sz w:val="17"/>
          <w:szCs w:val="17"/>
          <w:color w:val="auto"/>
        </w:rPr>
        <w:t>.</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Severability</w:t>
      </w:r>
      <w:r>
        <w:rPr>
          <w:rFonts w:ascii="Arial" w:cs="Arial" w:eastAsia="Arial" w:hAnsi="Arial"/>
          <w:sz w:val="17"/>
          <w:szCs w:val="17"/>
          <w:color w:val="auto"/>
        </w:rPr>
        <w:t>. This Amendment shall be deemed severable, and the invalidity or unenforceability of any term or provision hereof shall not affect the validity or enforceability of this Amendment or of any other term or provision hereof. Furthermore, in lieu of any such invalid or unenforceable term or provision, the parties hereto intend that there shall be added as a part of this Amendment a provision as similar in terms to such invalid or unenforceable provision as may be possible and be valid and enforceable.</w:t>
      </w:r>
    </w:p>
    <w:p>
      <w:pPr>
        <w:spacing w:after="0" w:line="177"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Applicable Law</w:t>
      </w:r>
      <w:r>
        <w:rPr>
          <w:rFonts w:ascii="Arial" w:cs="Arial" w:eastAsia="Arial" w:hAnsi="Arial"/>
          <w:sz w:val="17"/>
          <w:szCs w:val="17"/>
          <w:color w:val="auto"/>
        </w:rPr>
        <w:t>. The validity, interpretation and performance of this Amendment shall be governed in all respects by the laws of the State of New York, without giving effect to conflict of laws. The parties hereby agree that any action, proceeding or claim against it arising out of or relating in any way to this Amendment shall be brought and enforced in the courts of the State of New York or the United States District Court for the Southern District of New York, and irrevocably submits to such jurisdiction, which jurisdiction shall be exclusive. Each of the parties hereby waives any objection to such exclusive jurisdiction and that such courts represent an inconvenient forum.</w:t>
      </w:r>
    </w:p>
    <w:p>
      <w:pPr>
        <w:spacing w:after="0" w:line="181"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and by facsimile or portable document format (pdf) transmission, and each of such counterparts shall for all purposes be deemed to be an original and all such counterparts shall together constitute but one and the same instrument.</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are not part of this Amendment and shall not affect the interpretation thereof.</w:t>
      </w:r>
    </w:p>
    <w:p>
      <w:pPr>
        <w:spacing w:after="0" w:line="23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Existing Warrant Agreement, as modified by this Amendment, constitutes the entire understanding of the parties and supersedes all prior agreements, understandings, arrangements, promises and commitments, whether written or oral, express or implied, relating to the subject matter hereof, and all such prior agreements, understandings, arrangements, promises and commitments are hereby canceled and terminated.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[Signature follow on next page]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2" w:name="page203"/>
    <w:bookmarkEnd w:id="202"/>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parties has caused this Amendment to be duly executed as of the date first above written.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PRIORITY TECHNOLOGY HOLDINGS, INC.</w:t>
      </w:r>
    </w:p>
    <w:p>
      <w:pPr>
        <w:spacing w:after="0" w:line="2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-123190</wp:posOffset>
            </wp:positionV>
            <wp:extent cx="19519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AMERICAN STOCK TRANSFER &amp; TRUST COMPANY,</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LLC,</w:t>
      </w:r>
    </w:p>
    <w:p>
      <w:pPr>
        <w:spacing w:after="0" w:line="1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as Warrant Agent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6"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-123190</wp:posOffset>
            </wp:positionV>
            <wp:extent cx="19519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Title:</w:t>
      </w:r>
    </w:p>
    <w:p>
      <w:pPr>
        <w:spacing w:after="0" w:line="211"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[Signature Page to Warrant Agreement Amendment]</w:t>
      </w:r>
    </w:p>
    <w:p>
      <w:pPr>
        <w:spacing w:after="0" w:line="32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040"/>
          </w:cols>
          <w:pgMar w:left="240" w:top="775" w:right="61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2555875</wp:posOffset>
            </wp:positionH>
            <wp:positionV relativeFrom="page">
              <wp:posOffset>495935</wp:posOffset>
            </wp:positionV>
            <wp:extent cx="2491740" cy="664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2491740" cy="66421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Offer to Exchange Warrants to Acquire Shares of Common Stock</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Priority Technology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of Common Stock of Priority Technology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175260</wp:posOffset>
            </wp:positionV>
            <wp:extent cx="14535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PRELIMINARY PROSPECTUS/OFFER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186690</wp:posOffset>
            </wp:positionV>
            <wp:extent cx="14535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453515"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i w:val="1"/>
          <w:iCs w:val="1"/>
          <w:color w:val="auto"/>
        </w:rPr>
        <w:t>The Exchange Agent for the Offer and Consent Solicitation is: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American Stock Transfer &amp; Trust Company, LLC</w:t>
      </w:r>
    </w:p>
    <w:p>
      <w:pPr>
        <w:sectPr>
          <w:pgSz w:w="11900" w:h="16838" w:orient="portrait"/>
          <w:cols w:equalWidth="0" w:num="1">
            <w:col w:w="11400"/>
          </w:cols>
          <w:pgMar w:left="240" w:top="1440" w:right="259" w:bottom="1440" w:gutter="0" w:footer="0" w:header="0"/>
        </w:sect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7"/>
          <w:szCs w:val="17"/>
          <w:u w:val="single" w:color="auto"/>
          <w:color w:val="auto"/>
        </w:rPr>
        <w:t>If delivering by mail:</w:t>
      </w:r>
    </w:p>
    <w:p>
      <w:pPr>
        <w:spacing w:after="0" w:line="22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American Stock Transfer &amp; Trust Company, LLC</w:t>
      </w:r>
    </w:p>
    <w:p>
      <w:pPr>
        <w:spacing w:after="0" w:line="37"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Operations Center</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Attn: Reorganization Department</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P.O. Box 2042</w:t>
      </w:r>
    </w:p>
    <w:p>
      <w:pPr>
        <w:spacing w:after="0" w:line="1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New York, New York 10272-2042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140"/>
        <w:spacing w:after="0"/>
        <w:rPr>
          <w:sz w:val="20"/>
          <w:szCs w:val="20"/>
          <w:color w:val="auto"/>
        </w:rPr>
      </w:pPr>
      <w:r>
        <w:rPr>
          <w:rFonts w:ascii="Arial" w:cs="Arial" w:eastAsia="Arial" w:hAnsi="Arial"/>
          <w:sz w:val="17"/>
          <w:szCs w:val="17"/>
          <w:u w:val="single" w:color="auto"/>
          <w:color w:val="auto"/>
        </w:rPr>
        <w:t>If delivering by hand or courier:</w:t>
      </w:r>
    </w:p>
    <w:p>
      <w:pPr>
        <w:spacing w:after="0" w:line="22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American Stock Transfer &amp; Trust Company, LLC</w:t>
      </w:r>
    </w:p>
    <w:p>
      <w:pPr>
        <w:spacing w:after="0" w:line="37"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Operations Center</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Attn: Reorganization Department</w:t>
      </w:r>
    </w:p>
    <w:p>
      <w:pPr>
        <w:jc w:val="center"/>
        <w:ind w:right="1180"/>
        <w:spacing w:after="0" w:line="190" w:lineRule="auto"/>
        <w:rPr>
          <w:sz w:val="20"/>
          <w:szCs w:val="20"/>
          <w:color w:val="auto"/>
        </w:rPr>
      </w:pPr>
      <w:r>
        <w:rPr>
          <w:rFonts w:ascii="Arial" w:cs="Arial" w:eastAsia="Arial" w:hAnsi="Arial"/>
          <w:sz w:val="17"/>
          <w:szCs w:val="17"/>
          <w:color w:val="auto"/>
        </w:rPr>
        <w:t>6201 15</w:t>
      </w:r>
      <w:r>
        <w:rPr>
          <w:rFonts w:ascii="Arial" w:cs="Arial" w:eastAsia="Arial" w:hAnsi="Arial"/>
          <w:sz w:val="29"/>
          <w:szCs w:val="29"/>
          <w:color w:val="auto"/>
          <w:vertAlign w:val="superscript"/>
        </w:rPr>
        <w:t>th</w:t>
      </w:r>
      <w:r>
        <w:rPr>
          <w:rFonts w:ascii="Arial" w:cs="Arial" w:eastAsia="Arial" w:hAnsi="Arial"/>
          <w:sz w:val="17"/>
          <w:szCs w:val="17"/>
          <w:color w:val="auto"/>
        </w:rPr>
        <w:t xml:space="preserve"> Avenue</w:t>
      </w:r>
    </w:p>
    <w:p>
      <w:pPr>
        <w:jc w:val="center"/>
        <w:ind w:right="1180"/>
        <w:spacing w:after="0"/>
        <w:rPr>
          <w:sz w:val="20"/>
          <w:szCs w:val="20"/>
          <w:color w:val="auto"/>
        </w:rPr>
      </w:pPr>
      <w:r>
        <w:rPr>
          <w:rFonts w:ascii="Arial" w:cs="Arial" w:eastAsia="Arial" w:hAnsi="Arial"/>
          <w:sz w:val="17"/>
          <w:szCs w:val="17"/>
          <w:color w:val="auto"/>
        </w:rPr>
        <w:t>Brooklyn, New York 11219</w:t>
      </w:r>
    </w:p>
    <w:p>
      <w:pPr>
        <w:spacing w:after="0" w:line="200" w:lineRule="exact"/>
        <w:rPr>
          <w:sz w:val="20"/>
          <w:szCs w:val="20"/>
          <w:color w:val="auto"/>
        </w:rPr>
      </w:pPr>
    </w:p>
    <w:p>
      <w:pPr>
        <w:sectPr>
          <w:pgSz w:w="11900" w:h="16838" w:orient="portrait"/>
          <w:cols w:equalWidth="0" w:num="2">
            <w:col w:w="6040" w:space="720"/>
            <w:col w:w="4640"/>
          </w:cols>
          <w:pgMar w:left="240" w:top="1440" w:right="259" w:bottom="1440" w:gutter="0" w:footer="0" w:header="0"/>
          <w:type w:val="continuous"/>
        </w:sectPr>
      </w:pPr>
    </w:p>
    <w:p>
      <w:pPr>
        <w:spacing w:after="0" w:line="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Any questions or requests for assistance may be directed to the dealer manager at the address and telephone number set forth below. Requests for additional copies of this Prospectus/Offer to Exchange and the Letter of Transmittal and Consent may be directed to the Information Agent. Beneficial owners may also contact their custodian for assistance concerning the Offer and Consent Solicitation.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The Information Agent for the Offer and Consent Solicitation is:</w:t>
      </w:r>
    </w:p>
    <w:p>
      <w:pPr>
        <w:spacing w:after="0" w:line="217"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D.F. King &amp; Co., Inc.</w:t>
      </w:r>
    </w:p>
    <w:p>
      <w:pPr>
        <w:ind w:left="4800"/>
        <w:spacing w:after="0" w:line="203" w:lineRule="auto"/>
        <w:rPr>
          <w:sz w:val="20"/>
          <w:szCs w:val="20"/>
          <w:color w:val="auto"/>
        </w:rPr>
      </w:pPr>
      <w:r>
        <w:rPr>
          <w:rFonts w:ascii="Arial" w:cs="Arial" w:eastAsia="Arial" w:hAnsi="Arial"/>
          <w:sz w:val="17"/>
          <w:szCs w:val="17"/>
          <w:color w:val="auto"/>
        </w:rPr>
        <w:t>48 Wall Street, 22</w:t>
      </w:r>
      <w:r>
        <w:rPr>
          <w:rFonts w:ascii="Arial" w:cs="Arial" w:eastAsia="Arial" w:hAnsi="Arial"/>
          <w:sz w:val="29"/>
          <w:szCs w:val="29"/>
          <w:color w:val="auto"/>
          <w:vertAlign w:val="superscript"/>
        </w:rPr>
        <w:t>nd</w:t>
      </w:r>
      <w:r>
        <w:rPr>
          <w:rFonts w:ascii="Arial" w:cs="Arial" w:eastAsia="Arial" w:hAnsi="Arial"/>
          <w:sz w:val="17"/>
          <w:szCs w:val="17"/>
          <w:color w:val="auto"/>
        </w:rPr>
        <w:t xml:space="preserve"> Floor</w:t>
      </w:r>
    </w:p>
    <w:p>
      <w:pPr>
        <w:jc w:val="center"/>
        <w:ind w:right="-39"/>
        <w:spacing w:after="0"/>
        <w:rPr>
          <w:sz w:val="20"/>
          <w:szCs w:val="20"/>
          <w:color w:val="auto"/>
        </w:rPr>
      </w:pPr>
      <w:r>
        <w:rPr>
          <w:rFonts w:ascii="Arial" w:cs="Arial" w:eastAsia="Arial" w:hAnsi="Arial"/>
          <w:sz w:val="17"/>
          <w:szCs w:val="17"/>
          <w:color w:val="auto"/>
        </w:rPr>
        <w:t>New York, New York 10005</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Banks and Brokers Call Collect: (212) 269-5550</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 Others Call Toll-Free: (800) 967-4607</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PRTH@dfking.com</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The Dealer Manager for the Offer and Consent Solicitation is:</w:t>
      </w: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Cowen and Company, LLC</w:t>
      </w:r>
    </w:p>
    <w:p>
      <w:pPr>
        <w:spacing w:after="0" w:line="32"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599 Lexington Avenue</w:t>
      </w:r>
    </w:p>
    <w:p>
      <w:pPr>
        <w:spacing w:after="0" w:line="14"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New York, New York 10022</w:t>
      </w:r>
    </w:p>
    <w:p>
      <w:pPr>
        <w:spacing w:after="0" w:line="1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Tel: (833) 297-2926</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Attn: Equity Capital Markets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1065" cy="247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204" w:name="page205"/>
    <w:bookmarkEnd w:id="204"/>
    <w:p>
      <w:pPr>
        <w:jc w:val="center"/>
        <w:ind w:right="60"/>
        <w:spacing w:after="0"/>
        <w:rPr>
          <w:sz w:val="20"/>
          <w:szCs w:val="20"/>
          <w:color w:val="auto"/>
        </w:rPr>
      </w:pPr>
      <w:r>
        <w:rPr>
          <w:rFonts w:ascii="Arial" w:cs="Arial" w:eastAsia="Arial" w:hAnsi="Arial"/>
          <w:sz w:val="17"/>
          <w:szCs w:val="17"/>
          <w:b w:val="1"/>
          <w:bCs w:val="1"/>
          <w:color w:val="auto"/>
        </w:rPr>
        <w:t>Part II</w:t>
      </w:r>
    </w:p>
    <w:p>
      <w:pPr>
        <w:spacing w:after="0" w:line="223"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20. Indemnification of Directors and Officers.</w:t>
      </w:r>
    </w:p>
    <w:p>
      <w:pPr>
        <w:spacing w:after="0" w:line="223"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Subsection (a) of Section 145 of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8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 (iii) under Section 174 of the DGCL (providing for liability of directors for unlawful payment of dividends or unlawful stock purchases or redemptions) or (iv) for any transaction from which the director derived an improper personal benefit. Pursuant to Delaware law, this includes elimination of liability for monetary damages for breach of the directors’ fiduciary duty of care to the Company and its stockholders. However, our directors may be personally liable for liability:</w:t>
      </w:r>
    </w:p>
    <w:p>
      <w:pPr>
        <w:spacing w:after="0" w:line="168" w:lineRule="exact"/>
        <w:rPr>
          <w:sz w:val="20"/>
          <w:szCs w:val="20"/>
          <w:color w:val="auto"/>
        </w:rPr>
      </w:pPr>
    </w:p>
    <w:p>
      <w:pPr>
        <w:ind w:left="640" w:hanging="321"/>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any breach of duty of loyalty to us or to our stockholders;</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acts or omissions not in good faith or that involve intentional misconduct or a knowing violation of law;</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unlawful payment of dividends or unlawful stock repurchases or redemptions; or</w:t>
      </w:r>
    </w:p>
    <w:p>
      <w:pPr>
        <w:spacing w:after="0" w:line="223" w:lineRule="exact"/>
        <w:rPr>
          <w:rFonts w:ascii="Arial" w:cs="Arial" w:eastAsia="Arial" w:hAnsi="Arial"/>
          <w:sz w:val="17"/>
          <w:szCs w:val="17"/>
          <w:color w:val="auto"/>
        </w:rPr>
      </w:pPr>
    </w:p>
    <w:p>
      <w:pPr>
        <w:ind w:left="640" w:hanging="321"/>
        <w:spacing w:after="0"/>
        <w:tabs>
          <w:tab w:leader="none" w:pos="6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for any transaction from which the director derived an improper personal benefit.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75" w:right="239" w:bottom="1440" w:gutter="0" w:footer="0" w:header="0"/>
        </w:sectPr>
      </w:pPr>
    </w:p>
    <w:bookmarkStart w:id="205" w:name="page206"/>
    <w:bookmarkEnd w:id="205"/>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21. Exhibits and Financial Statement Schedules.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gridSpan w:val="10"/>
          </w:tcPr>
          <w:p>
            <w:pPr>
              <w:spacing w:after="0"/>
              <w:rPr>
                <w:sz w:val="20"/>
                <w:szCs w:val="20"/>
                <w:color w:val="auto"/>
              </w:rPr>
            </w:pPr>
            <w:r>
              <w:rPr>
                <w:rFonts w:ascii="Arial" w:cs="Arial" w:eastAsia="Arial" w:hAnsi="Arial"/>
                <w:sz w:val="17"/>
                <w:szCs w:val="17"/>
                <w:b w:val="1"/>
                <w:bCs w:val="1"/>
                <w:color w:val="auto"/>
              </w:rPr>
              <w:t>Exhibit</w:t>
            </w:r>
          </w:p>
        </w:tc>
        <w:tc>
          <w:tcPr>
            <w:tcW w:w="10260" w:type="dxa"/>
            <w:vAlign w:val="bottom"/>
            <w:gridSpan w:val="32"/>
          </w:tcPr>
          <w:p>
            <w:pPr>
              <w:spacing w:after="0"/>
              <w:rPr>
                <w:sz w:val="20"/>
                <w:szCs w:val="20"/>
                <w:color w:val="auto"/>
              </w:rPr>
            </w:pPr>
            <w:r>
              <w:rPr>
                <w:rFonts w:ascii="Arial" w:cs="Arial" w:eastAsia="Arial" w:hAnsi="Arial"/>
                <w:sz w:val="17"/>
                <w:szCs w:val="17"/>
                <w:b w:val="1"/>
                <w:bCs w:val="1"/>
                <w:color w:val="auto"/>
              </w:rPr>
              <w:t>Description</w:t>
            </w:r>
          </w:p>
        </w:tc>
      </w:tr>
      <w:tr>
        <w:trPr>
          <w:trHeight w:val="163"/>
        </w:trPr>
        <w:tc>
          <w:tcPr>
            <w:tcW w:w="20" w:type="dxa"/>
            <w:vAlign w:val="bottom"/>
          </w:tcPr>
          <w:p>
            <w:pPr>
              <w:spacing w:after="0"/>
              <w:rPr>
                <w:sz w:val="14"/>
                <w:szCs w:val="14"/>
                <w:color w:val="auto"/>
              </w:rPr>
            </w:pPr>
          </w:p>
        </w:tc>
        <w:tc>
          <w:tcPr>
            <w:tcW w:w="200" w:type="dxa"/>
            <w:vAlign w:val="bottom"/>
            <w:tcBorders>
              <w:top w:val="single" w:sz="8" w:color="auto"/>
              <w:bottom w:val="single" w:sz="8" w:color="0000EE"/>
            </w:tcBorders>
          </w:tcPr>
          <w:p>
            <w:pPr>
              <w:spacing w:after="0" w:line="163" w:lineRule="exact"/>
              <w:rPr>
                <w:rFonts w:ascii="Arial" w:cs="Arial" w:eastAsia="Arial" w:hAnsi="Arial"/>
                <w:sz w:val="17"/>
                <w:szCs w:val="17"/>
                <w:color w:val="0000EE"/>
                <w:w w:val="75"/>
              </w:rPr>
            </w:pPr>
            <w:hyperlink r:id="rId309">
              <w:r>
                <w:rPr>
                  <w:rFonts w:ascii="Arial" w:cs="Arial" w:eastAsia="Arial" w:hAnsi="Arial"/>
                  <w:sz w:val="17"/>
                  <w:szCs w:val="17"/>
                  <w:color w:val="0000EE"/>
                  <w:w w:val="75"/>
                </w:rPr>
                <w:t>2.</w:t>
              </w:r>
              <w:r>
                <w:rPr>
                  <w:rFonts w:ascii="Arial" w:cs="Arial" w:eastAsia="Arial" w:hAnsi="Arial"/>
                  <w:sz w:val="17"/>
                  <w:szCs w:val="17"/>
                  <w:u w:val="single" w:color="auto"/>
                  <w:color w:val="0000EE"/>
                  <w:w w:val="75"/>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60" w:type="dxa"/>
            <w:vAlign w:val="bottom"/>
            <w:tcBorders>
              <w:top w:val="single" w:sz="8" w:color="auto"/>
              <w:bottom w:val="single" w:sz="8" w:color="0000EE"/>
            </w:tcBorders>
            <w:gridSpan w:val="32"/>
          </w:tcPr>
          <w:p>
            <w:pPr>
              <w:spacing w:after="0" w:line="163" w:lineRule="exact"/>
              <w:rPr>
                <w:rFonts w:ascii="Arial" w:cs="Arial" w:eastAsia="Arial" w:hAnsi="Arial"/>
                <w:sz w:val="17"/>
                <w:szCs w:val="17"/>
                <w:color w:val="0000EE"/>
                <w:w w:val="99"/>
              </w:rPr>
            </w:pPr>
            <w:hyperlink r:id="rId309">
              <w:r>
                <w:rPr>
                  <w:rFonts w:ascii="Arial" w:cs="Arial" w:eastAsia="Arial" w:hAnsi="Arial"/>
                  <w:sz w:val="17"/>
                  <w:szCs w:val="17"/>
                  <w:color w:val="0000EE"/>
                  <w:w w:val="99"/>
                </w:rPr>
                <w:t>Second Amended and Restated Contribution Agreement, dated as of April 17, 2018, by and among Priority Investment Holdings, Priority</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bottom w:val="single" w:sz="8" w:color="0000EE"/>
            </w:tcBorders>
            <w:gridSpan w:val="32"/>
          </w:tcPr>
          <w:p>
            <w:pPr>
              <w:spacing w:after="0" w:line="189" w:lineRule="exact"/>
              <w:rPr>
                <w:rFonts w:ascii="Arial" w:cs="Arial" w:eastAsia="Arial" w:hAnsi="Arial"/>
                <w:sz w:val="17"/>
                <w:szCs w:val="17"/>
                <w:color w:val="0000EE"/>
                <w:w w:val="94"/>
              </w:rPr>
            </w:pPr>
            <w:hyperlink r:id="rId309">
              <w:r>
                <w:rPr>
                  <w:rFonts w:ascii="Arial" w:cs="Arial" w:eastAsia="Arial" w:hAnsi="Arial"/>
                  <w:sz w:val="17"/>
                  <w:szCs w:val="17"/>
                  <w:color w:val="0000EE"/>
                  <w:w w:val="94"/>
                </w:rPr>
                <w:t>Incentive Equity Holdings, LLC and M I Acquisitions, Inc. (incorporated by reference to Annex A to the Company’s Proxy Statement on Schedule</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Borders>
              <w:bottom w:val="single" w:sz="8" w:color="0000EE"/>
            </w:tcBorders>
            <w:gridSpan w:val="6"/>
          </w:tcPr>
          <w:p>
            <w:pPr>
              <w:spacing w:after="0" w:line="189" w:lineRule="exact"/>
              <w:rPr>
                <w:rFonts w:ascii="Arial" w:cs="Arial" w:eastAsia="Arial" w:hAnsi="Arial"/>
                <w:sz w:val="17"/>
                <w:szCs w:val="17"/>
                <w:color w:val="0000EE"/>
                <w:w w:val="94"/>
              </w:rPr>
            </w:pPr>
            <w:hyperlink r:id="rId309">
              <w:r>
                <w:rPr>
                  <w:rFonts w:ascii="Arial" w:cs="Arial" w:eastAsia="Arial" w:hAnsi="Arial"/>
                  <w:sz w:val="17"/>
                  <w:szCs w:val="17"/>
                  <w:color w:val="0000EE"/>
                  <w:w w:val="94"/>
                </w:rPr>
                <w:t>14(a), filed July 5, 2018).</w:t>
              </w:r>
            </w:hyperlink>
          </w:p>
        </w:tc>
        <w:tc>
          <w:tcPr>
            <w:tcW w:w="8480" w:type="dxa"/>
            <w:vAlign w:val="bottom"/>
            <w:gridSpan w:val="26"/>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09">
              <w:r>
                <w:rPr>
                  <w:rFonts w:ascii="Arial" w:cs="Arial" w:eastAsia="Arial" w:hAnsi="Arial"/>
                  <w:sz w:val="17"/>
                  <w:szCs w:val="17"/>
                  <w:color w:val="0000EE"/>
                  <w:w w:val="84"/>
                </w:rPr>
                <w:t>2.</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7"/>
              </w:rPr>
            </w:pPr>
            <w:hyperlink r:id="rId309">
              <w:r>
                <w:rPr>
                  <w:rFonts w:ascii="Arial" w:cs="Arial" w:eastAsia="Arial" w:hAnsi="Arial"/>
                  <w:sz w:val="17"/>
                  <w:szCs w:val="17"/>
                  <w:color w:val="0000EE"/>
                  <w:w w:val="97"/>
                </w:rPr>
                <w:t>Purchase Agreement, dated as of February 26, 2018 by and among Priority Holdings, LLC, M SPAC LLC, M SPAC Holdings I LLC, M SPAC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6"/>
              </w:rPr>
            </w:pPr>
            <w:hyperlink r:id="rId309">
              <w:r>
                <w:rPr>
                  <w:rFonts w:ascii="Arial" w:cs="Arial" w:eastAsia="Arial" w:hAnsi="Arial"/>
                  <w:sz w:val="17"/>
                  <w:szCs w:val="17"/>
                  <w:color w:val="0000EE"/>
                  <w:w w:val="96"/>
                </w:rPr>
                <w:t>Holdings II LLC, and M I Acquisitions, Inc. (incorporated by reference to Annex B to the Company’s Proxy Statement on Schedule 14(a), filed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0000EE"/>
            </w:tcBorders>
            <w:gridSpan w:val="4"/>
          </w:tcPr>
          <w:p>
            <w:pPr>
              <w:spacing w:after="0" w:line="189" w:lineRule="exact"/>
              <w:rPr>
                <w:rFonts w:ascii="Arial" w:cs="Arial" w:eastAsia="Arial" w:hAnsi="Arial"/>
                <w:sz w:val="17"/>
                <w:szCs w:val="17"/>
                <w:color w:val="0000EE"/>
                <w:w w:val="92"/>
              </w:rPr>
            </w:pPr>
            <w:hyperlink r:id="rId309">
              <w:r>
                <w:rPr>
                  <w:rFonts w:ascii="Arial" w:cs="Arial" w:eastAsia="Arial" w:hAnsi="Arial"/>
                  <w:sz w:val="17"/>
                  <w:szCs w:val="17"/>
                  <w:color w:val="0000EE"/>
                  <w:w w:val="92"/>
                </w:rPr>
                <w:t>July 5, 2018).</w:t>
              </w:r>
            </w:hyperlink>
          </w:p>
        </w:tc>
        <w:tc>
          <w:tcPr>
            <w:tcW w:w="9300" w:type="dxa"/>
            <w:vAlign w:val="bottom"/>
            <w:gridSpan w:val="28"/>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0">
              <w:r>
                <w:rPr>
                  <w:rFonts w:ascii="Arial" w:cs="Arial" w:eastAsia="Arial" w:hAnsi="Arial"/>
                  <w:sz w:val="17"/>
                  <w:szCs w:val="17"/>
                  <w:color w:val="0000EE"/>
                  <w:w w:val="84"/>
                </w:rPr>
                <w:t>3.</w:t>
              </w:r>
              <w:r>
                <w:rPr>
                  <w:rFonts w:ascii="Arial" w:cs="Arial" w:eastAsia="Arial" w:hAnsi="Arial"/>
                  <w:sz w:val="17"/>
                  <w:szCs w:val="17"/>
                  <w:u w:val="single" w:color="auto"/>
                  <w:color w:val="0000EE"/>
                  <w:w w:val="84"/>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5"/>
              </w:rPr>
            </w:pPr>
            <w:hyperlink r:id="rId310">
              <w:r>
                <w:rPr>
                  <w:rFonts w:ascii="Arial" w:cs="Arial" w:eastAsia="Arial" w:hAnsi="Arial"/>
                  <w:sz w:val="17"/>
                  <w:szCs w:val="17"/>
                  <w:color w:val="0000EE"/>
                  <w:w w:val="95"/>
                </w:rPr>
                <w:t>Second Amended and Restated Certificate of Incorporation of Priority Technology Holdings, Inc. (incorporated by reference to Exhibit 3.1 to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60" w:type="dxa"/>
            <w:vAlign w:val="bottom"/>
            <w:tcBorders>
              <w:top w:val="single" w:sz="8" w:color="0000EE"/>
              <w:bottom w:val="single" w:sz="8" w:color="0000EE"/>
            </w:tcBorders>
            <w:gridSpan w:val="17"/>
          </w:tcPr>
          <w:p>
            <w:pPr>
              <w:spacing w:after="0" w:line="189" w:lineRule="exact"/>
              <w:rPr>
                <w:rFonts w:ascii="Arial" w:cs="Arial" w:eastAsia="Arial" w:hAnsi="Arial"/>
                <w:sz w:val="17"/>
                <w:szCs w:val="17"/>
                <w:color w:val="0000EE"/>
                <w:w w:val="94"/>
              </w:rPr>
            </w:pPr>
            <w:hyperlink r:id="rId310">
              <w:r>
                <w:rPr>
                  <w:rFonts w:ascii="Arial" w:cs="Arial" w:eastAsia="Arial" w:hAnsi="Arial"/>
                  <w:sz w:val="17"/>
                  <w:szCs w:val="17"/>
                  <w:color w:val="0000EE"/>
                  <w:w w:val="94"/>
                </w:rPr>
                <w:t>Company’s Current Report on Form 8-K, filed July 31, 2018).</w:t>
              </w:r>
            </w:hyperlink>
          </w:p>
        </w:tc>
        <w:tc>
          <w:tcPr>
            <w:tcW w:w="5900" w:type="dxa"/>
            <w:vAlign w:val="bottom"/>
            <w:tcBorders>
              <w:top w:val="single" w:sz="8" w:color="0000EE"/>
            </w:tcBorders>
            <w:gridSpan w:val="15"/>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1">
              <w:r>
                <w:rPr>
                  <w:rFonts w:ascii="Arial" w:cs="Arial" w:eastAsia="Arial" w:hAnsi="Arial"/>
                  <w:sz w:val="17"/>
                  <w:szCs w:val="17"/>
                  <w:color w:val="0000EE"/>
                  <w:w w:val="84"/>
                </w:rPr>
                <w:t>3.</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5"/>
              </w:rPr>
            </w:pPr>
            <w:hyperlink r:id="rId311">
              <w:r>
                <w:rPr>
                  <w:rFonts w:ascii="Arial" w:cs="Arial" w:eastAsia="Arial" w:hAnsi="Arial"/>
                  <w:sz w:val="17"/>
                  <w:szCs w:val="17"/>
                  <w:color w:val="0000EE"/>
                  <w:w w:val="95"/>
                </w:rPr>
                <w:t>Amended and Restated Bylaws of Priority Technology Holdings, Inc. (incorporated by reference to Exhibit 3.2 to the Company’s Current Report</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5"/>
              </w:rPr>
            </w:pPr>
            <w:hyperlink r:id="rId311">
              <w:r>
                <w:rPr>
                  <w:rFonts w:ascii="Arial" w:cs="Arial" w:eastAsia="Arial" w:hAnsi="Arial"/>
                  <w:sz w:val="17"/>
                  <w:szCs w:val="17"/>
                  <w:color w:val="0000EE"/>
                  <w:w w:val="95"/>
                </w:rPr>
                <w:t>on Form 8-K, filed July 31, 2018).</w:t>
              </w:r>
            </w:hyperlink>
          </w:p>
        </w:tc>
        <w:tc>
          <w:tcPr>
            <w:tcW w:w="7840" w:type="dxa"/>
            <w:vAlign w:val="bottom"/>
            <w:tcBorders>
              <w:top w:val="single" w:sz="8" w:color="0000EE"/>
            </w:tcBorders>
            <w:gridSpan w:val="21"/>
          </w:tcPr>
          <w:p>
            <w:pPr>
              <w:spacing w:after="0"/>
              <w:rPr>
                <w:sz w:val="16"/>
                <w:szCs w:val="16"/>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2">
              <w:r>
                <w:rPr>
                  <w:rFonts w:ascii="Arial" w:cs="Arial" w:eastAsia="Arial" w:hAnsi="Arial"/>
                  <w:sz w:val="17"/>
                  <w:szCs w:val="17"/>
                  <w:color w:val="0000EE"/>
                  <w:w w:val="84"/>
                </w:rPr>
                <w:t>4.</w:t>
              </w:r>
              <w:r>
                <w:rPr>
                  <w:rFonts w:ascii="Arial" w:cs="Arial" w:eastAsia="Arial" w:hAnsi="Arial"/>
                  <w:sz w:val="17"/>
                  <w:szCs w:val="17"/>
                  <w:u w:val="single" w:color="auto"/>
                  <w:color w:val="0000EE"/>
                  <w:w w:val="84"/>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12">
              <w:r>
                <w:rPr>
                  <w:rFonts w:ascii="Arial" w:cs="Arial" w:eastAsia="Arial" w:hAnsi="Arial"/>
                  <w:sz w:val="17"/>
                  <w:szCs w:val="17"/>
                  <w:color w:val="0000EE"/>
                </w:rPr>
                <w:t>Specimen Unit Certificate (incorporated by reference to Exhibit 4.1 to the Registration Statement on Form S-1 filed, on July 26, 2016)</w:t>
              </w:r>
            </w:hyperlink>
            <w:r>
              <w:rPr>
                <w:rFonts w:ascii="Arial" w:cs="Arial" w:eastAsia="Arial" w:hAnsi="Arial"/>
                <w:sz w:val="17"/>
                <w:szCs w:val="17"/>
                <w:color w:val="000000"/>
              </w:rPr>
              <w:t>.</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3">
              <w:r>
                <w:rPr>
                  <w:rFonts w:ascii="Arial" w:cs="Arial" w:eastAsia="Arial" w:hAnsi="Arial"/>
                  <w:sz w:val="17"/>
                  <w:szCs w:val="17"/>
                  <w:color w:val="0000EE"/>
                  <w:w w:val="84"/>
                </w:rPr>
                <w:t>4.</w:t>
              </w:r>
              <w:r>
                <w:rPr>
                  <w:rFonts w:ascii="Arial" w:cs="Arial" w:eastAsia="Arial" w:hAnsi="Arial"/>
                  <w:sz w:val="17"/>
                  <w:szCs w:val="17"/>
                  <w:u w:val="single" w:color="auto"/>
                  <w:color w:val="0000EE"/>
                  <w:w w:val="84"/>
                </w:rPr>
                <w:t>2</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6"/>
              </w:rPr>
            </w:pPr>
            <w:hyperlink r:id="rId313">
              <w:r>
                <w:rPr>
                  <w:rFonts w:ascii="Arial" w:cs="Arial" w:eastAsia="Arial" w:hAnsi="Arial"/>
                  <w:sz w:val="17"/>
                  <w:szCs w:val="17"/>
                  <w:color w:val="0000EE"/>
                  <w:w w:val="96"/>
                </w:rPr>
                <w:t>Specimen Common Stock Certificate (incorporated by reference to Exhibit 4.2 to the Registration Statement on Form S-1 filed, July 26, 2016)</w:t>
              </w:r>
            </w:hyperlink>
            <w:r>
              <w:rPr>
                <w:rFonts w:ascii="Arial" w:cs="Arial" w:eastAsia="Arial" w:hAnsi="Arial"/>
                <w:sz w:val="17"/>
                <w:szCs w:val="17"/>
                <w:color w:val="000000"/>
                <w:w w:val="96"/>
              </w:rPr>
              <w:t>.</w:t>
            </w:r>
          </w:p>
        </w:tc>
      </w:tr>
      <w:tr>
        <w:trPr>
          <w:trHeight w:val="189"/>
        </w:trPr>
        <w:tc>
          <w:tcPr>
            <w:tcW w:w="220" w:type="dxa"/>
            <w:vAlign w:val="bottom"/>
            <w:tcBorders>
              <w:top w:val="single" w:sz="8" w:color="0000EE"/>
            </w:tcBorders>
            <w:gridSpan w:val="2"/>
          </w:tcPr>
          <w:p>
            <w:pPr>
              <w:spacing w:after="0" w:line="189" w:lineRule="exact"/>
              <w:rPr>
                <w:rFonts w:ascii="Arial" w:cs="Arial" w:eastAsia="Arial" w:hAnsi="Arial"/>
                <w:sz w:val="17"/>
                <w:szCs w:val="17"/>
                <w:color w:val="0000EE"/>
                <w:w w:val="84"/>
              </w:rPr>
            </w:pPr>
            <w:hyperlink r:id="rId314">
              <w:r>
                <w:rPr>
                  <w:rFonts w:ascii="Arial" w:cs="Arial" w:eastAsia="Arial" w:hAnsi="Arial"/>
                  <w:sz w:val="17"/>
                  <w:szCs w:val="17"/>
                  <w:color w:val="0000EE"/>
                  <w:w w:val="84"/>
                </w:rPr>
                <w:t>4.</w:t>
              </w:r>
              <w:r>
                <w:rPr>
                  <w:rFonts w:ascii="Arial" w:cs="Arial" w:eastAsia="Arial" w:hAnsi="Arial"/>
                  <w:sz w:val="17"/>
                  <w:szCs w:val="17"/>
                  <w:u w:val="single" w:color="auto"/>
                  <w:color w:val="0000EE"/>
                  <w:w w:val="84"/>
                </w:rPr>
                <w:t>3</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40" w:type="dxa"/>
            <w:vAlign w:val="bottom"/>
            <w:tcBorders>
              <w:top w:val="single" w:sz="8" w:color="0000EE"/>
            </w:tcBorders>
            <w:gridSpan w:val="31"/>
          </w:tcPr>
          <w:p>
            <w:pPr>
              <w:spacing w:after="0" w:line="189" w:lineRule="exact"/>
              <w:rPr>
                <w:rFonts w:ascii="Arial" w:cs="Arial" w:eastAsia="Arial" w:hAnsi="Arial"/>
                <w:sz w:val="17"/>
                <w:szCs w:val="17"/>
                <w:color w:val="0000EE"/>
                <w:w w:val="98"/>
              </w:rPr>
            </w:pPr>
            <w:hyperlink r:id="rId314">
              <w:r>
                <w:rPr>
                  <w:rFonts w:ascii="Arial" w:cs="Arial" w:eastAsia="Arial" w:hAnsi="Arial"/>
                  <w:sz w:val="17"/>
                  <w:szCs w:val="17"/>
                  <w:color w:val="0000EE"/>
                  <w:w w:val="98"/>
                </w:rPr>
                <w:t>Specimen Warrant Certificate (incorporated by reference to Exhibit 4.3 to the Registration Statement on Form S-1 filed, July 26, 2016)</w:t>
              </w:r>
            </w:hyperlink>
            <w:r>
              <w:rPr>
                <w:rFonts w:ascii="Arial" w:cs="Arial" w:eastAsia="Arial" w:hAnsi="Arial"/>
                <w:sz w:val="17"/>
                <w:szCs w:val="17"/>
                <w:color w:val="000000"/>
                <w:w w:val="98"/>
              </w:rPr>
              <w:t>.</w:t>
            </w:r>
          </w:p>
        </w:tc>
        <w:tc>
          <w:tcPr>
            <w:tcW w:w="320" w:type="dxa"/>
            <w:vAlign w:val="bottom"/>
          </w:tcPr>
          <w:p>
            <w:pPr>
              <w:spacing w:after="0"/>
              <w:rPr>
                <w:sz w:val="16"/>
                <w:szCs w:val="16"/>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89"/>
        </w:trPr>
        <w:tc>
          <w:tcPr>
            <w:tcW w:w="220" w:type="dxa"/>
            <w:vAlign w:val="bottom"/>
            <w:gridSpan w:val="2"/>
          </w:tcPr>
          <w:p>
            <w:pPr>
              <w:spacing w:after="0" w:line="189" w:lineRule="exact"/>
              <w:rPr>
                <w:rFonts w:ascii="Arial" w:cs="Arial" w:eastAsia="Arial" w:hAnsi="Arial"/>
                <w:sz w:val="17"/>
                <w:szCs w:val="17"/>
                <w:color w:val="0000EE"/>
                <w:w w:val="84"/>
              </w:rPr>
            </w:pPr>
            <w:hyperlink r:id="rId315">
              <w:r>
                <w:rPr>
                  <w:rFonts w:ascii="Arial" w:cs="Arial" w:eastAsia="Arial" w:hAnsi="Arial"/>
                  <w:sz w:val="17"/>
                  <w:szCs w:val="17"/>
                  <w:color w:val="0000EE"/>
                  <w:w w:val="84"/>
                </w:rPr>
                <w:t>4.</w:t>
              </w:r>
              <w:r>
                <w:rPr>
                  <w:rFonts w:ascii="Arial" w:cs="Arial" w:eastAsia="Arial" w:hAnsi="Arial"/>
                  <w:sz w:val="17"/>
                  <w:szCs w:val="17"/>
                  <w:u w:val="single" w:color="auto"/>
                  <w:color w:val="0000EE"/>
                  <w:w w:val="84"/>
                </w:rPr>
                <w:t>4</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15">
              <w:r>
                <w:rPr>
                  <w:rFonts w:ascii="Arial" w:cs="Arial" w:eastAsia="Arial" w:hAnsi="Arial"/>
                  <w:sz w:val="17"/>
                  <w:szCs w:val="17"/>
                  <w:color w:val="0000EE"/>
                </w:rPr>
                <w:t>Warrant Agreement, dated September 13, 2016, by and between American Stock Transfer &amp; Trust Company, LLC and the Registrant</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15">
              <w:r>
                <w:rPr>
                  <w:rFonts w:ascii="Arial" w:cs="Arial" w:eastAsia="Arial" w:hAnsi="Arial"/>
                  <w:sz w:val="17"/>
                  <w:szCs w:val="17"/>
                  <w:color w:val="0000EE"/>
                </w:rPr>
                <w:t>(incorporated by reference to Exhibit 4.1 to the Current Report on Form 8-K filed, September 16, 2016)</w:t>
              </w:r>
              <w:r>
                <w:rPr>
                  <w:rFonts w:ascii="Arial" w:cs="Arial" w:eastAsia="Arial" w:hAnsi="Arial"/>
                  <w:sz w:val="17"/>
                  <w:szCs w:val="17"/>
                  <w:color w:val="000000"/>
                </w:rPr>
                <w:t>.</w:t>
              </w:r>
            </w:hyperlink>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16">
              <w:r>
                <w:rPr>
                  <w:rFonts w:ascii="Arial" w:cs="Arial" w:eastAsia="Arial" w:hAnsi="Arial"/>
                  <w:sz w:val="17"/>
                  <w:szCs w:val="17"/>
                  <w:color w:val="0000EE"/>
                </w:rPr>
                <w:t>5.</w:t>
              </w:r>
              <w:r>
                <w:rPr>
                  <w:rFonts w:ascii="Arial" w:cs="Arial" w:eastAsia="Arial" w:hAnsi="Arial"/>
                  <w:sz w:val="17"/>
                  <w:szCs w:val="17"/>
                  <w:u w:val="single" w:color="auto"/>
                  <w:color w:val="0000EE"/>
                </w:rPr>
                <w:t>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40" w:type="dxa"/>
            <w:vAlign w:val="bottom"/>
            <w:tcBorders>
              <w:top w:val="single" w:sz="8" w:color="0000EE"/>
            </w:tcBorders>
            <w:gridSpan w:val="26"/>
          </w:tcPr>
          <w:p>
            <w:pPr>
              <w:spacing w:after="0" w:line="189" w:lineRule="exact"/>
              <w:rPr>
                <w:rFonts w:ascii="Arial" w:cs="Arial" w:eastAsia="Arial" w:hAnsi="Arial"/>
                <w:sz w:val="17"/>
                <w:szCs w:val="17"/>
                <w:color w:val="0000EE"/>
              </w:rPr>
            </w:pPr>
            <w:hyperlink r:id="rId316">
              <w:r>
                <w:rPr>
                  <w:rFonts w:ascii="Arial" w:cs="Arial" w:eastAsia="Arial" w:hAnsi="Arial"/>
                  <w:sz w:val="17"/>
                  <w:szCs w:val="17"/>
                  <w:color w:val="0000EE"/>
                </w:rPr>
                <w:t>Opinion of Schulte Roth &amp; Zabel LLP.</w:t>
              </w:r>
            </w:hyperlink>
          </w:p>
        </w:tc>
        <w:tc>
          <w:tcPr>
            <w:tcW w:w="3020" w:type="dxa"/>
            <w:vAlign w:val="bottom"/>
            <w:gridSpan w:val="6"/>
          </w:tcPr>
          <w:p>
            <w:pPr>
              <w:spacing w:after="0"/>
              <w:rPr>
                <w:sz w:val="16"/>
                <w:szCs w:val="16"/>
                <w:color w:val="auto"/>
              </w:rPr>
            </w:pPr>
          </w:p>
        </w:tc>
      </w:tr>
      <w:tr>
        <w:trPr>
          <w:trHeight w:val="20"/>
        </w:trPr>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17">
              <w:r>
                <w:rPr>
                  <w:rFonts w:ascii="Arial" w:cs="Arial" w:eastAsia="Arial" w:hAnsi="Arial"/>
                  <w:sz w:val="17"/>
                  <w:szCs w:val="17"/>
                  <w:color w:val="0000EE"/>
                </w:rPr>
                <w:t>10.</w:t>
              </w:r>
              <w:r>
                <w:rPr>
                  <w:rFonts w:ascii="Arial" w:cs="Arial" w:eastAsia="Arial" w:hAnsi="Arial"/>
                  <w:sz w:val="17"/>
                  <w:szCs w:val="17"/>
                  <w:u w:val="single" w:color="auto"/>
                  <w:color w:val="0000EE"/>
                </w:rPr>
                <w:t>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7"/>
              </w:rPr>
            </w:pPr>
            <w:hyperlink r:id="rId317">
              <w:r>
                <w:rPr>
                  <w:rFonts w:ascii="Arial" w:cs="Arial" w:eastAsia="Arial" w:hAnsi="Arial"/>
                  <w:sz w:val="17"/>
                  <w:szCs w:val="17"/>
                  <w:color w:val="0000EE"/>
                  <w:w w:val="97"/>
                </w:rPr>
                <w:t>Registration Rights Agreement dated as of July 25, 2018 by and among M I Acquisitions, Inc. and the other parties thereto (incorporated by</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17">
              <w:r>
                <w:rPr>
                  <w:rFonts w:ascii="Arial" w:cs="Arial" w:eastAsia="Arial" w:hAnsi="Arial"/>
                  <w:sz w:val="17"/>
                  <w:szCs w:val="17"/>
                  <w:color w:val="0000EE"/>
                </w:rPr>
                <w:t>reference to Exhibit 10.1 to the Company’s Current Report on Form 8-K, filed July 31, 2018).</w:t>
              </w:r>
            </w:hyperlink>
          </w:p>
        </w:tc>
      </w:tr>
      <w:tr>
        <w:trPr>
          <w:trHeight w:val="20"/>
        </w:trPr>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18">
              <w:r>
                <w:rPr>
                  <w:rFonts w:ascii="Arial" w:cs="Arial" w:eastAsia="Arial" w:hAnsi="Arial"/>
                  <w:sz w:val="17"/>
                  <w:szCs w:val="17"/>
                  <w:color w:val="0000EE"/>
                </w:rPr>
                <w:t>10.</w:t>
              </w:r>
              <w:r>
                <w:rPr>
                  <w:rFonts w:ascii="Arial" w:cs="Arial" w:eastAsia="Arial" w:hAnsi="Arial"/>
                  <w:sz w:val="17"/>
                  <w:szCs w:val="17"/>
                  <w:u w:val="single" w:color="auto"/>
                  <w:color w:val="0000EE"/>
                </w:rPr>
                <w:t>2†</w:t>
              </w:r>
            </w:hyperlink>
          </w:p>
        </w:tc>
        <w:tc>
          <w:tcPr>
            <w:tcW w:w="10260" w:type="dxa"/>
            <w:vAlign w:val="bottom"/>
            <w:gridSpan w:val="32"/>
          </w:tcPr>
          <w:p>
            <w:pPr>
              <w:spacing w:after="0" w:line="189" w:lineRule="exact"/>
              <w:rPr>
                <w:rFonts w:ascii="Arial" w:cs="Arial" w:eastAsia="Arial" w:hAnsi="Arial"/>
                <w:sz w:val="17"/>
                <w:szCs w:val="17"/>
                <w:color w:val="0000EE"/>
                <w:w w:val="97"/>
              </w:rPr>
            </w:pPr>
            <w:hyperlink r:id="rId318">
              <w:r>
                <w:rPr>
                  <w:rFonts w:ascii="Arial" w:cs="Arial" w:eastAsia="Arial" w:hAnsi="Arial"/>
                  <w:sz w:val="17"/>
                  <w:szCs w:val="17"/>
                  <w:color w:val="0000EE"/>
                  <w:w w:val="97"/>
                </w:rPr>
                <w:t>Priority Technology Holdings, Inc. 2018 Equity Incentive Plan (incorporated by reference to Exhibit 10.2 to the Company’s Current Report on</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18">
              <w:r>
                <w:rPr>
                  <w:rFonts w:ascii="Arial" w:cs="Arial" w:eastAsia="Arial" w:hAnsi="Arial"/>
                  <w:sz w:val="17"/>
                  <w:szCs w:val="17"/>
                  <w:color w:val="0000EE"/>
                </w:rPr>
                <w:t>Form 8-K, filed July 31, 2018).</w:t>
              </w:r>
            </w:hyperlink>
          </w:p>
        </w:tc>
      </w:tr>
      <w:tr>
        <w:trPr>
          <w:trHeight w:val="20"/>
        </w:trPr>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19">
              <w:r>
                <w:rPr>
                  <w:rFonts w:ascii="Arial" w:cs="Arial" w:eastAsia="Arial" w:hAnsi="Arial"/>
                  <w:sz w:val="17"/>
                  <w:szCs w:val="17"/>
                  <w:color w:val="0000EE"/>
                </w:rPr>
                <w:t>10.</w:t>
              </w:r>
              <w:r>
                <w:rPr>
                  <w:rFonts w:ascii="Arial" w:cs="Arial" w:eastAsia="Arial" w:hAnsi="Arial"/>
                  <w:sz w:val="17"/>
                  <w:szCs w:val="17"/>
                  <w:u w:val="single" w:color="auto"/>
                  <w:color w:val="0000EE"/>
                </w:rPr>
                <w:t>3†</w:t>
              </w:r>
            </w:hyperlink>
          </w:p>
        </w:tc>
        <w:tc>
          <w:tcPr>
            <w:tcW w:w="10260" w:type="dxa"/>
            <w:vAlign w:val="bottom"/>
            <w:gridSpan w:val="32"/>
          </w:tcPr>
          <w:p>
            <w:pPr>
              <w:spacing w:after="0" w:line="189" w:lineRule="exact"/>
              <w:rPr>
                <w:rFonts w:ascii="Arial" w:cs="Arial" w:eastAsia="Arial" w:hAnsi="Arial"/>
                <w:sz w:val="17"/>
                <w:szCs w:val="17"/>
                <w:color w:val="0000EE"/>
                <w:w w:val="94"/>
              </w:rPr>
            </w:pPr>
            <w:hyperlink r:id="rId319">
              <w:r>
                <w:rPr>
                  <w:rFonts w:ascii="Arial" w:cs="Arial" w:eastAsia="Arial" w:hAnsi="Arial"/>
                  <w:sz w:val="17"/>
                  <w:szCs w:val="17"/>
                  <w:color w:val="0000EE"/>
                  <w:w w:val="94"/>
                </w:rPr>
                <w:t>Priority Technology Holdings, Inc. Earnout Incentive Plan (incorporated by reference to Exhibit 10.3 to the Company’s Current Report on Form 8-</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5"/>
          </w:tcPr>
          <w:p>
            <w:pPr>
              <w:spacing w:after="0" w:line="189" w:lineRule="exact"/>
              <w:rPr>
                <w:rFonts w:ascii="Arial" w:cs="Arial" w:eastAsia="Arial" w:hAnsi="Arial"/>
                <w:sz w:val="17"/>
                <w:szCs w:val="17"/>
                <w:color w:val="0000EE"/>
                <w:w w:val="95"/>
              </w:rPr>
            </w:pPr>
            <w:hyperlink r:id="rId319">
              <w:r>
                <w:rPr>
                  <w:rFonts w:ascii="Arial" w:cs="Arial" w:eastAsia="Arial" w:hAnsi="Arial"/>
                  <w:sz w:val="17"/>
                  <w:szCs w:val="17"/>
                  <w:color w:val="0000EE"/>
                  <w:w w:val="95"/>
                </w:rPr>
                <w:t>K, filed July 31, 2018).</w:t>
              </w:r>
            </w:hyperlink>
          </w:p>
        </w:tc>
        <w:tc>
          <w:tcPr>
            <w:tcW w:w="8640" w:type="dxa"/>
            <w:vAlign w:val="bottom"/>
            <w:tcBorders>
              <w:top w:val="single" w:sz="8" w:color="0000EE"/>
            </w:tcBorders>
            <w:gridSpan w:val="27"/>
          </w:tcPr>
          <w:p>
            <w:pPr>
              <w:spacing w:after="0"/>
              <w:rPr>
                <w:sz w:val="16"/>
                <w:szCs w:val="16"/>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20">
              <w:r>
                <w:rPr>
                  <w:rFonts w:ascii="Arial" w:cs="Arial" w:eastAsia="Arial" w:hAnsi="Arial"/>
                  <w:sz w:val="17"/>
                  <w:szCs w:val="17"/>
                  <w:color w:val="0000EE"/>
                </w:rPr>
                <w:t>10.</w:t>
              </w:r>
              <w:r>
                <w:rPr>
                  <w:rFonts w:ascii="Arial" w:cs="Arial" w:eastAsia="Arial" w:hAnsi="Arial"/>
                  <w:sz w:val="17"/>
                  <w:szCs w:val="17"/>
                  <w:u w:val="single" w:color="auto"/>
                  <w:color w:val="0000EE"/>
                </w:rPr>
                <w:t>4</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9"/>
              </w:rPr>
            </w:pPr>
            <w:hyperlink r:id="rId320">
              <w:r>
                <w:rPr>
                  <w:rFonts w:ascii="Arial" w:cs="Arial" w:eastAsia="Arial" w:hAnsi="Arial"/>
                  <w:sz w:val="17"/>
                  <w:szCs w:val="17"/>
                  <w:color w:val="0000EE"/>
                  <w:w w:val="99"/>
                </w:rPr>
                <w:t>Credit and Guaranty Agreement, dated as of January 3, 2017 by and among Pipeline Cynergy Holdings, LLC, Priority Institutional Partner</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4"/>
              </w:rPr>
            </w:pPr>
            <w:hyperlink r:id="rId320">
              <w:r>
                <w:rPr>
                  <w:rFonts w:ascii="Arial" w:cs="Arial" w:eastAsia="Arial" w:hAnsi="Arial"/>
                  <w:sz w:val="17"/>
                  <w:szCs w:val="17"/>
                  <w:color w:val="0000EE"/>
                  <w:w w:val="94"/>
                </w:rPr>
                <w:t>Services, LLC, Priority Payment Systems Holdings LLC, Priority Holdings, LLC, the Credit Parties, the Lenders and SunTrust Bank (incorporated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20">
              <w:r>
                <w:rPr>
                  <w:rFonts w:ascii="Arial" w:cs="Arial" w:eastAsia="Arial" w:hAnsi="Arial"/>
                  <w:sz w:val="17"/>
                  <w:szCs w:val="17"/>
                  <w:color w:val="0000EE"/>
                </w:rPr>
                <w:t>by reference to Exhibit 10.4 to the Company’s Current Report on Form 8-K, filed July 31, 2018).</w:t>
              </w:r>
            </w:hyperlink>
          </w:p>
        </w:tc>
      </w:tr>
      <w:tr>
        <w:trPr>
          <w:trHeight w:val="20"/>
        </w:trPr>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1">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4.1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3"/>
              </w:rPr>
            </w:pPr>
            <w:hyperlink r:id="rId321">
              <w:r>
                <w:rPr>
                  <w:rFonts w:ascii="Arial" w:cs="Arial" w:eastAsia="Arial" w:hAnsi="Arial"/>
                  <w:sz w:val="17"/>
                  <w:szCs w:val="17"/>
                  <w:color w:val="0000EE"/>
                  <w:w w:val="93"/>
                </w:rPr>
                <w:t>First Amendment to the Credit and Guaranty Agreement, dated as of November 14, 2017 by and among Pipeline Cynergy Holdings, LLC, Priority</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8"/>
              </w:rPr>
            </w:pPr>
            <w:hyperlink r:id="rId321">
              <w:r>
                <w:rPr>
                  <w:rFonts w:ascii="Arial" w:cs="Arial" w:eastAsia="Arial" w:hAnsi="Arial"/>
                  <w:sz w:val="17"/>
                  <w:szCs w:val="17"/>
                  <w:color w:val="0000EE"/>
                  <w:w w:val="98"/>
                </w:rPr>
                <w:t>Institutional Partner Services, LLC, Priority Payment Systems Holdings LLC, Priority Holdings, LLC, the other Guarantors, the Lenders and</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21">
              <w:r>
                <w:rPr>
                  <w:rFonts w:ascii="Arial" w:cs="Arial" w:eastAsia="Arial" w:hAnsi="Arial"/>
                  <w:sz w:val="17"/>
                  <w:szCs w:val="17"/>
                  <w:color w:val="0000EE"/>
                </w:rPr>
                <w:t>SunTrust Bank (incorporated by reference to Exhibit 10.4.1 to the Company’s Current Report on Form 8-K, filed July 31, 2018).</w:t>
              </w:r>
            </w:hyperlink>
          </w:p>
        </w:tc>
      </w:tr>
      <w:tr>
        <w:trPr>
          <w:trHeight w:val="20"/>
        </w:trPr>
        <w:tc>
          <w:tcPr>
            <w:tcW w:w="4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2">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4.2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3"/>
              </w:rPr>
            </w:pPr>
            <w:hyperlink r:id="rId322">
              <w:r>
                <w:rPr>
                  <w:rFonts w:ascii="Arial" w:cs="Arial" w:eastAsia="Arial" w:hAnsi="Arial"/>
                  <w:sz w:val="17"/>
                  <w:szCs w:val="17"/>
                  <w:color w:val="0000EE"/>
                  <w:w w:val="93"/>
                </w:rPr>
                <w:t>Second Amendment to the Credit and Guaranty Agreement, dated as of January 11, 2018 by and among Pipeline Cynergy Holdings, LLC, Priority</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4"/>
              </w:rPr>
            </w:pPr>
            <w:hyperlink r:id="rId322">
              <w:r>
                <w:rPr>
                  <w:rFonts w:ascii="Arial" w:cs="Arial" w:eastAsia="Arial" w:hAnsi="Arial"/>
                  <w:sz w:val="17"/>
                  <w:szCs w:val="17"/>
                  <w:color w:val="0000EE"/>
                  <w:w w:val="94"/>
                </w:rPr>
                <w:t>Institutional Partner Services, LLC, Priority Payment Systems Holdings LLC, Priority Holdings, LLC, the other Guarantors, each 2018 Converting</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bottom w:val="single" w:sz="8" w:color="0000EE"/>
            </w:tcBorders>
            <w:gridSpan w:val="32"/>
          </w:tcPr>
          <w:p>
            <w:pPr>
              <w:spacing w:after="0" w:line="189" w:lineRule="exact"/>
              <w:rPr>
                <w:rFonts w:ascii="Arial" w:cs="Arial" w:eastAsia="Arial" w:hAnsi="Arial"/>
                <w:sz w:val="17"/>
                <w:szCs w:val="17"/>
                <w:color w:val="0000EE"/>
                <w:w w:val="93"/>
              </w:rPr>
            </w:pPr>
            <w:hyperlink r:id="rId322">
              <w:r>
                <w:rPr>
                  <w:rFonts w:ascii="Arial" w:cs="Arial" w:eastAsia="Arial" w:hAnsi="Arial"/>
                  <w:sz w:val="17"/>
                  <w:szCs w:val="17"/>
                  <w:color w:val="0000EE"/>
                  <w:w w:val="93"/>
                </w:rPr>
                <w:t>Lender, each new 2018 Refinancing Term Lender, each 2018 Incremental Term Loan Lenders, each Revolving Credit Lender and SunTrust Bank</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80" w:type="dxa"/>
            <w:vAlign w:val="bottom"/>
            <w:tcBorders>
              <w:bottom w:val="single" w:sz="8" w:color="0000EE"/>
            </w:tcBorders>
            <w:gridSpan w:val="27"/>
          </w:tcPr>
          <w:p>
            <w:pPr>
              <w:spacing w:after="0" w:line="189" w:lineRule="exact"/>
              <w:rPr>
                <w:rFonts w:ascii="Arial" w:cs="Arial" w:eastAsia="Arial" w:hAnsi="Arial"/>
                <w:sz w:val="17"/>
                <w:szCs w:val="17"/>
                <w:color w:val="0000EE"/>
                <w:w w:val="93"/>
              </w:rPr>
            </w:pPr>
            <w:hyperlink r:id="rId322">
              <w:r>
                <w:rPr>
                  <w:rFonts w:ascii="Arial" w:cs="Arial" w:eastAsia="Arial" w:hAnsi="Arial"/>
                  <w:sz w:val="17"/>
                  <w:szCs w:val="17"/>
                  <w:color w:val="0000EE"/>
                  <w:w w:val="93"/>
                </w:rPr>
                <w:t>(incorporated by reference to Exhibit 10.4.2 to the Company’s Current Report on Form 8-K, filed July 31, 2018).</w:t>
              </w:r>
            </w:hyperlink>
          </w:p>
        </w:tc>
        <w:tc>
          <w:tcPr>
            <w:tcW w:w="2380" w:type="dxa"/>
            <w:vAlign w:val="bottom"/>
            <w:gridSpan w:val="5"/>
          </w:tcPr>
          <w:p>
            <w:pPr>
              <w:spacing w:after="0"/>
              <w:rPr>
                <w:sz w:val="16"/>
                <w:szCs w:val="16"/>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3">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4.3</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8"/>
              </w:rPr>
            </w:pPr>
            <w:hyperlink r:id="rId323">
              <w:r>
                <w:rPr>
                  <w:rFonts w:ascii="Arial" w:cs="Arial" w:eastAsia="Arial" w:hAnsi="Arial"/>
                  <w:sz w:val="17"/>
                  <w:szCs w:val="17"/>
                  <w:color w:val="0000EE"/>
                  <w:w w:val="98"/>
                </w:rPr>
                <w:t>Third Amendment to the Credit and Guaranty Agreement, dated as of December 24, 2018 by and among Pipeline Cynergy Holdings, LLC,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5"/>
              </w:rPr>
            </w:pPr>
            <w:hyperlink r:id="rId323">
              <w:r>
                <w:rPr>
                  <w:rFonts w:ascii="Arial" w:cs="Arial" w:eastAsia="Arial" w:hAnsi="Arial"/>
                  <w:sz w:val="17"/>
                  <w:szCs w:val="17"/>
                  <w:color w:val="0000EE"/>
                  <w:w w:val="95"/>
                </w:rPr>
                <w:t>Priority Institutional Partner Services, LLC, Priority Payment Systems Holdings LLC, Priority Holdings, LLC, the other Guarantors, each 2018-2</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bottom w:val="single" w:sz="8" w:color="0000EE"/>
            </w:tcBorders>
            <w:gridSpan w:val="32"/>
          </w:tcPr>
          <w:p>
            <w:pPr>
              <w:spacing w:after="0" w:line="189" w:lineRule="exact"/>
              <w:rPr>
                <w:rFonts w:ascii="Arial" w:cs="Arial" w:eastAsia="Arial" w:hAnsi="Arial"/>
                <w:sz w:val="17"/>
                <w:szCs w:val="17"/>
                <w:color w:val="0000EE"/>
                <w:w w:val="93"/>
              </w:rPr>
            </w:pPr>
            <w:hyperlink r:id="rId323">
              <w:r>
                <w:rPr>
                  <w:rFonts w:ascii="Arial" w:cs="Arial" w:eastAsia="Arial" w:hAnsi="Arial"/>
                  <w:sz w:val="17"/>
                  <w:szCs w:val="17"/>
                  <w:color w:val="0000EE"/>
                  <w:w w:val="93"/>
                </w:rPr>
                <w:t>Incremental Term Loan Lender, each Delayed Draw Term Loan Lender, other Lender party thereto and SunTrust Bank (incorporated by reference</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23">
              <w:r>
                <w:rPr>
                  <w:rFonts w:ascii="Arial" w:cs="Arial" w:eastAsia="Arial" w:hAnsi="Arial"/>
                  <w:sz w:val="17"/>
                  <w:szCs w:val="17"/>
                  <w:color w:val="0000EE"/>
                </w:rPr>
                <w:t>to Exhibit 10.1 to the Company’s Current Report on Form 8-K, filed December 26, 2018).</w:t>
              </w:r>
            </w:hyperlink>
          </w:p>
        </w:tc>
      </w:tr>
      <w:tr>
        <w:trPr>
          <w:trHeight w:val="20"/>
        </w:trPr>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24">
              <w:r>
                <w:rPr>
                  <w:rFonts w:ascii="Arial" w:cs="Arial" w:eastAsia="Arial" w:hAnsi="Arial"/>
                  <w:sz w:val="17"/>
                  <w:szCs w:val="17"/>
                  <w:color w:val="0000EE"/>
                </w:rPr>
                <w:t>10.</w:t>
              </w:r>
              <w:r>
                <w:rPr>
                  <w:rFonts w:ascii="Arial" w:cs="Arial" w:eastAsia="Arial" w:hAnsi="Arial"/>
                  <w:sz w:val="17"/>
                  <w:szCs w:val="17"/>
                  <w:u w:val="single" w:color="auto"/>
                  <w:color w:val="0000EE"/>
                </w:rPr>
                <w:t>5</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3"/>
              </w:rPr>
            </w:pPr>
            <w:hyperlink r:id="rId324">
              <w:r>
                <w:rPr>
                  <w:rFonts w:ascii="Arial" w:cs="Arial" w:eastAsia="Arial" w:hAnsi="Arial"/>
                  <w:sz w:val="17"/>
                  <w:szCs w:val="17"/>
                  <w:color w:val="0000EE"/>
                  <w:w w:val="93"/>
                </w:rPr>
                <w:t>Credit and Guaranty Agreement, dated as of January 3, 2017, by and among Priority Holdings, LLC, the Credit Parties, the Lenders and Goldman</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7"/>
              </w:rPr>
            </w:pPr>
            <w:hyperlink r:id="rId324">
              <w:r>
                <w:rPr>
                  <w:rFonts w:ascii="Arial" w:cs="Arial" w:eastAsia="Arial" w:hAnsi="Arial"/>
                  <w:sz w:val="17"/>
                  <w:szCs w:val="17"/>
                  <w:color w:val="0000EE"/>
                  <w:w w:val="97"/>
                </w:rPr>
                <w:t>Sachs Specialty Lending Group, L.P. (incorporated by reference to Exhibit 10.5 to the Company’s Current Report on Form 8-K, filed July 31,</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bottom w:val="single" w:sz="8" w:color="0000EE"/>
            </w:tcBorders>
          </w:tcPr>
          <w:p>
            <w:pPr>
              <w:spacing w:after="0" w:line="189" w:lineRule="exact"/>
              <w:rPr>
                <w:rFonts w:ascii="Arial" w:cs="Arial" w:eastAsia="Arial" w:hAnsi="Arial"/>
                <w:sz w:val="17"/>
                <w:szCs w:val="17"/>
                <w:color w:val="0000EE"/>
                <w:w w:val="87"/>
              </w:rPr>
            </w:pPr>
            <w:hyperlink r:id="rId324">
              <w:r>
                <w:rPr>
                  <w:rFonts w:ascii="Arial" w:cs="Arial" w:eastAsia="Arial" w:hAnsi="Arial"/>
                  <w:sz w:val="17"/>
                  <w:szCs w:val="17"/>
                  <w:color w:val="0000EE"/>
                  <w:w w:val="87"/>
                </w:rPr>
                <w:t>2018).</w:t>
              </w:r>
            </w:hyperlink>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5">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5.1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4"/>
              </w:rPr>
            </w:pPr>
            <w:hyperlink r:id="rId325">
              <w:r>
                <w:rPr>
                  <w:rFonts w:ascii="Arial" w:cs="Arial" w:eastAsia="Arial" w:hAnsi="Arial"/>
                  <w:sz w:val="17"/>
                  <w:szCs w:val="17"/>
                  <w:color w:val="0000EE"/>
                  <w:w w:val="94"/>
                </w:rPr>
                <w:t>First Amendment to the Credit and Guaranty Agreement, dated as of November 14, 2017, by and among Priority Holdings LLC, the Guarantors,</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4"/>
              </w:rPr>
            </w:pPr>
            <w:hyperlink r:id="rId325">
              <w:r>
                <w:rPr>
                  <w:rFonts w:ascii="Arial" w:cs="Arial" w:eastAsia="Arial" w:hAnsi="Arial"/>
                  <w:sz w:val="17"/>
                  <w:szCs w:val="17"/>
                  <w:color w:val="0000EE"/>
                  <w:w w:val="94"/>
                </w:rPr>
                <w:t>the Lenders and Goldman Sachs Specialty Group, L.P. (incorporated by reference to Exhibit 10.5.1 to the Company’s Current Report on Form 8-</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Borders>
              <w:bottom w:val="single" w:sz="8" w:color="0000EE"/>
            </w:tcBorders>
            <w:gridSpan w:val="5"/>
          </w:tcPr>
          <w:p>
            <w:pPr>
              <w:spacing w:after="0" w:line="189" w:lineRule="exact"/>
              <w:rPr>
                <w:rFonts w:ascii="Arial" w:cs="Arial" w:eastAsia="Arial" w:hAnsi="Arial"/>
                <w:sz w:val="17"/>
                <w:szCs w:val="17"/>
                <w:color w:val="0000EE"/>
                <w:w w:val="95"/>
              </w:rPr>
            </w:pPr>
            <w:hyperlink r:id="rId325">
              <w:r>
                <w:rPr>
                  <w:rFonts w:ascii="Arial" w:cs="Arial" w:eastAsia="Arial" w:hAnsi="Arial"/>
                  <w:sz w:val="17"/>
                  <w:szCs w:val="17"/>
                  <w:color w:val="0000EE"/>
                  <w:w w:val="95"/>
                </w:rPr>
                <w:t>K, filed July 31, 2018).</w:t>
              </w:r>
            </w:hyperlink>
          </w:p>
        </w:tc>
        <w:tc>
          <w:tcPr>
            <w:tcW w:w="8640" w:type="dxa"/>
            <w:vAlign w:val="bottom"/>
            <w:gridSpan w:val="27"/>
          </w:tcPr>
          <w:p>
            <w:pPr>
              <w:spacing w:after="0"/>
              <w:rPr>
                <w:sz w:val="16"/>
                <w:szCs w:val="16"/>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6">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5.2</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3"/>
              </w:rPr>
            </w:pPr>
            <w:hyperlink r:id="rId326">
              <w:r>
                <w:rPr>
                  <w:rFonts w:ascii="Arial" w:cs="Arial" w:eastAsia="Arial" w:hAnsi="Arial"/>
                  <w:sz w:val="17"/>
                  <w:szCs w:val="17"/>
                  <w:color w:val="0000EE"/>
                  <w:w w:val="93"/>
                </w:rPr>
                <w:t>Consent and Second Amendment to the Credit and Guaranty Agreement, dated as of January 11, 2018, by and among Priority Holdings LLC,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3"/>
              </w:rPr>
            </w:pPr>
            <w:hyperlink r:id="rId326">
              <w:r>
                <w:rPr>
                  <w:rFonts w:ascii="Arial" w:cs="Arial" w:eastAsia="Arial" w:hAnsi="Arial"/>
                  <w:sz w:val="17"/>
                  <w:szCs w:val="17"/>
                  <w:color w:val="0000EE"/>
                  <w:w w:val="93"/>
                </w:rPr>
                <w:t>Guarantors, the Lenders and Goldman Sachs Specialty Group, L.P. (incorporated by reference to Exhibit 10.5.2 to the Company’s Current Report</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26">
              <w:r>
                <w:rPr>
                  <w:rFonts w:ascii="Arial" w:cs="Arial" w:eastAsia="Arial" w:hAnsi="Arial"/>
                  <w:sz w:val="17"/>
                  <w:szCs w:val="17"/>
                  <w:color w:val="0000EE"/>
                </w:rPr>
                <w:t>on Form 8-K, filed July 31, 2018).</w:t>
              </w:r>
            </w:hyperlink>
          </w:p>
        </w:tc>
      </w:tr>
      <w:tr>
        <w:trPr>
          <w:trHeight w:val="20"/>
        </w:trPr>
        <w:tc>
          <w:tcPr>
            <w:tcW w:w="4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7"/>
              </w:rPr>
            </w:pPr>
            <w:hyperlink r:id="rId327">
              <w:r>
                <w:rPr>
                  <w:rFonts w:ascii="Arial" w:cs="Arial" w:eastAsia="Arial" w:hAnsi="Arial"/>
                  <w:sz w:val="17"/>
                  <w:szCs w:val="17"/>
                  <w:color w:val="0000EE"/>
                  <w:w w:val="97"/>
                </w:rPr>
                <w:t>10.</w:t>
              </w:r>
              <w:r>
                <w:rPr>
                  <w:rFonts w:ascii="Arial" w:cs="Arial" w:eastAsia="Arial" w:hAnsi="Arial"/>
                  <w:sz w:val="17"/>
                  <w:szCs w:val="17"/>
                  <w:u w:val="single" w:color="auto"/>
                  <w:color w:val="0000EE"/>
                  <w:w w:val="97"/>
                </w:rPr>
                <w:t>5.3</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4"/>
              </w:rPr>
            </w:pPr>
            <w:hyperlink r:id="rId327">
              <w:r>
                <w:rPr>
                  <w:rFonts w:ascii="Arial" w:cs="Arial" w:eastAsia="Arial" w:hAnsi="Arial"/>
                  <w:sz w:val="17"/>
                  <w:szCs w:val="17"/>
                  <w:color w:val="0000EE"/>
                  <w:w w:val="94"/>
                </w:rPr>
                <w:t>Consent and Third Amendment to the Credit and Guaranty Agreement, dated as of December 24, 2018 by and among Priority Holdings LLC,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2"/>
              </w:rPr>
            </w:pPr>
            <w:hyperlink r:id="rId327">
              <w:r>
                <w:rPr>
                  <w:rFonts w:ascii="Arial" w:cs="Arial" w:eastAsia="Arial" w:hAnsi="Arial"/>
                  <w:sz w:val="17"/>
                  <w:szCs w:val="17"/>
                  <w:color w:val="0000EE"/>
                  <w:w w:val="92"/>
                </w:rPr>
                <w:t>Guarantors, the Lenders and Goldman Sachs Specialty Group, L.P. (incorporated by reference to Exhibit 10.1 to the Company’s Current Report on</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27">
              <w:r>
                <w:rPr>
                  <w:rFonts w:ascii="Arial" w:cs="Arial" w:eastAsia="Arial" w:hAnsi="Arial"/>
                  <w:sz w:val="17"/>
                  <w:szCs w:val="17"/>
                  <w:color w:val="0000EE"/>
                </w:rPr>
                <w:t>Form 8-K, filed December 26, 2018).</w:t>
              </w:r>
            </w:hyperlink>
          </w:p>
        </w:tc>
      </w:tr>
      <w:tr>
        <w:trPr>
          <w:trHeight w:val="20"/>
        </w:trPr>
        <w:tc>
          <w:tcPr>
            <w:tcW w:w="4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28">
              <w:r>
                <w:rPr>
                  <w:rFonts w:ascii="Arial" w:cs="Arial" w:eastAsia="Arial" w:hAnsi="Arial"/>
                  <w:sz w:val="17"/>
                  <w:szCs w:val="17"/>
                  <w:color w:val="0000EE"/>
                </w:rPr>
                <w:t>10.</w:t>
              </w:r>
              <w:r>
                <w:rPr>
                  <w:rFonts w:ascii="Arial" w:cs="Arial" w:eastAsia="Arial" w:hAnsi="Arial"/>
                  <w:sz w:val="17"/>
                  <w:szCs w:val="17"/>
                  <w:u w:val="single" w:color="auto"/>
                  <w:color w:val="0000EE"/>
                </w:rPr>
                <w:t>6†**</w:t>
              </w:r>
            </w:hyperlink>
          </w:p>
        </w:tc>
        <w:tc>
          <w:tcPr>
            <w:tcW w:w="10260" w:type="dxa"/>
            <w:vAlign w:val="bottom"/>
            <w:gridSpan w:val="32"/>
          </w:tcPr>
          <w:p>
            <w:pPr>
              <w:spacing w:after="0" w:line="189" w:lineRule="exact"/>
              <w:rPr>
                <w:rFonts w:ascii="Arial" w:cs="Arial" w:eastAsia="Arial" w:hAnsi="Arial"/>
                <w:sz w:val="17"/>
                <w:szCs w:val="17"/>
                <w:color w:val="0000EE"/>
              </w:rPr>
            </w:pPr>
            <w:hyperlink r:id="rId328">
              <w:r>
                <w:rPr>
                  <w:rFonts w:ascii="Arial" w:cs="Arial" w:eastAsia="Arial" w:hAnsi="Arial"/>
                  <w:sz w:val="17"/>
                  <w:szCs w:val="17"/>
                  <w:color w:val="0000EE"/>
                </w:rPr>
                <w:t>Director Agreement by and among Priority Holdings LLC, Pipeline Cynergy Holdings, LLC, Priority Payment Systems Holdings, LLC and</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tcBorders>
              <w:top w:val="single" w:sz="8" w:color="0000EE"/>
              <w:bottom w:val="single" w:sz="8" w:color="0000EE"/>
            </w:tcBorders>
            <w:gridSpan w:val="14"/>
          </w:tcPr>
          <w:p>
            <w:pPr>
              <w:spacing w:after="0" w:line="189" w:lineRule="exact"/>
              <w:rPr>
                <w:rFonts w:ascii="Arial" w:cs="Arial" w:eastAsia="Arial" w:hAnsi="Arial"/>
                <w:sz w:val="17"/>
                <w:szCs w:val="17"/>
                <w:color w:val="0000EE"/>
                <w:w w:val="92"/>
              </w:rPr>
            </w:pPr>
            <w:hyperlink r:id="rId328">
              <w:r>
                <w:rPr>
                  <w:rFonts w:ascii="Arial" w:cs="Arial" w:eastAsia="Arial" w:hAnsi="Arial"/>
                  <w:sz w:val="17"/>
                  <w:szCs w:val="17"/>
                  <w:color w:val="0000EE"/>
                  <w:w w:val="92"/>
                </w:rPr>
                <w:t>Thomas C. Priore, dated May 21, 2014.</w:t>
              </w:r>
            </w:hyperlink>
          </w:p>
        </w:tc>
        <w:tc>
          <w:tcPr>
            <w:tcW w:w="7500" w:type="dxa"/>
            <w:vAlign w:val="bottom"/>
            <w:tcBorders>
              <w:top w:val="single" w:sz="8" w:color="0000EE"/>
            </w:tcBorders>
            <w:gridSpan w:val="18"/>
          </w:tcPr>
          <w:p>
            <w:pPr>
              <w:spacing w:after="0"/>
              <w:rPr>
                <w:sz w:val="16"/>
                <w:szCs w:val="16"/>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29">
              <w:r>
                <w:rPr>
                  <w:rFonts w:ascii="Arial" w:cs="Arial" w:eastAsia="Arial" w:hAnsi="Arial"/>
                  <w:sz w:val="17"/>
                  <w:szCs w:val="17"/>
                  <w:color w:val="0000EE"/>
                </w:rPr>
                <w:t>10.</w:t>
              </w:r>
              <w:r>
                <w:rPr>
                  <w:rFonts w:ascii="Arial" w:cs="Arial" w:eastAsia="Arial" w:hAnsi="Arial"/>
                  <w:sz w:val="17"/>
                  <w:szCs w:val="17"/>
                  <w:u w:val="single" w:color="auto"/>
                  <w:color w:val="0000EE"/>
                </w:rPr>
                <w:t>7†**</w:t>
              </w:r>
            </w:hyperlink>
          </w:p>
        </w:tc>
        <w:tc>
          <w:tcPr>
            <w:tcW w:w="10260" w:type="dxa"/>
            <w:vAlign w:val="bottom"/>
            <w:gridSpan w:val="32"/>
          </w:tcPr>
          <w:p>
            <w:pPr>
              <w:spacing w:after="0" w:line="189" w:lineRule="exact"/>
              <w:rPr>
                <w:rFonts w:ascii="Arial" w:cs="Arial" w:eastAsia="Arial" w:hAnsi="Arial"/>
                <w:sz w:val="17"/>
                <w:szCs w:val="17"/>
                <w:color w:val="0000EE"/>
                <w:w w:val="98"/>
              </w:rPr>
            </w:pPr>
            <w:hyperlink r:id="rId329">
              <w:r>
                <w:rPr>
                  <w:rFonts w:ascii="Arial" w:cs="Arial" w:eastAsia="Arial" w:hAnsi="Arial"/>
                  <w:sz w:val="17"/>
                  <w:szCs w:val="17"/>
                  <w:color w:val="0000EE"/>
                  <w:w w:val="98"/>
                </w:rPr>
                <w:t>Amendment No. 1 to Director Agreement by and among Priority Holdings LLC, Pipeline Cynergy Holdings, LLC, Priority Payment Systems</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4"/>
              </w:rPr>
            </w:pPr>
            <w:hyperlink r:id="rId329">
              <w:r>
                <w:rPr>
                  <w:rFonts w:ascii="Arial" w:cs="Arial" w:eastAsia="Arial" w:hAnsi="Arial"/>
                  <w:sz w:val="17"/>
                  <w:szCs w:val="17"/>
                  <w:color w:val="0000EE"/>
                  <w:w w:val="94"/>
                </w:rPr>
                <w:t>Holdings, LLC and Thomas C. Priore, dated April 19, 2018.</w:t>
              </w:r>
            </w:hyperlink>
          </w:p>
        </w:tc>
        <w:tc>
          <w:tcPr>
            <w:tcW w:w="6060" w:type="dxa"/>
            <w:vAlign w:val="bottom"/>
            <w:tcBorders>
              <w:top w:val="single" w:sz="8" w:color="0000EE"/>
            </w:tcBorders>
            <w:gridSpan w:val="17"/>
          </w:tcPr>
          <w:p>
            <w:pPr>
              <w:spacing w:after="0"/>
              <w:rPr>
                <w:sz w:val="16"/>
                <w:szCs w:val="16"/>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30">
              <w:r>
                <w:rPr>
                  <w:rFonts w:ascii="Arial" w:cs="Arial" w:eastAsia="Arial" w:hAnsi="Arial"/>
                  <w:sz w:val="17"/>
                  <w:szCs w:val="17"/>
                  <w:color w:val="0000EE"/>
                </w:rPr>
                <w:t>10.</w:t>
              </w:r>
              <w:r>
                <w:rPr>
                  <w:rFonts w:ascii="Arial" w:cs="Arial" w:eastAsia="Arial" w:hAnsi="Arial"/>
                  <w:sz w:val="17"/>
                  <w:szCs w:val="17"/>
                  <w:u w:val="single" w:color="auto"/>
                  <w:color w:val="0000EE"/>
                </w:rPr>
                <w:t>8†</w:t>
              </w:r>
            </w:hyperlink>
          </w:p>
        </w:tc>
        <w:tc>
          <w:tcPr>
            <w:tcW w:w="10260" w:type="dxa"/>
            <w:vAlign w:val="bottom"/>
            <w:gridSpan w:val="32"/>
          </w:tcPr>
          <w:p>
            <w:pPr>
              <w:spacing w:after="0" w:line="189" w:lineRule="exact"/>
              <w:rPr>
                <w:rFonts w:ascii="Arial" w:cs="Arial" w:eastAsia="Arial" w:hAnsi="Arial"/>
                <w:sz w:val="17"/>
                <w:szCs w:val="17"/>
                <w:color w:val="0000EE"/>
                <w:w w:val="96"/>
              </w:rPr>
            </w:pPr>
            <w:hyperlink r:id="rId330">
              <w:r>
                <w:rPr>
                  <w:rFonts w:ascii="Arial" w:cs="Arial" w:eastAsia="Arial" w:hAnsi="Arial"/>
                  <w:sz w:val="17"/>
                  <w:szCs w:val="17"/>
                  <w:color w:val="0000EE"/>
                  <w:w w:val="96"/>
                </w:rPr>
                <w:t>Executive Employment Agreement between Priority Payment Systems Holdings LLC, Pipeline Cynergy Holdings, LLC, Priority Holdings, LLC</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3"/>
              </w:rPr>
            </w:pPr>
            <w:hyperlink r:id="rId330">
              <w:r>
                <w:rPr>
                  <w:rFonts w:ascii="Arial" w:cs="Arial" w:eastAsia="Arial" w:hAnsi="Arial"/>
                  <w:sz w:val="17"/>
                  <w:szCs w:val="17"/>
                  <w:color w:val="0000EE"/>
                  <w:w w:val="93"/>
                </w:rPr>
                <w:t>and John V. Priore, dated May 21, 2014 (incorporated by reference to Exhibit 10.2 to the Company’s Current Report on Form 8-K, filed December</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89" w:lineRule="exact"/>
              <w:rPr>
                <w:rFonts w:ascii="Arial" w:cs="Arial" w:eastAsia="Arial" w:hAnsi="Arial"/>
                <w:sz w:val="17"/>
                <w:szCs w:val="17"/>
                <w:color w:val="0000EE"/>
                <w:w w:val="88"/>
              </w:rPr>
            </w:pPr>
            <w:hyperlink r:id="rId330">
              <w:r>
                <w:rPr>
                  <w:rFonts w:ascii="Arial" w:cs="Arial" w:eastAsia="Arial" w:hAnsi="Arial"/>
                  <w:sz w:val="17"/>
                  <w:szCs w:val="17"/>
                  <w:color w:val="0000EE"/>
                  <w:w w:val="88"/>
                </w:rPr>
                <w:t>26, 2018).</w:t>
              </w:r>
            </w:hyperlink>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31">
              <w:r>
                <w:rPr>
                  <w:rFonts w:ascii="Arial" w:cs="Arial" w:eastAsia="Arial" w:hAnsi="Arial"/>
                  <w:sz w:val="17"/>
                  <w:szCs w:val="17"/>
                  <w:color w:val="0000EE"/>
                </w:rPr>
                <w:t>10.</w:t>
              </w:r>
              <w:r>
                <w:rPr>
                  <w:rFonts w:ascii="Arial" w:cs="Arial" w:eastAsia="Arial" w:hAnsi="Arial"/>
                  <w:sz w:val="17"/>
                  <w:szCs w:val="17"/>
                  <w:u w:val="single" w:color="auto"/>
                  <w:color w:val="0000EE"/>
                </w:rPr>
                <w:t>9†</w:t>
              </w:r>
            </w:hyperlink>
          </w:p>
        </w:tc>
        <w:tc>
          <w:tcPr>
            <w:tcW w:w="10260" w:type="dxa"/>
            <w:vAlign w:val="bottom"/>
            <w:gridSpan w:val="32"/>
          </w:tcPr>
          <w:p>
            <w:pPr>
              <w:spacing w:after="0" w:line="189" w:lineRule="exact"/>
              <w:rPr>
                <w:rFonts w:ascii="Arial" w:cs="Arial" w:eastAsia="Arial" w:hAnsi="Arial"/>
                <w:sz w:val="17"/>
                <w:szCs w:val="17"/>
                <w:color w:val="0000EE"/>
                <w:w w:val="96"/>
              </w:rPr>
            </w:pPr>
            <w:hyperlink r:id="rId331">
              <w:r>
                <w:rPr>
                  <w:rFonts w:ascii="Arial" w:cs="Arial" w:eastAsia="Arial" w:hAnsi="Arial"/>
                  <w:sz w:val="17"/>
                  <w:szCs w:val="17"/>
                  <w:color w:val="0000EE"/>
                  <w:w w:val="96"/>
                </w:rPr>
                <w:t>Amendment to Executive Employment Agreement between Priority Payment Systems Holdings LLC, Pipeline Cynergy Holdings, LLC, Priority</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bottom w:val="single" w:sz="8" w:color="0000EE"/>
            </w:tcBorders>
            <w:gridSpan w:val="32"/>
          </w:tcPr>
          <w:p>
            <w:pPr>
              <w:spacing w:after="0" w:line="189" w:lineRule="exact"/>
              <w:rPr>
                <w:rFonts w:ascii="Arial" w:cs="Arial" w:eastAsia="Arial" w:hAnsi="Arial"/>
                <w:sz w:val="17"/>
                <w:szCs w:val="17"/>
                <w:color w:val="0000EE"/>
                <w:w w:val="93"/>
              </w:rPr>
            </w:pPr>
            <w:hyperlink r:id="rId331">
              <w:r>
                <w:rPr>
                  <w:rFonts w:ascii="Arial" w:cs="Arial" w:eastAsia="Arial" w:hAnsi="Arial"/>
                  <w:sz w:val="17"/>
                  <w:szCs w:val="17"/>
                  <w:color w:val="0000EE"/>
                  <w:w w:val="93"/>
                </w:rPr>
                <w:t>Holdings, LLC and John V. Priore, dated November 13, 2018 (incorporated by reference to Exhibit 10.3 to the Company’s Current Report on Form</w:t>
              </w:r>
            </w:hyperlink>
          </w:p>
        </w:tc>
      </w:tr>
      <w:tr>
        <w:trPr>
          <w:trHeight w:val="189"/>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rPr>
            </w:pPr>
            <w:hyperlink r:id="rId331">
              <w:r>
                <w:rPr>
                  <w:rFonts w:ascii="Arial" w:cs="Arial" w:eastAsia="Arial" w:hAnsi="Arial"/>
                  <w:sz w:val="17"/>
                  <w:szCs w:val="17"/>
                  <w:color w:val="0000EE"/>
                </w:rPr>
                <w:t>8-K, filed December 26, 2018).</w:t>
              </w:r>
            </w:hyperlink>
          </w:p>
        </w:tc>
      </w:tr>
      <w:tr>
        <w:trPr>
          <w:trHeight w:val="20"/>
        </w:trPr>
        <w:tc>
          <w:tcPr>
            <w:tcW w:w="4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32">
              <w:r>
                <w:rPr>
                  <w:rFonts w:ascii="Arial" w:cs="Arial" w:eastAsia="Arial" w:hAnsi="Arial"/>
                  <w:sz w:val="17"/>
                  <w:szCs w:val="17"/>
                  <w:color w:val="0000EE"/>
                </w:rPr>
                <w:t>10.</w:t>
              </w:r>
              <w:r>
                <w:rPr>
                  <w:rFonts w:ascii="Arial" w:cs="Arial" w:eastAsia="Arial" w:hAnsi="Arial"/>
                  <w:sz w:val="17"/>
                  <w:szCs w:val="17"/>
                  <w:u w:val="single" w:color="auto"/>
                  <w:color w:val="0000EE"/>
                </w:rPr>
                <w:t>10†</w:t>
              </w:r>
            </w:hyperlink>
          </w:p>
        </w:tc>
        <w:tc>
          <w:tcPr>
            <w:tcW w:w="10260" w:type="dxa"/>
            <w:vAlign w:val="bottom"/>
            <w:gridSpan w:val="32"/>
          </w:tcPr>
          <w:p>
            <w:pPr>
              <w:spacing w:after="0" w:line="189" w:lineRule="exact"/>
              <w:rPr>
                <w:rFonts w:ascii="Arial" w:cs="Arial" w:eastAsia="Arial" w:hAnsi="Arial"/>
                <w:sz w:val="17"/>
                <w:szCs w:val="17"/>
                <w:color w:val="0000EE"/>
                <w:w w:val="94"/>
              </w:rPr>
            </w:pPr>
            <w:hyperlink r:id="rId332">
              <w:r>
                <w:rPr>
                  <w:rFonts w:ascii="Arial" w:cs="Arial" w:eastAsia="Arial" w:hAnsi="Arial"/>
                  <w:sz w:val="17"/>
                  <w:szCs w:val="17"/>
                  <w:color w:val="0000EE"/>
                  <w:w w:val="94"/>
                </w:rPr>
                <w:t>Director Agreement by and among Priority Technology Holdings, Inc. and John V. Priore, dated December 1, 2018 (incorporated by reference to</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32">
              <w:r>
                <w:rPr>
                  <w:rFonts w:ascii="Arial" w:cs="Arial" w:eastAsia="Arial" w:hAnsi="Arial"/>
                  <w:sz w:val="17"/>
                  <w:szCs w:val="17"/>
                  <w:color w:val="0000EE"/>
                </w:rPr>
                <w:t>Exhibit 10.4 to the Company’s Current Report on Form 8-K, filed December 26, 2018).</w:t>
              </w:r>
            </w:hyperlink>
          </w:p>
        </w:tc>
      </w:tr>
      <w:tr>
        <w:trPr>
          <w:trHeight w:val="20"/>
        </w:trPr>
        <w:tc>
          <w:tcPr>
            <w:tcW w:w="48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gridSpan w:val="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33">
              <w:r>
                <w:rPr>
                  <w:rFonts w:ascii="Arial" w:cs="Arial" w:eastAsia="Arial" w:hAnsi="Arial"/>
                  <w:sz w:val="17"/>
                  <w:szCs w:val="17"/>
                  <w:color w:val="0000EE"/>
                </w:rPr>
                <w:t>10.</w:t>
              </w:r>
              <w:r>
                <w:rPr>
                  <w:rFonts w:ascii="Arial" w:cs="Arial" w:eastAsia="Arial" w:hAnsi="Arial"/>
                  <w:sz w:val="17"/>
                  <w:szCs w:val="17"/>
                  <w:u w:val="single" w:color="auto"/>
                  <w:color w:val="0000EE"/>
                </w:rPr>
                <w:t>11†**</w:t>
              </w:r>
            </w:hyperlink>
          </w:p>
        </w:tc>
        <w:tc>
          <w:tcPr>
            <w:tcW w:w="10260" w:type="dxa"/>
            <w:vAlign w:val="bottom"/>
            <w:gridSpan w:val="32"/>
          </w:tcPr>
          <w:p>
            <w:pPr>
              <w:spacing w:after="0" w:line="189" w:lineRule="exact"/>
              <w:rPr>
                <w:rFonts w:ascii="Arial" w:cs="Arial" w:eastAsia="Arial" w:hAnsi="Arial"/>
                <w:sz w:val="17"/>
                <w:szCs w:val="17"/>
                <w:color w:val="0000EE"/>
                <w:w w:val="96"/>
              </w:rPr>
            </w:pPr>
            <w:hyperlink r:id="rId333">
              <w:r>
                <w:rPr>
                  <w:rFonts w:ascii="Arial" w:cs="Arial" w:eastAsia="Arial" w:hAnsi="Arial"/>
                  <w:sz w:val="17"/>
                  <w:szCs w:val="17"/>
                  <w:color w:val="0000EE"/>
                  <w:w w:val="96"/>
                </w:rPr>
                <w:t>Employment Agreement between Priority Payment Systems Holdings LLC, Pipeline Cynergy Holdings, LLC, Priority Holdings, LLC and Afshin</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33">
              <w:r>
                <w:rPr>
                  <w:rFonts w:ascii="Arial" w:cs="Arial" w:eastAsia="Arial" w:hAnsi="Arial"/>
                  <w:sz w:val="17"/>
                  <w:szCs w:val="17"/>
                  <w:color w:val="0000EE"/>
                </w:rPr>
                <w:t>Yazdian, dated May 21, 2014.</w:t>
              </w:r>
            </w:hyperlink>
          </w:p>
        </w:tc>
      </w:tr>
      <w:tr>
        <w:trPr>
          <w:trHeight w:val="20"/>
        </w:trPr>
        <w:tc>
          <w:tcPr>
            <w:tcW w:w="480" w:type="dxa"/>
            <w:vAlign w:val="bottom"/>
            <w:gridSpan w:val="6"/>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r>
      <w:tr>
        <w:trPr>
          <w:trHeight w:val="189"/>
        </w:trPr>
        <w:tc>
          <w:tcPr>
            <w:tcW w:w="1160" w:type="dxa"/>
            <w:vAlign w:val="bottom"/>
            <w:gridSpan w:val="10"/>
          </w:tcPr>
          <w:p>
            <w:pPr>
              <w:spacing w:after="0" w:line="189" w:lineRule="exact"/>
              <w:rPr>
                <w:rFonts w:ascii="Arial" w:cs="Arial" w:eastAsia="Arial" w:hAnsi="Arial"/>
                <w:sz w:val="17"/>
                <w:szCs w:val="17"/>
                <w:color w:val="0000EE"/>
              </w:rPr>
            </w:pPr>
            <w:hyperlink r:id="rId334">
              <w:r>
                <w:rPr>
                  <w:rFonts w:ascii="Arial" w:cs="Arial" w:eastAsia="Arial" w:hAnsi="Arial"/>
                  <w:sz w:val="17"/>
                  <w:szCs w:val="17"/>
                  <w:color w:val="0000EE"/>
                </w:rPr>
                <w:t>10.</w:t>
              </w:r>
              <w:r>
                <w:rPr>
                  <w:rFonts w:ascii="Arial" w:cs="Arial" w:eastAsia="Arial" w:hAnsi="Arial"/>
                  <w:sz w:val="17"/>
                  <w:szCs w:val="17"/>
                  <w:u w:val="single" w:color="auto"/>
                  <w:color w:val="0000EE"/>
                </w:rPr>
                <w:t>12†</w:t>
              </w:r>
            </w:hyperlink>
          </w:p>
        </w:tc>
        <w:tc>
          <w:tcPr>
            <w:tcW w:w="10260" w:type="dxa"/>
            <w:vAlign w:val="bottom"/>
            <w:gridSpan w:val="32"/>
          </w:tcPr>
          <w:p>
            <w:pPr>
              <w:spacing w:after="0" w:line="189" w:lineRule="exact"/>
              <w:rPr>
                <w:rFonts w:ascii="Arial" w:cs="Arial" w:eastAsia="Arial" w:hAnsi="Arial"/>
                <w:sz w:val="17"/>
                <w:szCs w:val="17"/>
                <w:color w:val="0000EE"/>
                <w:w w:val="93"/>
              </w:rPr>
            </w:pPr>
            <w:hyperlink r:id="rId334">
              <w:r>
                <w:rPr>
                  <w:rFonts w:ascii="Arial" w:cs="Arial" w:eastAsia="Arial" w:hAnsi="Arial"/>
                  <w:sz w:val="17"/>
                  <w:szCs w:val="17"/>
                  <w:color w:val="0000EE"/>
                  <w:w w:val="93"/>
                </w:rPr>
                <w:t>Executive Employment Agreement between Priority Technology Holdings, Inc. and Michael Vollkommer, dated December 20, 2018 (incorporated</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tcBorders>
              <w:top w:val="single" w:sz="8" w:color="0000EE"/>
            </w:tcBorders>
            <w:gridSpan w:val="32"/>
          </w:tcPr>
          <w:p>
            <w:pPr>
              <w:spacing w:after="0" w:line="189" w:lineRule="exact"/>
              <w:rPr>
                <w:rFonts w:ascii="Arial" w:cs="Arial" w:eastAsia="Arial" w:hAnsi="Arial"/>
                <w:sz w:val="17"/>
                <w:szCs w:val="17"/>
                <w:color w:val="0000EE"/>
              </w:rPr>
            </w:pPr>
            <w:hyperlink r:id="rId334">
              <w:r>
                <w:rPr>
                  <w:rFonts w:ascii="Arial" w:cs="Arial" w:eastAsia="Arial" w:hAnsi="Arial"/>
                  <w:sz w:val="17"/>
                  <w:szCs w:val="17"/>
                  <w:color w:val="0000EE"/>
                </w:rPr>
                <w:t>by reference to Exhibit 10.1 to the Company’s Current Report on Form 8-K, filed December 26, 2018).</w:t>
              </w:r>
            </w:hyperlink>
          </w:p>
        </w:tc>
      </w:tr>
      <w:tr>
        <w:trPr>
          <w:trHeight w:val="189"/>
        </w:trPr>
        <w:tc>
          <w:tcPr>
            <w:tcW w:w="580" w:type="dxa"/>
            <w:vAlign w:val="bottom"/>
            <w:gridSpan w:val="7"/>
          </w:tcPr>
          <w:p>
            <w:pPr>
              <w:spacing w:after="0" w:line="189" w:lineRule="exact"/>
              <w:rPr>
                <w:rFonts w:ascii="Arial" w:cs="Arial" w:eastAsia="Arial" w:hAnsi="Arial"/>
                <w:sz w:val="17"/>
                <w:szCs w:val="17"/>
                <w:color w:val="0000EE"/>
              </w:rPr>
            </w:pPr>
            <w:hyperlink r:id="rId335">
              <w:r>
                <w:rPr>
                  <w:rFonts w:ascii="Arial" w:cs="Arial" w:eastAsia="Arial" w:hAnsi="Arial"/>
                  <w:sz w:val="17"/>
                  <w:szCs w:val="17"/>
                  <w:color w:val="0000EE"/>
                </w:rPr>
                <w:t>10.</w:t>
              </w:r>
              <w:r>
                <w:rPr>
                  <w:rFonts w:ascii="Arial" w:cs="Arial" w:eastAsia="Arial" w:hAnsi="Arial"/>
                  <w:sz w:val="17"/>
                  <w:szCs w:val="17"/>
                  <w:u w:val="single" w:color="auto"/>
                  <w:color w:val="0000EE"/>
                </w:rPr>
                <w:t>13**</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18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r:id="rId335">
              <w:r>
                <w:rPr>
                  <w:rFonts w:ascii="Arial" w:cs="Arial" w:eastAsia="Arial" w:hAnsi="Arial"/>
                  <w:sz w:val="17"/>
                  <w:szCs w:val="17"/>
                  <w:color w:val="0000EE"/>
                </w:rPr>
                <w:t>Dealer Manager Agreement.</w:t>
              </w:r>
            </w:hyperlink>
          </w:p>
        </w:tc>
        <w:tc>
          <w:tcPr>
            <w:tcW w:w="3080" w:type="dxa"/>
            <w:vAlign w:val="bottom"/>
            <w:gridSpan w:val="7"/>
          </w:tcPr>
          <w:p>
            <w:pPr>
              <w:spacing w:after="0"/>
              <w:rPr>
                <w:sz w:val="16"/>
                <w:szCs w:val="16"/>
                <w:color w:val="auto"/>
              </w:rPr>
            </w:pPr>
          </w:p>
        </w:tc>
      </w:tr>
      <w:tr>
        <w:trPr>
          <w:trHeight w:val="20"/>
        </w:trPr>
        <w:tc>
          <w:tcPr>
            <w:tcW w:w="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80" w:type="dxa"/>
            <w:vAlign w:val="bottom"/>
            <w:gridSpan w:val="12"/>
          </w:tcPr>
          <w:p>
            <w:pPr>
              <w:spacing w:after="0" w:line="20" w:lineRule="exact"/>
              <w:rPr>
                <w:sz w:val="1"/>
                <w:szCs w:val="1"/>
                <w:color w:val="auto"/>
              </w:rPr>
            </w:pPr>
          </w:p>
        </w:tc>
      </w:tr>
      <w:tr>
        <w:trPr>
          <w:trHeight w:val="189"/>
        </w:trPr>
        <w:tc>
          <w:tcPr>
            <w:tcW w:w="400" w:type="dxa"/>
            <w:vAlign w:val="bottom"/>
            <w:gridSpan w:val="4"/>
          </w:tcPr>
          <w:p>
            <w:pPr>
              <w:spacing w:after="0" w:line="189" w:lineRule="exact"/>
              <w:rPr>
                <w:rFonts w:ascii="Arial" w:cs="Arial" w:eastAsia="Arial" w:hAnsi="Arial"/>
                <w:sz w:val="17"/>
                <w:szCs w:val="17"/>
                <w:color w:val="0000EE"/>
              </w:rPr>
            </w:pPr>
            <w:hyperlink r:id="rId336">
              <w:r>
                <w:rPr>
                  <w:rFonts w:ascii="Arial" w:cs="Arial" w:eastAsia="Arial" w:hAnsi="Arial"/>
                  <w:sz w:val="17"/>
                  <w:szCs w:val="17"/>
                  <w:color w:val="0000EE"/>
                </w:rPr>
                <w:t>16.</w:t>
              </w:r>
              <w:r>
                <w:rPr>
                  <w:rFonts w:ascii="Arial" w:cs="Arial" w:eastAsia="Arial" w:hAnsi="Arial"/>
                  <w:sz w:val="17"/>
                  <w:szCs w:val="17"/>
                  <w:u w:val="single" w:color="auto"/>
                  <w:color w:val="0000EE"/>
                </w:rPr>
                <w:t>1</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8"/>
              </w:rPr>
            </w:pPr>
            <w:hyperlink r:id="rId336">
              <w:r>
                <w:rPr>
                  <w:rFonts w:ascii="Arial" w:cs="Arial" w:eastAsia="Arial" w:hAnsi="Arial"/>
                  <w:sz w:val="17"/>
                  <w:szCs w:val="17"/>
                  <w:color w:val="0000EE"/>
                  <w:w w:val="98"/>
                </w:rPr>
                <w:t>Letter from Marcum LLP to the Securities and Exchange Commission dated July 31, 2018. (incorporated by reference to Exhibit 16.1 to the</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340" w:type="dxa"/>
            <w:vAlign w:val="bottom"/>
            <w:tcBorders>
              <w:top w:val="single" w:sz="8" w:color="0000EE"/>
              <w:bottom w:val="single" w:sz="8" w:color="0000EE"/>
            </w:tcBorders>
            <w:gridSpan w:val="16"/>
          </w:tcPr>
          <w:p>
            <w:pPr>
              <w:spacing w:after="0" w:line="189" w:lineRule="exact"/>
              <w:rPr>
                <w:rFonts w:ascii="Arial" w:cs="Arial" w:eastAsia="Arial" w:hAnsi="Arial"/>
                <w:sz w:val="17"/>
                <w:szCs w:val="17"/>
                <w:color w:val="0000EE"/>
                <w:w w:val="94"/>
              </w:rPr>
            </w:pPr>
            <w:hyperlink r:id="rId336">
              <w:r>
                <w:rPr>
                  <w:rFonts w:ascii="Arial" w:cs="Arial" w:eastAsia="Arial" w:hAnsi="Arial"/>
                  <w:sz w:val="17"/>
                  <w:szCs w:val="17"/>
                  <w:color w:val="0000EE"/>
                  <w:w w:val="94"/>
                </w:rPr>
                <w:t>Company’s Current Report on Form 8-K, filed July 31, 2018).</w:t>
              </w:r>
            </w:hyperlink>
          </w:p>
        </w:tc>
        <w:tc>
          <w:tcPr>
            <w:tcW w:w="5920" w:type="dxa"/>
            <w:vAlign w:val="bottom"/>
            <w:tcBorders>
              <w:top w:val="single" w:sz="8" w:color="0000EE"/>
            </w:tcBorders>
            <w:gridSpan w:val="16"/>
          </w:tcPr>
          <w:p>
            <w:pPr>
              <w:spacing w:after="0"/>
              <w:rPr>
                <w:sz w:val="16"/>
                <w:szCs w:val="16"/>
                <w:color w:val="auto"/>
              </w:rPr>
            </w:pPr>
          </w:p>
        </w:tc>
      </w:tr>
      <w:tr>
        <w:trPr>
          <w:trHeight w:val="189"/>
        </w:trPr>
        <w:tc>
          <w:tcPr>
            <w:tcW w:w="480" w:type="dxa"/>
            <w:vAlign w:val="bottom"/>
            <w:tcBorders>
              <w:bottom w:val="single" w:sz="8" w:color="0000EE"/>
            </w:tcBorders>
            <w:gridSpan w:val="6"/>
          </w:tcPr>
          <w:p>
            <w:pPr>
              <w:spacing w:after="0" w:line="189" w:lineRule="exact"/>
              <w:rPr>
                <w:rFonts w:ascii="Arial" w:cs="Arial" w:eastAsia="Arial" w:hAnsi="Arial"/>
                <w:sz w:val="17"/>
                <w:szCs w:val="17"/>
                <w:color w:val="0000EE"/>
                <w:w w:val="99"/>
              </w:rPr>
            </w:pPr>
            <w:hyperlink r:id="rId337">
              <w:r>
                <w:rPr>
                  <w:rFonts w:ascii="Arial" w:cs="Arial" w:eastAsia="Arial" w:hAnsi="Arial"/>
                  <w:sz w:val="17"/>
                  <w:szCs w:val="17"/>
                  <w:color w:val="0000EE"/>
                  <w:w w:val="99"/>
                </w:rPr>
                <w:t>21.</w:t>
              </w:r>
              <w:r>
                <w:rPr>
                  <w:rFonts w:ascii="Arial" w:cs="Arial" w:eastAsia="Arial" w:hAnsi="Arial"/>
                  <w:sz w:val="17"/>
                  <w:szCs w:val="17"/>
                  <w:u w:val="single" w:color="auto"/>
                  <w:color w:val="0000EE"/>
                  <w:w w:val="99"/>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bottom w:val="single" w:sz="8" w:color="0000EE"/>
            </w:tcBorders>
            <w:gridSpan w:val="3"/>
          </w:tcPr>
          <w:p>
            <w:pPr>
              <w:spacing w:after="0" w:line="189" w:lineRule="exact"/>
              <w:rPr>
                <w:rFonts w:ascii="Arial" w:cs="Arial" w:eastAsia="Arial" w:hAnsi="Arial"/>
                <w:sz w:val="17"/>
                <w:szCs w:val="17"/>
                <w:color w:val="0000EE"/>
                <w:w w:val="90"/>
              </w:rPr>
            </w:pPr>
            <w:hyperlink r:id="rId337">
              <w:r>
                <w:rPr>
                  <w:rFonts w:ascii="Arial" w:cs="Arial" w:eastAsia="Arial" w:hAnsi="Arial"/>
                  <w:sz w:val="17"/>
                  <w:szCs w:val="17"/>
                  <w:color w:val="0000EE"/>
                  <w:w w:val="90"/>
                </w:rPr>
                <w:t>Subsidiaries.</w:t>
              </w:r>
            </w:hyperlink>
          </w:p>
        </w:tc>
        <w:tc>
          <w:tcPr>
            <w:tcW w:w="9360" w:type="dxa"/>
            <w:vAlign w:val="bottom"/>
            <w:gridSpan w:val="29"/>
          </w:tcPr>
          <w:p>
            <w:pPr>
              <w:spacing w:after="0"/>
              <w:rPr>
                <w:sz w:val="16"/>
                <w:szCs w:val="16"/>
                <w:color w:val="auto"/>
              </w:rPr>
            </w:pPr>
          </w:p>
        </w:tc>
      </w:tr>
      <w:tr>
        <w:trPr>
          <w:trHeight w:val="189"/>
        </w:trPr>
        <w:tc>
          <w:tcPr>
            <w:tcW w:w="480" w:type="dxa"/>
            <w:vAlign w:val="bottom"/>
            <w:tcBorders>
              <w:bottom w:val="single" w:sz="8" w:color="0000EE"/>
            </w:tcBorders>
            <w:gridSpan w:val="6"/>
          </w:tcPr>
          <w:p>
            <w:pPr>
              <w:spacing w:after="0" w:line="189" w:lineRule="exact"/>
              <w:rPr>
                <w:rFonts w:ascii="Arial" w:cs="Arial" w:eastAsia="Arial" w:hAnsi="Arial"/>
                <w:sz w:val="17"/>
                <w:szCs w:val="17"/>
                <w:color w:val="0000EE"/>
                <w:w w:val="99"/>
              </w:rPr>
            </w:pPr>
            <w:hyperlink r:id="rId316">
              <w:r>
                <w:rPr>
                  <w:rFonts w:ascii="Arial" w:cs="Arial" w:eastAsia="Arial" w:hAnsi="Arial"/>
                  <w:sz w:val="17"/>
                  <w:szCs w:val="17"/>
                  <w:color w:val="0000EE"/>
                  <w:w w:val="99"/>
                </w:rPr>
                <w:t>23.</w:t>
              </w:r>
              <w:r>
                <w:rPr>
                  <w:rFonts w:ascii="Arial" w:cs="Arial" w:eastAsia="Arial" w:hAnsi="Arial"/>
                  <w:sz w:val="17"/>
                  <w:szCs w:val="17"/>
                  <w:u w:val="single" w:color="auto"/>
                  <w:color w:val="0000EE"/>
                  <w:w w:val="99"/>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80" w:type="dxa"/>
            <w:vAlign w:val="bottom"/>
            <w:tcBorders>
              <w:bottom w:val="single" w:sz="8" w:color="0000EE"/>
            </w:tcBorders>
            <w:gridSpan w:val="18"/>
          </w:tcPr>
          <w:p>
            <w:pPr>
              <w:spacing w:after="0" w:line="189" w:lineRule="exact"/>
              <w:rPr>
                <w:rFonts w:ascii="Arial" w:cs="Arial" w:eastAsia="Arial" w:hAnsi="Arial"/>
                <w:sz w:val="17"/>
                <w:szCs w:val="17"/>
                <w:color w:val="0000EE"/>
                <w:w w:val="95"/>
              </w:rPr>
            </w:pPr>
            <w:hyperlink r:id="rId316">
              <w:r>
                <w:rPr>
                  <w:rFonts w:ascii="Arial" w:cs="Arial" w:eastAsia="Arial" w:hAnsi="Arial"/>
                  <w:sz w:val="17"/>
                  <w:szCs w:val="17"/>
                  <w:color w:val="0000EE"/>
                  <w:w w:val="95"/>
                </w:rPr>
                <w:t>Consent of Schulte Roth &amp; Zabel LLP (included in Exhibit 5.1).</w:t>
              </w:r>
            </w:hyperlink>
          </w:p>
        </w:tc>
        <w:tc>
          <w:tcPr>
            <w:tcW w:w="5780" w:type="dxa"/>
            <w:vAlign w:val="bottom"/>
            <w:gridSpan w:val="14"/>
          </w:tcPr>
          <w:p>
            <w:pPr>
              <w:spacing w:after="0"/>
              <w:rPr>
                <w:sz w:val="16"/>
                <w:szCs w:val="16"/>
                <w:color w:val="auto"/>
              </w:rPr>
            </w:pPr>
          </w:p>
        </w:tc>
      </w:tr>
      <w:tr>
        <w:trPr>
          <w:trHeight w:val="189"/>
        </w:trPr>
        <w:tc>
          <w:tcPr>
            <w:tcW w:w="400" w:type="dxa"/>
            <w:vAlign w:val="bottom"/>
            <w:tcBorders>
              <w:bottom w:val="single" w:sz="8" w:color="0000EE"/>
            </w:tcBorders>
            <w:gridSpan w:val="4"/>
          </w:tcPr>
          <w:p>
            <w:pPr>
              <w:spacing w:after="0" w:line="189" w:lineRule="exact"/>
              <w:rPr>
                <w:rFonts w:ascii="Arial" w:cs="Arial" w:eastAsia="Arial" w:hAnsi="Arial"/>
                <w:sz w:val="17"/>
                <w:szCs w:val="17"/>
                <w:color w:val="0000EE"/>
                <w:w w:val="95"/>
              </w:rPr>
            </w:pPr>
            <w:hyperlink w:anchor="page212">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2*</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40" w:type="dxa"/>
            <w:vAlign w:val="bottom"/>
            <w:tcBorders>
              <w:bottom w:val="single" w:sz="8" w:color="0000EE"/>
            </w:tcBorders>
            <w:gridSpan w:val="19"/>
          </w:tcPr>
          <w:p>
            <w:pPr>
              <w:spacing w:after="0" w:line="189" w:lineRule="exact"/>
              <w:rPr>
                <w:rFonts w:ascii="Arial" w:cs="Arial" w:eastAsia="Arial" w:hAnsi="Arial"/>
                <w:sz w:val="17"/>
                <w:szCs w:val="17"/>
                <w:color w:val="0000EE"/>
                <w:w w:val="93"/>
              </w:rPr>
            </w:pPr>
            <w:hyperlink w:anchor="page212">
              <w:r>
                <w:rPr>
                  <w:rFonts w:ascii="Arial" w:cs="Arial" w:eastAsia="Arial" w:hAnsi="Arial"/>
                  <w:sz w:val="17"/>
                  <w:szCs w:val="17"/>
                  <w:color w:val="0000EE"/>
                  <w:w w:val="93"/>
                </w:rPr>
                <w:t>Consent of Marcum LLP, Independent Registered Public Accounting Firm.</w:t>
              </w:r>
            </w:hyperlink>
          </w:p>
        </w:tc>
        <w:tc>
          <w:tcPr>
            <w:tcW w:w="5020" w:type="dxa"/>
            <w:vAlign w:val="bottom"/>
            <w:gridSpan w:val="13"/>
          </w:tcPr>
          <w:p>
            <w:pPr>
              <w:spacing w:after="0"/>
              <w:rPr>
                <w:sz w:val="16"/>
                <w:szCs w:val="16"/>
                <w:color w:val="auto"/>
              </w:rPr>
            </w:pPr>
          </w:p>
        </w:tc>
      </w:tr>
      <w:tr>
        <w:trPr>
          <w:trHeight w:val="189"/>
        </w:trPr>
        <w:tc>
          <w:tcPr>
            <w:tcW w:w="400" w:type="dxa"/>
            <w:vAlign w:val="bottom"/>
            <w:tcBorders>
              <w:bottom w:val="single" w:sz="8" w:color="0000EE"/>
            </w:tcBorders>
            <w:gridSpan w:val="4"/>
          </w:tcPr>
          <w:p>
            <w:pPr>
              <w:spacing w:after="0" w:line="189" w:lineRule="exact"/>
              <w:rPr>
                <w:rFonts w:ascii="Arial" w:cs="Arial" w:eastAsia="Arial" w:hAnsi="Arial"/>
                <w:sz w:val="17"/>
                <w:szCs w:val="17"/>
                <w:color w:val="0000EE"/>
                <w:w w:val="95"/>
              </w:rPr>
            </w:pPr>
            <w:hyperlink w:anchor="page213">
              <w:r>
                <w:rPr>
                  <w:rFonts w:ascii="Arial" w:cs="Arial" w:eastAsia="Arial" w:hAnsi="Arial"/>
                  <w:sz w:val="17"/>
                  <w:szCs w:val="17"/>
                  <w:color w:val="0000EE"/>
                  <w:w w:val="95"/>
                </w:rPr>
                <w:t>23.</w:t>
              </w:r>
              <w:r>
                <w:rPr>
                  <w:rFonts w:ascii="Arial" w:cs="Arial" w:eastAsia="Arial" w:hAnsi="Arial"/>
                  <w:sz w:val="17"/>
                  <w:szCs w:val="17"/>
                  <w:u w:val="single" w:color="auto"/>
                  <w:color w:val="0000EE"/>
                  <w:w w:val="95"/>
                </w:rPr>
                <w:t>3*</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80" w:type="dxa"/>
            <w:vAlign w:val="bottom"/>
            <w:tcBorders>
              <w:bottom w:val="single" w:sz="8" w:color="0000EE"/>
            </w:tcBorders>
            <w:gridSpan w:val="20"/>
          </w:tcPr>
          <w:p>
            <w:pPr>
              <w:spacing w:after="0" w:line="189" w:lineRule="exact"/>
              <w:rPr>
                <w:rFonts w:ascii="Arial" w:cs="Arial" w:eastAsia="Arial" w:hAnsi="Arial"/>
                <w:sz w:val="17"/>
                <w:szCs w:val="17"/>
                <w:color w:val="0000EE"/>
                <w:w w:val="93"/>
              </w:rPr>
            </w:pPr>
            <w:hyperlink w:anchor="page213">
              <w:r>
                <w:rPr>
                  <w:rFonts w:ascii="Arial" w:cs="Arial" w:eastAsia="Arial" w:hAnsi="Arial"/>
                  <w:sz w:val="17"/>
                  <w:szCs w:val="17"/>
                  <w:color w:val="0000EE"/>
                  <w:w w:val="93"/>
                </w:rPr>
                <w:t>Consent of RSM US LLP, Independent Registered Public Accounting Firm.</w:t>
              </w:r>
            </w:hyperlink>
          </w:p>
        </w:tc>
        <w:tc>
          <w:tcPr>
            <w:tcW w:w="4980" w:type="dxa"/>
            <w:vAlign w:val="bottom"/>
            <w:gridSpan w:val="12"/>
          </w:tcPr>
          <w:p>
            <w:pPr>
              <w:spacing w:after="0"/>
              <w:rPr>
                <w:sz w:val="16"/>
                <w:szCs w:val="16"/>
                <w:color w:val="auto"/>
              </w:rPr>
            </w:pPr>
          </w:p>
        </w:tc>
      </w:tr>
      <w:tr>
        <w:trPr>
          <w:trHeight w:val="189"/>
        </w:trPr>
        <w:tc>
          <w:tcPr>
            <w:tcW w:w="480" w:type="dxa"/>
            <w:vAlign w:val="bottom"/>
            <w:gridSpan w:val="6"/>
          </w:tcPr>
          <w:p>
            <w:pPr>
              <w:spacing w:after="0" w:line="189" w:lineRule="exact"/>
              <w:rPr>
                <w:rFonts w:ascii="Arial" w:cs="Arial" w:eastAsia="Arial" w:hAnsi="Arial"/>
                <w:sz w:val="17"/>
                <w:szCs w:val="17"/>
                <w:color w:val="0000EE"/>
                <w:w w:val="99"/>
              </w:rPr>
            </w:pPr>
            <w:hyperlink r:id="rId338">
              <w:r>
                <w:rPr>
                  <w:rFonts w:ascii="Arial" w:cs="Arial" w:eastAsia="Arial" w:hAnsi="Arial"/>
                  <w:sz w:val="17"/>
                  <w:szCs w:val="17"/>
                  <w:color w:val="0000EE"/>
                  <w:w w:val="99"/>
                </w:rPr>
                <w:t>24.</w:t>
              </w:r>
              <w:r>
                <w:rPr>
                  <w:rFonts w:ascii="Arial" w:cs="Arial" w:eastAsia="Arial" w:hAnsi="Arial"/>
                  <w:sz w:val="17"/>
                  <w:szCs w:val="17"/>
                  <w:u w:val="single" w:color="auto"/>
                  <w:color w:val="0000EE"/>
                  <w:w w:val="99"/>
                </w:rPr>
                <w:t>1**</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60" w:type="dxa"/>
            <w:vAlign w:val="bottom"/>
            <w:gridSpan w:val="32"/>
          </w:tcPr>
          <w:p>
            <w:pPr>
              <w:spacing w:after="0" w:line="189" w:lineRule="exact"/>
              <w:rPr>
                <w:rFonts w:ascii="Arial" w:cs="Arial" w:eastAsia="Arial" w:hAnsi="Arial"/>
                <w:sz w:val="17"/>
                <w:szCs w:val="17"/>
                <w:color w:val="0000EE"/>
                <w:w w:val="95"/>
              </w:rPr>
            </w:pPr>
            <w:hyperlink r:id="rId338">
              <w:r>
                <w:rPr>
                  <w:rFonts w:ascii="Arial" w:cs="Arial" w:eastAsia="Arial" w:hAnsi="Arial"/>
                  <w:sz w:val="17"/>
                  <w:szCs w:val="17"/>
                  <w:color w:val="0000EE"/>
                  <w:w w:val="95"/>
                </w:rPr>
                <w:t>Power of Attorney (incorporated by reference to the signature page to the Company’s Registration Statement on Form S-4, filed November 30,</w:t>
              </w:r>
            </w:hyperlink>
          </w:p>
        </w:tc>
      </w:tr>
      <w:tr>
        <w:trPr>
          <w:trHeight w:val="189"/>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7"/>
              </w:rPr>
            </w:pPr>
            <w:hyperlink r:id="rId338">
              <w:r>
                <w:rPr>
                  <w:rFonts w:ascii="Arial" w:cs="Arial" w:eastAsia="Arial" w:hAnsi="Arial"/>
                  <w:sz w:val="17"/>
                  <w:szCs w:val="17"/>
                  <w:color w:val="0000EE"/>
                  <w:w w:val="87"/>
                </w:rPr>
                <w:t>2018).</w:t>
              </w:r>
            </w:hyperlink>
          </w:p>
        </w:tc>
        <w:tc>
          <w:tcPr>
            <w:tcW w:w="2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7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r>
    </w:tbl>
    <w:p>
      <w:pPr>
        <w:sectPr>
          <w:pgSz w:w="11900" w:h="16886" w:orient="portrait"/>
          <w:cols w:equalWidth="0" w:num="1">
            <w:col w:w="11420"/>
          </w:cols>
          <w:pgMar w:left="240" w:top="781" w:right="239" w:bottom="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jc w:val="right"/>
              <w:spacing w:after="0"/>
              <w:rPr>
                <w:rFonts w:ascii="Arial" w:cs="Arial" w:eastAsia="Arial" w:hAnsi="Arial"/>
                <w:sz w:val="17"/>
                <w:szCs w:val="17"/>
                <w:color w:val="0000EE"/>
                <w:w w:val="99"/>
              </w:rPr>
            </w:pPr>
            <w:hyperlink r:id="rId339">
              <w:r>
                <w:rPr>
                  <w:rFonts w:ascii="Arial" w:cs="Arial" w:eastAsia="Arial" w:hAnsi="Arial"/>
                  <w:sz w:val="17"/>
                  <w:szCs w:val="17"/>
                  <w:color w:val="0000EE"/>
                  <w:w w:val="99"/>
                </w:rPr>
                <w:t>99.</w:t>
              </w:r>
              <w:r>
                <w:rPr>
                  <w:rFonts w:ascii="Arial" w:cs="Arial" w:eastAsia="Arial" w:hAnsi="Arial"/>
                  <w:sz w:val="17"/>
                  <w:szCs w:val="17"/>
                  <w:u w:val="single" w:color="auto"/>
                  <w:color w:val="0000EE"/>
                  <w:w w:val="99"/>
                </w:rPr>
                <w:t>1**</w:t>
              </w:r>
            </w:hyperlink>
          </w:p>
        </w:tc>
        <w:tc>
          <w:tcPr>
            <w:tcW w:w="8060" w:type="dxa"/>
            <w:vAlign w:val="bottom"/>
            <w:gridSpan w:val="5"/>
          </w:tcPr>
          <w:p>
            <w:pPr>
              <w:ind w:left="680"/>
              <w:spacing w:after="0"/>
              <w:rPr>
                <w:rFonts w:ascii="Arial" w:cs="Arial" w:eastAsia="Arial" w:hAnsi="Arial"/>
                <w:sz w:val="17"/>
                <w:szCs w:val="17"/>
                <w:color w:val="0000EE"/>
              </w:rPr>
            </w:pPr>
            <w:hyperlink r:id="rId339">
              <w:r>
                <w:rPr>
                  <w:rFonts w:ascii="Arial" w:cs="Arial" w:eastAsia="Arial" w:hAnsi="Arial"/>
                  <w:sz w:val="17"/>
                  <w:szCs w:val="17"/>
                  <w:color w:val="0000EE"/>
                </w:rPr>
                <w:t>Form of Letter of Transmittal and Consent.</w:t>
              </w:r>
            </w:hyperlink>
          </w:p>
        </w:tc>
      </w:tr>
      <w:tr>
        <w:trPr>
          <w:trHeight w:val="20"/>
        </w:trPr>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480" w:type="dxa"/>
            <w:vAlign w:val="bottom"/>
          </w:tcPr>
          <w:p>
            <w:pPr>
              <w:jc w:val="right"/>
              <w:spacing w:after="0" w:line="189" w:lineRule="exact"/>
              <w:rPr>
                <w:rFonts w:ascii="Arial" w:cs="Arial" w:eastAsia="Arial" w:hAnsi="Arial"/>
                <w:sz w:val="17"/>
                <w:szCs w:val="17"/>
                <w:color w:val="0000EE"/>
                <w:w w:val="99"/>
              </w:rPr>
            </w:pPr>
            <w:hyperlink r:id="rId340">
              <w:r>
                <w:rPr>
                  <w:rFonts w:ascii="Arial" w:cs="Arial" w:eastAsia="Arial" w:hAnsi="Arial"/>
                  <w:sz w:val="17"/>
                  <w:szCs w:val="17"/>
                  <w:color w:val="0000EE"/>
                  <w:w w:val="99"/>
                </w:rPr>
                <w:t>99.</w:t>
              </w:r>
              <w:r>
                <w:rPr>
                  <w:rFonts w:ascii="Arial" w:cs="Arial" w:eastAsia="Arial" w:hAnsi="Arial"/>
                  <w:sz w:val="17"/>
                  <w:szCs w:val="17"/>
                  <w:u w:val="single" w:color="auto"/>
                  <w:color w:val="0000EE"/>
                  <w:w w:val="99"/>
                </w:rPr>
                <w:t>2**</w:t>
              </w:r>
            </w:hyperlink>
          </w:p>
        </w:tc>
        <w:tc>
          <w:tcPr>
            <w:tcW w:w="8060" w:type="dxa"/>
            <w:vAlign w:val="bottom"/>
            <w:gridSpan w:val="5"/>
          </w:tcPr>
          <w:p>
            <w:pPr>
              <w:ind w:left="680"/>
              <w:spacing w:after="0" w:line="189" w:lineRule="exact"/>
              <w:rPr>
                <w:rFonts w:ascii="Arial" w:cs="Arial" w:eastAsia="Arial" w:hAnsi="Arial"/>
                <w:sz w:val="17"/>
                <w:szCs w:val="17"/>
                <w:color w:val="0000EE"/>
              </w:rPr>
            </w:pPr>
            <w:hyperlink r:id="rId340">
              <w:r>
                <w:rPr>
                  <w:rFonts w:ascii="Arial" w:cs="Arial" w:eastAsia="Arial" w:hAnsi="Arial"/>
                  <w:sz w:val="17"/>
                  <w:szCs w:val="17"/>
                  <w:color w:val="0000EE"/>
                </w:rPr>
                <w:t>Form of Notice of Guaranteed Delivery.</w:t>
              </w:r>
            </w:hyperlink>
          </w:p>
        </w:tc>
      </w:tr>
      <w:tr>
        <w:trPr>
          <w:trHeight w:val="20"/>
        </w:trPr>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480" w:type="dxa"/>
            <w:vAlign w:val="bottom"/>
          </w:tcPr>
          <w:p>
            <w:pPr>
              <w:jc w:val="right"/>
              <w:spacing w:after="0" w:line="189" w:lineRule="exact"/>
              <w:rPr>
                <w:rFonts w:ascii="Arial" w:cs="Arial" w:eastAsia="Arial" w:hAnsi="Arial"/>
                <w:sz w:val="17"/>
                <w:szCs w:val="17"/>
                <w:color w:val="0000EE"/>
                <w:w w:val="99"/>
              </w:rPr>
            </w:pPr>
            <w:hyperlink r:id="rId341">
              <w:r>
                <w:rPr>
                  <w:rFonts w:ascii="Arial" w:cs="Arial" w:eastAsia="Arial" w:hAnsi="Arial"/>
                  <w:sz w:val="17"/>
                  <w:szCs w:val="17"/>
                  <w:color w:val="0000EE"/>
                  <w:w w:val="99"/>
                </w:rPr>
                <w:t>99.</w:t>
              </w:r>
              <w:r>
                <w:rPr>
                  <w:rFonts w:ascii="Arial" w:cs="Arial" w:eastAsia="Arial" w:hAnsi="Arial"/>
                  <w:sz w:val="17"/>
                  <w:szCs w:val="17"/>
                  <w:u w:val="single" w:color="auto"/>
                  <w:color w:val="0000EE"/>
                  <w:w w:val="99"/>
                </w:rPr>
                <w:t>3**</w:t>
              </w:r>
            </w:hyperlink>
          </w:p>
        </w:tc>
        <w:tc>
          <w:tcPr>
            <w:tcW w:w="8060" w:type="dxa"/>
            <w:vAlign w:val="bottom"/>
            <w:gridSpan w:val="5"/>
          </w:tcPr>
          <w:p>
            <w:pPr>
              <w:ind w:left="680"/>
              <w:spacing w:after="0" w:line="189" w:lineRule="exact"/>
              <w:rPr>
                <w:rFonts w:ascii="Arial" w:cs="Arial" w:eastAsia="Arial" w:hAnsi="Arial"/>
                <w:sz w:val="17"/>
                <w:szCs w:val="17"/>
                <w:color w:val="0000EE"/>
              </w:rPr>
            </w:pPr>
            <w:hyperlink r:id="rId341">
              <w:r>
                <w:rPr>
                  <w:rFonts w:ascii="Arial" w:cs="Arial" w:eastAsia="Arial" w:hAnsi="Arial"/>
                  <w:sz w:val="17"/>
                  <w:szCs w:val="17"/>
                  <w:color w:val="0000EE"/>
                </w:rPr>
                <w:t>Form of Letter to Brokers, Dealers, Commercial Banks, Trust Companies and Other Nominees.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60" w:type="dxa"/>
            <w:vAlign w:val="bottom"/>
            <w:gridSpan w:val="3"/>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89"/>
        </w:trPr>
        <w:tc>
          <w:tcPr>
            <w:tcW w:w="480" w:type="dxa"/>
            <w:vAlign w:val="bottom"/>
          </w:tcPr>
          <w:p>
            <w:pPr>
              <w:jc w:val="right"/>
              <w:spacing w:after="0" w:line="189" w:lineRule="exact"/>
              <w:rPr>
                <w:rFonts w:ascii="Arial" w:cs="Arial" w:eastAsia="Arial" w:hAnsi="Arial"/>
                <w:sz w:val="17"/>
                <w:szCs w:val="17"/>
                <w:color w:val="0000EE"/>
                <w:w w:val="99"/>
              </w:rPr>
            </w:pPr>
            <w:hyperlink r:id="rId342">
              <w:r>
                <w:rPr>
                  <w:rFonts w:ascii="Arial" w:cs="Arial" w:eastAsia="Arial" w:hAnsi="Arial"/>
                  <w:sz w:val="17"/>
                  <w:szCs w:val="17"/>
                  <w:color w:val="0000EE"/>
                  <w:w w:val="99"/>
                </w:rPr>
                <w:t>99.</w:t>
              </w:r>
              <w:r>
                <w:rPr>
                  <w:rFonts w:ascii="Arial" w:cs="Arial" w:eastAsia="Arial" w:hAnsi="Arial"/>
                  <w:sz w:val="17"/>
                  <w:szCs w:val="17"/>
                  <w:u w:val="single" w:color="auto"/>
                  <w:color w:val="0000EE"/>
                  <w:w w:val="99"/>
                </w:rPr>
                <w:t>4**</w:t>
              </w:r>
            </w:hyperlink>
          </w:p>
        </w:tc>
        <w:tc>
          <w:tcPr>
            <w:tcW w:w="8060" w:type="dxa"/>
            <w:vAlign w:val="bottom"/>
            <w:gridSpan w:val="5"/>
          </w:tcPr>
          <w:p>
            <w:pPr>
              <w:ind w:left="680"/>
              <w:spacing w:after="0" w:line="189" w:lineRule="exact"/>
              <w:rPr>
                <w:rFonts w:ascii="Arial" w:cs="Arial" w:eastAsia="Arial" w:hAnsi="Arial"/>
                <w:sz w:val="17"/>
                <w:szCs w:val="17"/>
                <w:color w:val="0000EE"/>
                <w:w w:val="93"/>
              </w:rPr>
            </w:pPr>
            <w:hyperlink r:id="rId342">
              <w:r>
                <w:rPr>
                  <w:rFonts w:ascii="Arial" w:cs="Arial" w:eastAsia="Arial" w:hAnsi="Arial"/>
                  <w:sz w:val="17"/>
                  <w:szCs w:val="17"/>
                  <w:color w:val="0000EE"/>
                  <w:w w:val="93"/>
                </w:rPr>
                <w:t>Form of Letter to Clients of Brokers, Dealers, Commercial Banks, Trust Companies and Other Nominees.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r>
    </w:tbl>
    <w:p>
      <w:pPr>
        <w:spacing w:after="0" w:line="223" w:lineRule="exact"/>
        <w:rPr>
          <w:sz w:val="20"/>
          <w:szCs w:val="20"/>
          <w:color w:val="auto"/>
        </w:rPr>
      </w:pPr>
    </w:p>
    <w:p>
      <w:pPr>
        <w:ind w:right="8879" w:firstLine="5"/>
        <w:spacing w:after="0" w:line="288" w:lineRule="auto"/>
        <w:tabs>
          <w:tab w:leader="none" w:pos="13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spacing w:after="0" w:line="185" w:lineRule="exact"/>
        <w:rPr>
          <w:sz w:val="20"/>
          <w:szCs w:val="20"/>
          <w:color w:val="auto"/>
        </w:rPr>
      </w:pPr>
    </w:p>
    <w:p>
      <w:pPr>
        <w:ind w:left="5580" w:right="3379" w:hanging="5575"/>
        <w:spacing w:after="0" w:line="517" w:lineRule="auto"/>
        <w:tabs>
          <w:tab w:leader="none" w:pos="132" w:val="left"/>
        </w:tabs>
        <w:numPr>
          <w:ilvl w:val="0"/>
          <w:numId w:val="106"/>
        </w:numPr>
        <w:rPr>
          <w:rFonts w:ascii="Arial" w:cs="Arial" w:eastAsia="Arial" w:hAnsi="Arial"/>
          <w:sz w:val="15"/>
          <w:szCs w:val="15"/>
          <w:color w:val="auto"/>
        </w:rPr>
      </w:pPr>
      <w:r>
        <w:rPr>
          <w:rFonts w:ascii="Arial" w:cs="Arial" w:eastAsia="Arial" w:hAnsi="Arial"/>
          <w:sz w:val="15"/>
          <w:szCs w:val="15"/>
          <w:color w:val="auto"/>
        </w:rPr>
        <w:t>Indicates exhibits that constitute management contracts or compensatory plans or arrangements.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1065" cy="247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3">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b w:val="1"/>
          <w:bCs w:val="1"/>
          <w:i w:val="1"/>
          <w:iCs w:val="1"/>
          <w:color w:val="auto"/>
        </w:rPr>
        <w:t>Item 22. Undertakings.</w:t>
      </w:r>
    </w:p>
    <w:p>
      <w:pPr>
        <w:spacing w:after="0" w:line="223" w:lineRule="exact"/>
        <w:rPr>
          <w:sz w:val="20"/>
          <w:szCs w:val="20"/>
          <w:color w:val="auto"/>
        </w:rPr>
      </w:pPr>
    </w:p>
    <w:p>
      <w:pPr>
        <w:ind w:left="900" w:hanging="451"/>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223" w:lineRule="exact"/>
        <w:rPr>
          <w:sz w:val="20"/>
          <w:szCs w:val="20"/>
          <w:color w:val="auto"/>
        </w:rPr>
      </w:pPr>
    </w:p>
    <w:p>
      <w:pPr>
        <w:ind w:left="900" w:hanging="451"/>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3" w:lineRule="exact"/>
        <w:rPr>
          <w:rFonts w:ascii="Arial" w:cs="Arial" w:eastAsia="Arial" w:hAnsi="Arial"/>
          <w:sz w:val="17"/>
          <w:szCs w:val="17"/>
          <w:color w:val="auto"/>
        </w:rPr>
      </w:pPr>
    </w:p>
    <w:p>
      <w:pPr>
        <w:ind w:left="1460" w:hanging="435"/>
        <w:spacing w:after="0"/>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23" w:lineRule="exact"/>
        <w:rPr>
          <w:rFonts w:ascii="Arial" w:cs="Arial" w:eastAsia="Arial" w:hAnsi="Arial"/>
          <w:sz w:val="17"/>
          <w:szCs w:val="17"/>
          <w:color w:val="auto"/>
        </w:rPr>
      </w:pPr>
    </w:p>
    <w:p>
      <w:pPr>
        <w:jc w:val="both"/>
        <w:ind w:left="1460" w:right="280" w:hanging="435"/>
        <w:spacing w:after="0" w:line="272" w:lineRule="auto"/>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72" w:lineRule="exact"/>
        <w:rPr>
          <w:rFonts w:ascii="Arial" w:cs="Arial" w:eastAsia="Arial" w:hAnsi="Arial"/>
          <w:sz w:val="17"/>
          <w:szCs w:val="17"/>
          <w:color w:val="auto"/>
        </w:rPr>
      </w:pPr>
    </w:p>
    <w:p>
      <w:pPr>
        <w:ind w:left="1460" w:right="100" w:hanging="435"/>
        <w:spacing w:after="0" w:line="264" w:lineRule="auto"/>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0" w:lineRule="exact"/>
        <w:rPr>
          <w:rFonts w:ascii="Arial" w:cs="Arial" w:eastAsia="Arial" w:hAnsi="Arial"/>
          <w:sz w:val="17"/>
          <w:szCs w:val="17"/>
          <w:color w:val="auto"/>
        </w:rPr>
      </w:pPr>
    </w:p>
    <w:p>
      <w:pPr>
        <w:ind w:left="1460" w:right="560" w:hanging="435"/>
        <w:spacing w:after="0" w:line="288" w:lineRule="auto"/>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8" w:lineRule="exact"/>
        <w:rPr>
          <w:rFonts w:ascii="Arial" w:cs="Arial" w:eastAsia="Arial" w:hAnsi="Arial"/>
          <w:sz w:val="17"/>
          <w:szCs w:val="17"/>
          <w:color w:val="auto"/>
        </w:rPr>
      </w:pPr>
    </w:p>
    <w:p>
      <w:pPr>
        <w:ind w:left="900" w:hanging="451"/>
        <w:spacing w:after="0" w:line="272"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900" w:right="120" w:hanging="451"/>
        <w:spacing w:after="0" w:line="288"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58" w:lineRule="exact"/>
        <w:rPr>
          <w:rFonts w:ascii="Arial" w:cs="Arial" w:eastAsia="Arial" w:hAnsi="Arial"/>
          <w:sz w:val="17"/>
          <w:szCs w:val="17"/>
          <w:color w:val="auto"/>
        </w:rPr>
      </w:pPr>
    </w:p>
    <w:p>
      <w:pPr>
        <w:ind w:left="900" w:right="40" w:hanging="451"/>
        <w:spacing w:after="0" w:line="281"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251065" cy="247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208" w:name="page209"/>
    <w:bookmarkEnd w:id="208"/>
    <w:p>
      <w:pPr>
        <w:ind w:left="460" w:right="100" w:hanging="451"/>
        <w:spacing w:after="0" w:line="264"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0" w:lineRule="exact"/>
        <w:rPr>
          <w:rFonts w:ascii="Arial" w:cs="Arial" w:eastAsia="Arial" w:hAnsi="Arial"/>
          <w:sz w:val="17"/>
          <w:szCs w:val="17"/>
          <w:color w:val="auto"/>
        </w:rPr>
      </w:pPr>
    </w:p>
    <w:p>
      <w:pPr>
        <w:ind w:left="1020" w:hanging="435"/>
        <w:spacing w:after="0"/>
        <w:tabs>
          <w:tab w:leader="none" w:pos="102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34" w:lineRule="exact"/>
        <w:rPr>
          <w:rFonts w:ascii="Arial" w:cs="Arial" w:eastAsia="Arial" w:hAnsi="Arial"/>
          <w:sz w:val="16"/>
          <w:szCs w:val="16"/>
          <w:color w:val="auto"/>
        </w:rPr>
      </w:pPr>
    </w:p>
    <w:p>
      <w:pPr>
        <w:ind w:left="1020" w:right="640" w:hanging="435"/>
        <w:spacing w:after="0" w:line="288" w:lineRule="auto"/>
        <w:tabs>
          <w:tab w:leader="none" w:pos="10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58" w:lineRule="exact"/>
        <w:rPr>
          <w:rFonts w:ascii="Arial" w:cs="Arial" w:eastAsia="Arial" w:hAnsi="Arial"/>
          <w:sz w:val="17"/>
          <w:szCs w:val="17"/>
          <w:color w:val="auto"/>
        </w:rPr>
      </w:pPr>
    </w:p>
    <w:p>
      <w:pPr>
        <w:ind w:left="1020" w:right="100" w:hanging="435"/>
        <w:spacing w:after="0" w:line="288" w:lineRule="auto"/>
        <w:tabs>
          <w:tab w:leader="none" w:pos="10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8" w:lineRule="exact"/>
        <w:rPr>
          <w:rFonts w:ascii="Arial" w:cs="Arial" w:eastAsia="Arial" w:hAnsi="Arial"/>
          <w:sz w:val="17"/>
          <w:szCs w:val="17"/>
          <w:color w:val="auto"/>
        </w:rPr>
      </w:pPr>
    </w:p>
    <w:p>
      <w:pPr>
        <w:ind w:left="1020" w:hanging="435"/>
        <w:spacing w:after="0"/>
        <w:tabs>
          <w:tab w:leader="none" w:pos="10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223" w:lineRule="exact"/>
        <w:rPr>
          <w:sz w:val="20"/>
          <w:szCs w:val="20"/>
          <w:color w:val="auto"/>
        </w:rPr>
      </w:pPr>
    </w:p>
    <w:p>
      <w:pPr>
        <w:ind w:left="460" w:right="60" w:hanging="451"/>
        <w:spacing w:after="0" w:line="264"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6" w:lineRule="exact"/>
        <w:rPr>
          <w:rFonts w:ascii="Arial" w:cs="Arial" w:eastAsia="Arial" w:hAnsi="Arial"/>
          <w:sz w:val="17"/>
          <w:szCs w:val="17"/>
          <w:color w:val="auto"/>
        </w:rPr>
      </w:pPr>
    </w:p>
    <w:p>
      <w:pPr>
        <w:ind w:left="460" w:right="100" w:hanging="451"/>
        <w:spacing w:after="0" w:line="289"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6" w:lineRule="exact"/>
        <w:rPr>
          <w:rFonts w:ascii="Arial" w:cs="Arial" w:eastAsia="Arial" w:hAnsi="Arial"/>
          <w:sz w:val="16"/>
          <w:szCs w:val="16"/>
          <w:color w:val="auto"/>
        </w:rPr>
      </w:pPr>
    </w:p>
    <w:p>
      <w:pPr>
        <w:ind w:left="460" w:hanging="451"/>
        <w:spacing w:after="0" w:line="285"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registrant undertakes that every prospectus (i) that is filed pursuant to the paragraph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Arial" w:cs="Arial" w:eastAsia="Arial" w:hAnsi="Arial"/>
          <w:sz w:val="16"/>
          <w:szCs w:val="16"/>
          <w:color w:val="auto"/>
        </w:rPr>
      </w:pPr>
    </w:p>
    <w:p>
      <w:pPr>
        <w:ind w:left="460" w:right="20" w:hanging="451"/>
        <w:spacing w:after="0" w:line="261" w:lineRule="auto"/>
        <w:tabs>
          <w:tab w:leader="none" w:pos="4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1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16510</wp:posOffset>
            </wp:positionV>
            <wp:extent cx="7251065" cy="247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980"/>
          </w:cols>
          <w:pgMar w:left="680" w:top="807" w:right="239" w:bottom="1440" w:gutter="0" w:footer="0" w:header="0"/>
        </w:sectPr>
      </w:pPr>
    </w:p>
    <w:bookmarkStart w:id="209" w:name="page210"/>
    <w:bookmarkEnd w:id="209"/>
    <w:p>
      <w:pPr>
        <w:ind w:left="460" w:hanging="451"/>
        <w:spacing w:after="0" w:line="267" w:lineRule="auto"/>
        <w:tabs>
          <w:tab w:leader="none" w:pos="4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rFonts w:ascii="Arial" w:cs="Arial" w:eastAsia="Arial" w:hAnsi="Arial"/>
          <w:sz w:val="17"/>
          <w:szCs w:val="17"/>
          <w:color w:val="auto"/>
        </w:rPr>
      </w:pPr>
    </w:p>
    <w:p>
      <w:pPr>
        <w:ind w:left="460" w:right="260" w:hanging="451"/>
        <w:spacing w:after="0" w:line="321"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66"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16510</wp:posOffset>
            </wp:positionV>
            <wp:extent cx="7251065" cy="247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6">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0880"/>
          </w:cols>
          <w:pgMar w:left="680" w:top="807"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7"/>
          <w:szCs w:val="17"/>
          <w:b w:val="1"/>
          <w:bCs w:val="1"/>
          <w:color w:val="auto"/>
        </w:rPr>
        <w:t>SIGNATURES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S-4 and has duly caused this registration statement to be signed on its behalf by the undersigned, thereunto duly authorized, in the City of New York, State of New York, on January 22, 2019.</w:t>
      </w:r>
    </w:p>
    <w:p>
      <w:pPr>
        <w:spacing w:after="0" w:line="17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Priority Technology Holdings, Inc.</w:t>
      </w:r>
    </w:p>
    <w:p>
      <w:pPr>
        <w:spacing w:after="0" w:line="223" w:lineRule="exact"/>
        <w:rPr>
          <w:sz w:val="20"/>
          <w:szCs w:val="20"/>
          <w:color w:val="auto"/>
        </w:rPr>
      </w:pPr>
    </w:p>
    <w:tbl>
      <w:tblPr>
        <w:tblLayout w:type="fixed"/>
        <w:tblInd w:w="6300" w:type="dxa"/>
        <w:tblCellMar>
          <w:top w:w="0" w:type="dxa"/>
          <w:left w:w="0" w:type="dxa"/>
          <w:bottom w:w="0" w:type="dxa"/>
          <w:right w:w="0" w:type="dxa"/>
        </w:tblCellMar>
      </w:tblPr>
      <w:tr>
        <w:trPr>
          <w:trHeight w:val="221"/>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C. Priore</w:t>
            </w:r>
          </w:p>
        </w:tc>
      </w:tr>
      <w:tr>
        <w:trPr>
          <w:trHeight w:val="190"/>
        </w:trPr>
        <w:tc>
          <w:tcPr>
            <w:tcW w:w="560" w:type="dxa"/>
            <w:vAlign w:val="bottom"/>
          </w:tcPr>
          <w:p>
            <w:pPr>
              <w:spacing w:after="0" w:line="190" w:lineRule="exact"/>
              <w:rPr>
                <w:sz w:val="20"/>
                <w:szCs w:val="20"/>
                <w:color w:val="auto"/>
              </w:rPr>
            </w:pPr>
            <w:r>
              <w:rPr>
                <w:rFonts w:ascii="Arial" w:cs="Arial" w:eastAsia="Arial" w:hAnsi="Arial"/>
                <w:sz w:val="17"/>
                <w:szCs w:val="17"/>
                <w:color w:val="auto"/>
              </w:rPr>
              <w:t>Name:</w:t>
            </w:r>
          </w:p>
        </w:tc>
        <w:tc>
          <w:tcPr>
            <w:tcW w:w="4560" w:type="dxa"/>
            <w:vAlign w:val="bottom"/>
          </w:tcPr>
          <w:p>
            <w:pPr>
              <w:spacing w:after="0" w:line="190" w:lineRule="exact"/>
              <w:rPr>
                <w:sz w:val="20"/>
                <w:szCs w:val="20"/>
                <w:color w:val="auto"/>
              </w:rPr>
            </w:pPr>
            <w:r>
              <w:rPr>
                <w:rFonts w:ascii="Arial" w:cs="Arial" w:eastAsia="Arial" w:hAnsi="Arial"/>
                <w:sz w:val="17"/>
                <w:szCs w:val="17"/>
                <w:color w:val="auto"/>
              </w:rPr>
              <w:t>Thomas C. Priore</w:t>
            </w:r>
          </w:p>
        </w:tc>
      </w:tr>
      <w:tr>
        <w:trPr>
          <w:trHeight w:val="221"/>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President, Chief Executive Officer and Chairman</w:t>
            </w:r>
          </w:p>
        </w:tc>
      </w:tr>
    </w:tbl>
    <w:p>
      <w:pPr>
        <w:spacing w:after="0" w:line="197" w:lineRule="exact"/>
        <w:rPr>
          <w:sz w:val="20"/>
          <w:szCs w:val="20"/>
          <w:color w:val="auto"/>
        </w:rPr>
      </w:pPr>
    </w:p>
    <w:p>
      <w:pPr>
        <w:ind w:right="480"/>
        <w:spacing w:after="0" w:line="28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indicated on January 22,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tcPr>
          <w:p>
            <w:pPr>
              <w:spacing w:after="0"/>
              <w:rPr>
                <w:sz w:val="19"/>
                <w:szCs w:val="19"/>
                <w:color w:val="auto"/>
              </w:rPr>
            </w:pPr>
          </w:p>
        </w:tc>
        <w:tc>
          <w:tcPr>
            <w:tcW w:w="3920" w:type="dxa"/>
            <w:vAlign w:val="bottom"/>
          </w:tcPr>
          <w:p>
            <w:pPr>
              <w:ind w:left="1980"/>
              <w:spacing w:after="0"/>
              <w:rPr>
                <w:sz w:val="20"/>
                <w:szCs w:val="20"/>
                <w:color w:val="auto"/>
              </w:rPr>
            </w:pPr>
            <w:r>
              <w:rPr>
                <w:rFonts w:ascii="Arial" w:cs="Arial" w:eastAsia="Arial" w:hAnsi="Arial"/>
                <w:sz w:val="17"/>
                <w:szCs w:val="17"/>
                <w:b w:val="1"/>
                <w:bCs w:val="1"/>
                <w:color w:val="auto"/>
              </w:rPr>
              <w:t>Signature</w:t>
            </w:r>
          </w:p>
        </w:tc>
        <w:tc>
          <w:tcPr>
            <w:tcW w:w="1220" w:type="dxa"/>
            <w:vAlign w:val="bottom"/>
          </w:tcPr>
          <w:p>
            <w:pPr>
              <w:spacing w:after="0"/>
              <w:rPr>
                <w:sz w:val="19"/>
                <w:szCs w:val="19"/>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b w:val="1"/>
                <w:bCs w:val="1"/>
                <w:color w:val="auto"/>
                <w:w w:val="97"/>
              </w:rPr>
              <w:t>Title</w:t>
            </w:r>
          </w:p>
        </w:tc>
      </w:tr>
      <w:tr>
        <w:trPr>
          <w:trHeight w:val="419"/>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Thomas C. Priore</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13"/>
              <w:spacing w:after="0"/>
              <w:rPr>
                <w:sz w:val="20"/>
                <w:szCs w:val="20"/>
                <w:color w:val="auto"/>
              </w:rPr>
            </w:pPr>
            <w:r>
              <w:rPr>
                <w:rFonts w:ascii="Arial" w:cs="Arial" w:eastAsia="Arial" w:hAnsi="Arial"/>
                <w:sz w:val="17"/>
                <w:szCs w:val="17"/>
                <w:color w:val="auto"/>
                <w:w w:val="94"/>
              </w:rPr>
              <w:t>President, Chief Executive Officer and Chairman</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Thomas C. Priore</w:t>
            </w:r>
          </w:p>
        </w:tc>
        <w:tc>
          <w:tcPr>
            <w:tcW w:w="1220" w:type="dxa"/>
            <w:vAlign w:val="bottom"/>
          </w:tcPr>
          <w:p>
            <w:pPr>
              <w:spacing w:after="0"/>
              <w:rPr>
                <w:sz w:val="18"/>
                <w:szCs w:val="18"/>
                <w:color w:val="auto"/>
              </w:rPr>
            </w:pPr>
          </w:p>
        </w:tc>
        <w:tc>
          <w:tcPr>
            <w:tcW w:w="5820" w:type="dxa"/>
            <w:vAlign w:val="bottom"/>
          </w:tcPr>
          <w:p>
            <w:pPr>
              <w:jc w:val="center"/>
              <w:ind w:left="253"/>
              <w:spacing w:after="0"/>
              <w:rPr>
                <w:sz w:val="20"/>
                <w:szCs w:val="20"/>
                <w:color w:val="auto"/>
              </w:rPr>
            </w:pPr>
            <w:r>
              <w:rPr>
                <w:rFonts w:ascii="Arial" w:cs="Arial" w:eastAsia="Arial" w:hAnsi="Arial"/>
                <w:sz w:val="17"/>
                <w:szCs w:val="17"/>
                <w:color w:val="auto"/>
                <w:w w:val="97"/>
              </w:rPr>
              <w:t>(Principal Executive Officer)</w:t>
            </w:r>
          </w:p>
        </w:tc>
      </w:tr>
      <w:tr>
        <w:trPr>
          <w:trHeight w:val="40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6"/>
              </w:rPr>
              <w:t>Chief Financial Officer</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Michael Vollkommer</w:t>
            </w:r>
          </w:p>
        </w:tc>
        <w:tc>
          <w:tcPr>
            <w:tcW w:w="1220" w:type="dxa"/>
            <w:vAlign w:val="bottom"/>
          </w:tcPr>
          <w:p>
            <w:pPr>
              <w:spacing w:after="0"/>
              <w:rPr>
                <w:sz w:val="18"/>
                <w:szCs w:val="18"/>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7"/>
              </w:rPr>
              <w:t>(Principal Financial Officer)</w:t>
            </w:r>
          </w:p>
        </w:tc>
      </w:tr>
      <w:tr>
        <w:trPr>
          <w:trHeight w:val="40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53"/>
              <w:spacing w:after="0"/>
              <w:rPr>
                <w:sz w:val="20"/>
                <w:szCs w:val="20"/>
                <w:color w:val="auto"/>
              </w:rPr>
            </w:pPr>
            <w:r>
              <w:rPr>
                <w:rFonts w:ascii="Arial" w:cs="Arial" w:eastAsia="Arial" w:hAnsi="Arial"/>
                <w:sz w:val="17"/>
                <w:szCs w:val="17"/>
                <w:color w:val="auto"/>
                <w:w w:val="98"/>
              </w:rPr>
              <w:t>Chief Accounting Officer</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Bruce Mattox</w:t>
            </w:r>
          </w:p>
        </w:tc>
        <w:tc>
          <w:tcPr>
            <w:tcW w:w="1220" w:type="dxa"/>
            <w:vAlign w:val="bottom"/>
          </w:tcPr>
          <w:p>
            <w:pPr>
              <w:spacing w:after="0"/>
              <w:rPr>
                <w:sz w:val="18"/>
                <w:szCs w:val="18"/>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7"/>
              </w:rPr>
              <w:t>(Principal Accounting Officer)</w:t>
            </w:r>
          </w:p>
        </w:tc>
      </w:tr>
      <w:tr>
        <w:trPr>
          <w:trHeight w:val="413"/>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4"/>
              </w:rPr>
              <w:t>Vice-Chairman</w:t>
            </w:r>
          </w:p>
        </w:tc>
      </w:tr>
      <w:tr>
        <w:trPr>
          <w:trHeight w:val="221"/>
        </w:trPr>
        <w:tc>
          <w:tcPr>
            <w:tcW w:w="4380" w:type="dxa"/>
            <w:vAlign w:val="bottom"/>
            <w:gridSpan w:val="2"/>
          </w:tcPr>
          <w:p>
            <w:pPr>
              <w:spacing w:after="0"/>
              <w:rPr>
                <w:sz w:val="20"/>
                <w:szCs w:val="20"/>
                <w:color w:val="auto"/>
              </w:rPr>
            </w:pPr>
            <w:r>
              <w:rPr>
                <w:rFonts w:ascii="Arial" w:cs="Arial" w:eastAsia="Arial" w:hAnsi="Arial"/>
                <w:sz w:val="17"/>
                <w:szCs w:val="17"/>
                <w:color w:val="auto"/>
              </w:rPr>
              <w:t>John Priore</w:t>
            </w:r>
          </w:p>
        </w:tc>
        <w:tc>
          <w:tcPr>
            <w:tcW w:w="122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0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7"/>
              </w:rPr>
              <w:t>Director</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Marc Manuel</w:t>
            </w:r>
          </w:p>
        </w:tc>
        <w:tc>
          <w:tcPr>
            <w:tcW w:w="122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0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7"/>
              </w:rPr>
              <w:t>Director</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William Gahan</w:t>
            </w:r>
          </w:p>
        </w:tc>
        <w:tc>
          <w:tcPr>
            <w:tcW w:w="122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06"/>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w:t>
            </w:r>
          </w:p>
        </w:tc>
        <w:tc>
          <w:tcPr>
            <w:tcW w:w="1220" w:type="dxa"/>
            <w:vAlign w:val="bottom"/>
            <w:tcBorders>
              <w:bottom w:val="single" w:sz="8" w:color="auto"/>
            </w:tcBorders>
          </w:tcPr>
          <w:p>
            <w:pPr>
              <w:spacing w:after="0"/>
              <w:rPr>
                <w:sz w:val="24"/>
                <w:szCs w:val="24"/>
                <w:color w:val="auto"/>
              </w:rPr>
            </w:pPr>
          </w:p>
        </w:tc>
        <w:tc>
          <w:tcPr>
            <w:tcW w:w="5820" w:type="dxa"/>
            <w:vAlign w:val="bottom"/>
          </w:tcPr>
          <w:p>
            <w:pPr>
              <w:jc w:val="center"/>
              <w:ind w:left="273"/>
              <w:spacing w:after="0"/>
              <w:rPr>
                <w:sz w:val="20"/>
                <w:szCs w:val="20"/>
                <w:color w:val="auto"/>
              </w:rPr>
            </w:pPr>
            <w:r>
              <w:rPr>
                <w:rFonts w:ascii="Arial" w:cs="Arial" w:eastAsia="Arial" w:hAnsi="Arial"/>
                <w:sz w:val="17"/>
                <w:szCs w:val="17"/>
                <w:color w:val="auto"/>
                <w:w w:val="97"/>
              </w:rPr>
              <w:t>Director</w:t>
            </w:r>
          </w:p>
        </w:tc>
      </w:tr>
      <w:tr>
        <w:trPr>
          <w:trHeight w:val="215"/>
        </w:trPr>
        <w:tc>
          <w:tcPr>
            <w:tcW w:w="4380" w:type="dxa"/>
            <w:vAlign w:val="bottom"/>
            <w:gridSpan w:val="2"/>
          </w:tcPr>
          <w:p>
            <w:pPr>
              <w:spacing w:after="0"/>
              <w:rPr>
                <w:sz w:val="20"/>
                <w:szCs w:val="20"/>
                <w:color w:val="auto"/>
              </w:rPr>
            </w:pPr>
            <w:r>
              <w:rPr>
                <w:rFonts w:ascii="Arial" w:cs="Arial" w:eastAsia="Arial" w:hAnsi="Arial"/>
                <w:sz w:val="17"/>
                <w:szCs w:val="17"/>
                <w:color w:val="auto"/>
              </w:rPr>
              <w:t>Matthew Kearney</w:t>
            </w:r>
          </w:p>
        </w:tc>
        <w:tc>
          <w:tcPr>
            <w:tcW w:w="1220" w:type="dxa"/>
            <w:vAlign w:val="bottom"/>
          </w:tcPr>
          <w:p>
            <w:pPr>
              <w:spacing w:after="0"/>
              <w:rPr>
                <w:sz w:val="18"/>
                <w:szCs w:val="18"/>
                <w:color w:val="auto"/>
              </w:rPr>
            </w:pPr>
          </w:p>
        </w:tc>
        <w:tc>
          <w:tcPr>
            <w:tcW w:w="5820" w:type="dxa"/>
            <w:vAlign w:val="bottom"/>
          </w:tcPr>
          <w:p>
            <w:pPr>
              <w:spacing w:after="0"/>
              <w:rPr>
                <w:sz w:val="18"/>
                <w:szCs w:val="18"/>
                <w:color w:val="auto"/>
              </w:rPr>
            </w:pPr>
          </w:p>
        </w:tc>
      </w:tr>
      <w:tr>
        <w:trPr>
          <w:trHeight w:val="406"/>
        </w:trPr>
        <w:tc>
          <w:tcPr>
            <w:tcW w:w="4380" w:type="dxa"/>
            <w:vAlign w:val="bottom"/>
            <w:gridSpan w:val="2"/>
          </w:tcPr>
          <w:p>
            <w:pPr>
              <w:spacing w:after="0"/>
              <w:rPr>
                <w:sz w:val="20"/>
                <w:szCs w:val="20"/>
                <w:color w:val="auto"/>
              </w:rPr>
            </w:pPr>
            <w:r>
              <w:rPr>
                <w:rFonts w:ascii="Arial" w:cs="Arial" w:eastAsia="Arial" w:hAnsi="Arial"/>
                <w:sz w:val="17"/>
                <w:szCs w:val="17"/>
                <w:color w:val="auto"/>
              </w:rPr>
              <w:t>*By:  /s/ Thomas C. Priore</w:t>
            </w:r>
          </w:p>
        </w:tc>
        <w:tc>
          <w:tcPr>
            <w:tcW w:w="122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15"/>
        </w:trPr>
        <w:tc>
          <w:tcPr>
            <w:tcW w:w="46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Thomas C. Priore, Attorney-in-Fact</w:t>
            </w:r>
          </w:p>
        </w:tc>
        <w:tc>
          <w:tcPr>
            <w:tcW w:w="1220" w:type="dxa"/>
            <w:vAlign w:val="bottom"/>
            <w:tcBorders>
              <w:top w:val="single" w:sz="8" w:color="auto"/>
            </w:tcBorders>
          </w:tcPr>
          <w:p>
            <w:pPr>
              <w:spacing w:after="0"/>
              <w:rPr>
                <w:sz w:val="18"/>
                <w:szCs w:val="18"/>
                <w:color w:val="auto"/>
              </w:rPr>
            </w:pPr>
          </w:p>
        </w:tc>
        <w:tc>
          <w:tcPr>
            <w:tcW w:w="5820" w:type="dxa"/>
            <w:vAlign w:val="bottom"/>
          </w:tcPr>
          <w:p>
            <w:pPr>
              <w:spacing w:after="0"/>
              <w:rPr>
                <w:sz w:val="18"/>
                <w:szCs w:val="18"/>
                <w:color w:val="auto"/>
              </w:rPr>
            </w:pPr>
          </w:p>
        </w:tc>
      </w:tr>
      <w:tr>
        <w:trPr>
          <w:trHeight w:val="530"/>
        </w:trPr>
        <w:tc>
          <w:tcPr>
            <w:tcW w:w="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2"/>
          </w:tcPr>
          <w:p>
            <w:pPr>
              <w:ind w:left="1200"/>
              <w:spacing w:after="0"/>
              <w:rPr>
                <w:sz w:val="20"/>
                <w:szCs w:val="20"/>
                <w:color w:val="auto"/>
              </w:rPr>
            </w:pPr>
            <w:r>
              <w:rPr>
                <w:rFonts w:ascii="Arial" w:cs="Arial" w:eastAsia="Arial" w:hAnsi="Arial"/>
                <w:sz w:val="17"/>
                <w:szCs w:val="17"/>
                <w:color w:val="auto"/>
              </w:rPr>
              <w:t>II-6</w:t>
            </w:r>
          </w:p>
        </w:tc>
      </w:tr>
    </w:tbl>
    <w:p>
      <w:pPr>
        <w:sectPr>
          <w:pgSz w:w="11900" w:h="16838" w:orient="portrait"/>
          <w:cols w:equalWidth="0" w:num="1">
            <w:col w:w="11420"/>
          </w:cols>
          <w:pgMar w:left="240" w:top="775"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7"/>
          <w:szCs w:val="17"/>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INDEPENDENT REGISTERED PUBLIC ACCOUNTING FIRM’S CONSENT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consent to the inclusion in this Registration Statement of Priority Technology Holdings, Inc. (formerly M I Acquisitions, Inc.) on Form S-4, amendment no. 2, File No. 333-228645 of our report dated March 27, 2018, which includes an explanatory paragraph as to M I Acquisitions, Inc.’s ability to continue as a going concern, with respect to our audits of the financial statements of M I Acquisitions, Inc. (now known as Priority Technology Holdings, Inc.) as of December 31, 2017 and 2016 and for each of the two years in the period ended December 31, 2017, which report appears in the Prospectus, which is part of this Registration Statement. We were dismissed as auditors on July 25, 2018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 Marcum </w:t>
      </w:r>
      <w:r>
        <w:rPr>
          <w:rFonts w:ascii="Arial" w:cs="Arial" w:eastAsia="Arial" w:hAnsi="Arial"/>
          <w:sz w:val="11"/>
          <w:szCs w:val="11"/>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Marcum </w:t>
      </w:r>
      <w:r>
        <w:rPr>
          <w:rFonts w:ascii="Arial" w:cs="Arial" w:eastAsia="Arial" w:hAnsi="Arial"/>
          <w:sz w:val="11"/>
          <w:szCs w:val="11"/>
          <w:color w:val="auto"/>
        </w:rPr>
        <w:t>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New York, 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January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1065" cy="247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7">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b w:val="1"/>
          <w:bCs w:val="1"/>
          <w:color w:val="auto"/>
        </w:rPr>
        <w:t>Exhibit 23.3</w:t>
      </w:r>
    </w:p>
    <w:p>
      <w:pPr>
        <w:spacing w:after="0" w:line="223" w:lineRule="exact"/>
        <w:rPr>
          <w:sz w:val="20"/>
          <w:szCs w:val="20"/>
          <w:color w:val="auto"/>
        </w:rPr>
      </w:pPr>
    </w:p>
    <w:p>
      <w:pPr>
        <w:jc w:val="center"/>
        <w:ind w:left="32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consent to the use in this Amendment No. 2 to the Registration Statement (No. 333-228645) of Priority Technology Holdings, Inc. of our report dated April 18, 2018, except for the effect of the 2018 Business Combination and Recapitalization disclosures in Notes 1, 12, 14 and 17 as to which the date is November 30, 2018, relating to the consolidated financial statements of Priority Technology Holdings, Inc. and Subsidiaries (formerly known as Priority Holdings, LLC and Subsidiaries) appearing in the Prospectus/Offer to Exchange, which is part of this Registration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heading “Experts” in such Prospectus/Offer to Exchange.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January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208280</wp:posOffset>
            </wp:positionV>
            <wp:extent cx="7251065" cy="247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8">
                      <a:extLst>
                        <a:ext uri="{28A0092B-C50C-407E-A947-70E740481C1C}"/>
                      </a:extLst>
                    </a:blip>
                    <a:srcRect/>
                    <a:stretch>
                      <a:fillRect/>
                    </a:stretch>
                  </pic:blipFill>
                  <pic:spPr bwMode="auto">
                    <a:xfrm>
                      <a:off x="0" y="0"/>
                      <a:ext cx="7251065" cy="24765"/>
                    </a:xfrm>
                    <a:prstGeom prst="rect">
                      <a:avLst/>
                    </a:prstGeom>
                    <a:noFill/>
                  </pic:spPr>
                </pic:pic>
              </a:graphicData>
            </a:graphic>
          </wp:anchor>
        </w:drawing>
      </w:r>
    </w:p>
    <w:sectPr>
      <w:pgSz w:w="11900" w:h="16838" w:orient="portrait"/>
      <w:cols w:equalWidth="0" w:num="1">
        <w:col w:w="11420"/>
      </w:cols>
      <w:pgMar w:left="240" w:top="3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decimal"/>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
      <w:numFmt w:val="bullet"/>
      <w:start w:val="1"/>
    </w:lvl>
  </w:abstractNum>
  <w:abstractNum w:abstractNumId="12">
    <w:nsid w:val="61574095"/>
    <w:multiLevelType w:val="hybridMultilevel"/>
    <w:lvl w:ilvl="0">
      <w:lvlJc w:val="left"/>
      <w:lvlText w:val="●"/>
      <w:numFmt w:val="bullet"/>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1)"/>
      <w:numFmt w:val="decimal"/>
      <w:start w:val="3"/>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1)"/>
      <w:numFmt w:val="lowerRoman"/>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decimal"/>
      <w:start w:val="1"/>
    </w:lvl>
  </w:abstractNum>
  <w:abstractNum w:abstractNumId="24">
    <w:nsid w:val="5DB70AE5"/>
    <w:multiLevelType w:val="hybridMultilevel"/>
    <w:lvl w:ilvl="0">
      <w:lvlJc w:val="left"/>
      <w:lvlText w:val="(%1)"/>
      <w:numFmt w:val="decimal"/>
      <w:start w:val="1"/>
    </w:lvl>
  </w:abstractNum>
  <w:abstractNum w:abstractNumId="25">
    <w:nsid w:val="100F8FCA"/>
    <w:multiLevelType w:val="hybridMultilevel"/>
    <w:lvl w:ilvl="0">
      <w:lvlJc w:val="left"/>
      <w:lvlText w:val="%1."/>
      <w:numFmt w:val="decimal"/>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1."/>
      <w:numFmt w:val="decimal"/>
      <w:start w:val="2"/>
    </w:lvl>
  </w:abstractNum>
  <w:abstractNum w:abstractNumId="29">
    <w:nsid w:val="98A3148"/>
    <w:multiLevelType w:val="hybridMultilevel"/>
    <w:lvl w:ilvl="0">
      <w:lvlJc w:val="left"/>
      <w:lvlText w:val="%1."/>
      <w:numFmt w:val="decimal"/>
      <w:start w:val="3"/>
    </w:lvl>
  </w:abstractNum>
  <w:abstractNum w:abstractNumId="30">
    <w:nsid w:val="799D0247"/>
    <w:multiLevelType w:val="hybridMultilevel"/>
    <w:lvl w:ilvl="0">
      <w:lvlJc w:val="left"/>
      <w:lvlText w:val="(%1)"/>
      <w:numFmt w:val="upperLetter"/>
      <w:start w:val="27"/>
    </w:lvl>
  </w:abstractNum>
  <w:abstractNum w:abstractNumId="31">
    <w:nsid w:val="6B94764"/>
    <w:multiLevelType w:val="hybridMultilevel"/>
    <w:lvl w:ilvl="0">
      <w:lvlJc w:val="left"/>
      <w:lvlText w:val="%1."/>
      <w:numFmt w:val="decimal"/>
      <w:start w:val="4"/>
    </w:lvl>
  </w:abstractNum>
  <w:abstractNum w:abstractNumId="32">
    <w:nsid w:val="42C296BD"/>
    <w:multiLevelType w:val="hybridMultilevel"/>
    <w:lvl w:ilvl="0">
      <w:lvlJc w:val="left"/>
      <w:lvlText w:val="●"/>
      <w:numFmt w:val="bullet"/>
      <w:start w:val="1"/>
    </w:lvl>
    <w:lvl w:ilvl="1">
      <w:lvlJc w:val="left"/>
      <w:lvlText w:val="●"/>
      <w:numFmt w:val="bullet"/>
      <w:start w:val="1"/>
    </w:lvl>
  </w:abstractNum>
  <w:abstractNum w:abstractNumId="33">
    <w:nsid w:val="168E121F"/>
    <w:multiLevelType w:val="hybridMultilevel"/>
    <w:lvl w:ilvl="0">
      <w:lvlJc w:val="left"/>
      <w:lvlText w:val="●"/>
      <w:numFmt w:val="bullet"/>
      <w:start w:val="1"/>
    </w:lvl>
  </w:abstractNum>
  <w:abstractNum w:abstractNumId="34">
    <w:nsid w:val="1EBA5D23"/>
    <w:multiLevelType w:val="hybridMultilevel"/>
    <w:lvl w:ilvl="0">
      <w:lvlJc w:val="left"/>
      <w:lvlText w:val="●"/>
      <w:numFmt w:val="bullet"/>
      <w:start w:val="1"/>
    </w:lvl>
  </w:abstractNum>
  <w:abstractNum w:abstractNumId="35">
    <w:nsid w:val="661E3F1E"/>
    <w:multiLevelType w:val="hybridMultilevel"/>
    <w:lvl w:ilvl="0">
      <w:lvlJc w:val="left"/>
      <w:lvlText w:val="●"/>
      <w:numFmt w:val="bullet"/>
      <w:start w:val="1"/>
    </w:lvl>
  </w:abstractNum>
  <w:abstractNum w:abstractNumId="36">
    <w:nsid w:val="5DC79EA8"/>
    <w:multiLevelType w:val="hybridMultilevel"/>
    <w:lvl w:ilvl="0">
      <w:lvlJc w:val="left"/>
      <w:lvlText w:val="●"/>
      <w:numFmt w:val="bullet"/>
      <w:start w:val="1"/>
    </w:lvl>
  </w:abstractNum>
  <w:abstractNum w:abstractNumId="37">
    <w:nsid w:val="540A471C"/>
    <w:multiLevelType w:val="hybridMultilevel"/>
    <w:lvl w:ilvl="0">
      <w:lvlJc w:val="left"/>
      <w:lvlText w:val="●"/>
      <w:numFmt w:val="bullet"/>
      <w:start w:val="1"/>
    </w:lvl>
  </w:abstractNum>
  <w:abstractNum w:abstractNumId="38">
    <w:nsid w:val="7BD3EE7B"/>
    <w:multiLevelType w:val="hybridMultilevel"/>
    <w:lvl w:ilvl="0">
      <w:lvlJc w:val="left"/>
      <w:lvlText w:val="●"/>
      <w:numFmt w:val="bullet"/>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
      <w:numFmt w:val="bullet"/>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abstractNum>
  <w:abstractNum w:abstractNumId="45">
    <w:nsid w:val="8F2B15E"/>
    <w:multiLevelType w:val="hybridMultilevel"/>
    <w:lvl w:ilvl="0">
      <w:lvlJc w:val="left"/>
      <w:lvlText w:val="(%1)"/>
      <w:numFmt w:val="decimal"/>
      <w:start w:val="1"/>
    </w:lvl>
  </w:abstractNum>
  <w:abstractNum w:abstractNumId="46">
    <w:nsid w:val="1A32234B"/>
    <w:multiLevelType w:val="hybridMultilevel"/>
    <w:lvl w:ilvl="0">
      <w:lvlJc w:val="left"/>
      <w:lvlText w:val="(%1)"/>
      <w:numFmt w:val="decimal"/>
      <w:start w:val="1"/>
    </w:lvl>
  </w:abstractNum>
  <w:abstractNum w:abstractNumId="47">
    <w:nsid w:val="3B0FD379"/>
    <w:multiLevelType w:val="hybridMultilevel"/>
    <w:lvl w:ilvl="0">
      <w:lvlJc w:val="left"/>
      <w:lvlText w:val="(%1)"/>
      <w:numFmt w:val="decimal"/>
      <w:start w:val="1"/>
    </w:lvl>
  </w:abstractNum>
  <w:abstractNum w:abstractNumId="48">
    <w:nsid w:val="68EB2F63"/>
    <w:multiLevelType w:val="hybridMultilevel"/>
    <w:lvl w:ilvl="0">
      <w:lvlJc w:val="left"/>
      <w:lvlText w:val="(%1)"/>
      <w:numFmt w:val="decimal"/>
      <w:start w:val="1"/>
    </w:lvl>
  </w:abstractNum>
  <w:abstractNum w:abstractNumId="49">
    <w:nsid w:val="4962813B"/>
    <w:multiLevelType w:val="hybridMultilevel"/>
    <w:lvl w:ilvl="0">
      <w:lvlJc w:val="left"/>
      <w:lvlText w:val="(%1)"/>
      <w:numFmt w:val="lowerLetter"/>
      <w:start w:val="1"/>
    </w:lvl>
  </w:abstractNum>
  <w:abstractNum w:abstractNumId="50">
    <w:nsid w:val="60B6DF70"/>
    <w:multiLevelType w:val="hybridMultilevel"/>
    <w:lvl w:ilvl="0">
      <w:lvlJc w:val="left"/>
      <w:lvlText w:val="(%1)"/>
      <w:numFmt w:val="lowerLetter"/>
      <w:start w:val="2"/>
    </w:lvl>
  </w:abstractNum>
  <w:abstractNum w:abstractNumId="51">
    <w:nsid w:val="6A5EE64"/>
    <w:multiLevelType w:val="hybridMultilevel"/>
    <w:lvl w:ilvl="0">
      <w:lvlJc w:val="left"/>
      <w:lvlText w:val="•"/>
      <w:numFmt w:val="bullet"/>
      <w:start w:val="1"/>
    </w:lvl>
  </w:abstractNum>
  <w:abstractNum w:abstractNumId="52">
    <w:nsid w:val="14330624"/>
    <w:multiLevelType w:val="hybridMultilevel"/>
    <w:lvl w:ilvl="0">
      <w:lvlJc w:val="left"/>
      <w:lvlText w:val="●"/>
      <w:numFmt w:val="bullet"/>
      <w:start w:val="1"/>
    </w:lvl>
  </w:abstractNum>
  <w:abstractNum w:abstractNumId="53">
    <w:nsid w:val="7FFFCA11"/>
    <w:multiLevelType w:val="hybridMultilevel"/>
    <w:lvl w:ilvl="0">
      <w:lvlJc w:val="left"/>
      <w:lvlText w:val="●"/>
      <w:numFmt w:val="bullet"/>
      <w:start w:val="1"/>
    </w:lvl>
  </w:abstractNum>
  <w:abstractNum w:abstractNumId="54">
    <w:nsid w:val="1A27709E"/>
    <w:multiLevelType w:val="hybridMultilevel"/>
    <w:lvl w:ilvl="0">
      <w:lvlJc w:val="left"/>
      <w:lvlText w:val="●"/>
      <w:numFmt w:val="bullet"/>
      <w:start w:val="1"/>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abstractNum>
  <w:abstractNum w:abstractNumId="59">
    <w:nsid w:val="6F6DD9AC"/>
    <w:multiLevelType w:val="hybridMultilevel"/>
    <w:lvl w:ilvl="0">
      <w:lvlJc w:val="left"/>
      <w:lvlText w:val="●"/>
      <w:numFmt w:val="bullet"/>
      <w:start w:val="1"/>
    </w:lvl>
  </w:abstractNum>
  <w:abstractNum w:abstractNumId="60">
    <w:nsid w:val="94211F2"/>
    <w:multiLevelType w:val="hybridMultilevel"/>
    <w:lvl w:ilvl="0">
      <w:lvlJc w:val="left"/>
      <w:lvlText w:val="●"/>
      <w:numFmt w:val="bullet"/>
      <w:start w:val="1"/>
    </w:lvl>
  </w:abstractNum>
  <w:abstractNum w:abstractNumId="61">
    <w:nsid w:val="885E1B"/>
    <w:multiLevelType w:val="hybridMultilevel"/>
    <w:lvl w:ilvl="0">
      <w:lvlJc w:val="left"/>
      <w:lvlText w:val="●"/>
      <w:numFmt w:val="bullet"/>
      <w:start w:val="1"/>
    </w:lvl>
  </w:abstractNum>
  <w:abstractNum w:abstractNumId="62">
    <w:nsid w:val="76272110"/>
    <w:multiLevelType w:val="hybridMultilevel"/>
    <w:lvl w:ilvl="0">
      <w:lvlJc w:val="left"/>
      <w:lvlText w:val="●"/>
      <w:numFmt w:val="bullet"/>
      <w:start w:val="1"/>
    </w:lvl>
  </w:abstractNum>
  <w:abstractNum w:abstractNumId="63">
    <w:nsid w:val="4C04A8AF"/>
    <w:multiLevelType w:val="hybridMultilevel"/>
    <w:lvl w:ilvl="0">
      <w:lvlJc w:val="left"/>
      <w:lvlText w:val="●"/>
      <w:numFmt w:val="bullet"/>
      <w:start w:val="1"/>
    </w:lvl>
  </w:abstractNum>
  <w:abstractNum w:abstractNumId="64">
    <w:nsid w:val="1716703B"/>
    <w:multiLevelType w:val="hybridMultilevel"/>
    <w:lvl w:ilvl="0">
      <w:lvlJc w:val="left"/>
      <w:lvlText w:val="(%1)"/>
      <w:numFmt w:val="decimal"/>
      <w:start w:val="1"/>
    </w:lvl>
  </w:abstractNum>
  <w:abstractNum w:abstractNumId="65">
    <w:nsid w:val="14E17E33"/>
    <w:multiLevelType w:val="hybridMultilevel"/>
    <w:lvl w:ilvl="0">
      <w:lvlJc w:val="left"/>
      <w:lvlText w:val="(%1)"/>
      <w:numFmt w:val="lowerRoman"/>
      <w:start w:val="3"/>
    </w:lvl>
  </w:abstractNum>
  <w:abstractNum w:abstractNumId="66">
    <w:nsid w:val="3222E7CD"/>
    <w:multiLevelType w:val="hybridMultilevel"/>
    <w:lvl w:ilvl="0">
      <w:lvlJc w:val="left"/>
      <w:lvlText w:val="●"/>
      <w:numFmt w:val="bullet"/>
      <w:start w:val="1"/>
    </w:lvl>
  </w:abstractNum>
  <w:abstractNum w:abstractNumId="67">
    <w:nsid w:val="74DE0EE3"/>
    <w:multiLevelType w:val="hybridMultilevel"/>
    <w:lvl w:ilvl="0">
      <w:lvlJc w:val="left"/>
      <w:lvlText w:val="(%1)"/>
      <w:numFmt w:val="decimal"/>
      <w:start w:val="1"/>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decimal"/>
      <w:start w:val="1"/>
    </w:lvl>
  </w:abstractNum>
  <w:abstractNum w:abstractNumId="70">
    <w:nsid w:val="46B7D447"/>
    <w:multiLevelType w:val="hybridMultilevel"/>
    <w:lvl w:ilvl="0">
      <w:lvlJc w:val="left"/>
      <w:lvlText w:val="●"/>
      <w:numFmt w:val="bullet"/>
      <w:start w:val="1"/>
    </w:lvl>
  </w:abstractNum>
  <w:abstractNum w:abstractNumId="71">
    <w:nsid w:val="4A2AC315"/>
    <w:multiLevelType w:val="hybridMultilevel"/>
    <w:lvl w:ilvl="0">
      <w:lvlJc w:val="left"/>
      <w:lvlText w:val="●"/>
      <w:numFmt w:val="bullet"/>
      <w:start w:val="1"/>
    </w:lvl>
  </w:abstractNum>
  <w:abstractNum w:abstractNumId="72">
    <w:nsid w:val="39EE015C"/>
    <w:multiLevelType w:val="hybridMultilevel"/>
    <w:lvl w:ilvl="0">
      <w:lvlJc w:val="left"/>
      <w:lvlText w:val="%1."/>
      <w:numFmt w:val="decimal"/>
      <w:start w:val="2"/>
    </w:lvl>
  </w:abstractNum>
  <w:abstractNum w:abstractNumId="73">
    <w:nsid w:val="57FC4FBB"/>
    <w:multiLevelType w:val="hybridMultilevel"/>
    <w:lvl w:ilvl="0">
      <w:lvlJc w:val="left"/>
      <w:lvlText w:val="%1."/>
      <w:numFmt w:val="decimal"/>
      <w:start w:val="3"/>
    </w:lvl>
  </w:abstractNum>
  <w:abstractNum w:abstractNumId="74">
    <w:nsid w:val="CC1016F"/>
    <w:multiLevelType w:val="hybridMultilevel"/>
    <w:lvl w:ilvl="0">
      <w:lvlJc w:val="left"/>
      <w:lvlText w:val="%1."/>
      <w:numFmt w:val="decimal"/>
      <w:start w:val="5"/>
    </w:lvl>
  </w:abstractNum>
  <w:abstractNum w:abstractNumId="75">
    <w:nsid w:val="43F18422"/>
    <w:multiLevelType w:val="hybridMultilevel"/>
    <w:lvl w:ilvl="0">
      <w:lvlJc w:val="left"/>
      <w:lvlText w:val="%1."/>
      <w:numFmt w:val="decimal"/>
      <w:start w:val="6"/>
    </w:lvl>
  </w:abstractNum>
  <w:abstractNum w:abstractNumId="76">
    <w:nsid w:val="60EF0119"/>
    <w:multiLevelType w:val="hybridMultilevel"/>
    <w:lvl w:ilvl="0">
      <w:lvlJc w:val="left"/>
      <w:lvlText w:val="%1."/>
      <w:numFmt w:val="decimal"/>
      <w:start w:val="8"/>
    </w:lvl>
  </w:abstractNum>
  <w:abstractNum w:abstractNumId="77">
    <w:nsid w:val="26F324BA"/>
    <w:multiLevelType w:val="hybridMultilevel"/>
    <w:lvl w:ilvl="0">
      <w:lvlJc w:val="left"/>
      <w:lvlText w:val="%1."/>
      <w:numFmt w:val="decimal"/>
      <w:start w:val="9"/>
    </w:lvl>
  </w:abstractNum>
  <w:abstractNum w:abstractNumId="78">
    <w:nsid w:val="7F01579B"/>
    <w:multiLevelType w:val="hybridMultilevel"/>
    <w:lvl w:ilvl="0">
      <w:lvlJc w:val="left"/>
      <w:lvlText w:val="%1."/>
      <w:numFmt w:val="decimal"/>
      <w:start w:val="10"/>
    </w:lvl>
  </w:abstractNum>
  <w:abstractNum w:abstractNumId="79">
    <w:nsid w:val="49DA307D"/>
    <w:multiLevelType w:val="hybridMultilevel"/>
    <w:lvl w:ilvl="0">
      <w:lvlJc w:val="left"/>
      <w:lvlText w:val="%1."/>
      <w:numFmt w:val="decimal"/>
      <w:start w:val="11"/>
    </w:lvl>
  </w:abstractNum>
  <w:abstractNum w:abstractNumId="80">
    <w:nsid w:val="7055A5F5"/>
    <w:multiLevelType w:val="hybridMultilevel"/>
    <w:lvl w:ilvl="0">
      <w:lvlJc w:val="left"/>
      <w:lvlText w:val="●"/>
      <w:numFmt w:val="bullet"/>
      <w:start w:val="1"/>
    </w:lvl>
  </w:abstractNum>
  <w:abstractNum w:abstractNumId="81">
    <w:nsid w:val="5FB8370B"/>
    <w:multiLevelType w:val="hybridMultilevel"/>
    <w:lvl w:ilvl="0">
      <w:lvlJc w:val="left"/>
      <w:lvlText w:val="%1)"/>
      <w:numFmt w:val="decimal"/>
      <w:start w:val="5"/>
    </w:lvl>
  </w:abstractNum>
  <w:abstractNum w:abstractNumId="82">
    <w:nsid w:val="50801EE1"/>
    <w:multiLevelType w:val="hybridMultilevel"/>
    <w:lvl w:ilvl="0">
      <w:lvlJc w:val="left"/>
      <w:lvlText w:val="%1."/>
      <w:numFmt w:val="decimal"/>
      <w:start w:val="12"/>
    </w:lvl>
  </w:abstractNum>
  <w:abstractNum w:abstractNumId="83">
    <w:nsid w:val="488AC1A"/>
    <w:multiLevelType w:val="hybridMultilevel"/>
    <w:lvl w:ilvl="0">
      <w:lvlJc w:val="left"/>
      <w:lvlText w:val="%1."/>
      <w:numFmt w:val="decimal"/>
      <w:start w:val="13"/>
    </w:lvl>
  </w:abstractNum>
  <w:abstractNum w:abstractNumId="84">
    <w:nsid w:val="5FB8011C"/>
    <w:multiLevelType w:val="hybridMultilevel"/>
    <w:lvl w:ilvl="0">
      <w:lvlJc w:val="left"/>
      <w:lvlText w:val="%1."/>
      <w:numFmt w:val="decimal"/>
      <w:start w:val="14"/>
    </w:lvl>
  </w:abstractNum>
  <w:abstractNum w:abstractNumId="85">
    <w:nsid w:val="6AA78F7F"/>
    <w:multiLevelType w:val="hybridMultilevel"/>
    <w:lvl w:ilvl="0">
      <w:lvlJc w:val="left"/>
      <w:lvlText w:val="%1."/>
      <w:numFmt w:val="decimal"/>
      <w:start w:val="15"/>
    </w:lvl>
  </w:abstractNum>
  <w:abstractNum w:abstractNumId="86">
    <w:nsid w:val="7672BD23"/>
    <w:multiLevelType w:val="hybridMultilevel"/>
    <w:lvl w:ilvl="0">
      <w:lvlJc w:val="left"/>
      <w:lvlText w:val="%1."/>
      <w:numFmt w:val="decimal"/>
      <w:start w:val="16"/>
    </w:lvl>
  </w:abstractNum>
  <w:abstractNum w:abstractNumId="87">
    <w:nsid w:val="6FC75AF8"/>
    <w:multiLevelType w:val="hybridMultilevel"/>
    <w:lvl w:ilvl="0">
      <w:lvlJc w:val="left"/>
      <w:lvlText w:val="%1."/>
      <w:numFmt w:val="decimal"/>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decimal"/>
      <w:start w:val="4"/>
    </w:lvl>
  </w:abstractNum>
  <w:abstractNum w:abstractNumId="90">
    <w:nsid w:val="5F3534A4"/>
    <w:multiLevelType w:val="hybridMultilevel"/>
    <w:lvl w:ilvl="0">
      <w:lvlJc w:val="left"/>
      <w:lvlText w:val="%1."/>
      <w:numFmt w:val="decimal"/>
      <w:start w:val="1"/>
    </w:lvl>
  </w:abstractNum>
  <w:abstractNum w:abstractNumId="91">
    <w:nsid w:val="73A1821B"/>
    <w:multiLevelType w:val="hybridMultilevel"/>
    <w:lvl w:ilvl="0">
      <w:lvlJc w:val="left"/>
      <w:lvlText w:val="%1."/>
      <w:numFmt w:val="decimal"/>
      <w:start w:val="3"/>
    </w:lvl>
  </w:abstractNum>
  <w:abstractNum w:abstractNumId="92">
    <w:nsid w:val="7DE67713"/>
    <w:multiLevelType w:val="hybridMultilevel"/>
    <w:lvl w:ilvl="0">
      <w:lvlJc w:val="left"/>
      <w:lvlText w:val="%1."/>
      <w:numFmt w:val="decimal"/>
      <w:start w:val="2"/>
    </w:lvl>
  </w:abstractNum>
  <w:abstractNum w:abstractNumId="93">
    <w:nsid w:val="555C55B5"/>
    <w:multiLevelType w:val="hybridMultilevel"/>
    <w:lvl w:ilvl="0">
      <w:lvlJc w:val="left"/>
      <w:lvlText w:val="%1."/>
      <w:numFmt w:val="decimal"/>
      <w:start w:val="3"/>
    </w:lvl>
  </w:abstractNum>
  <w:abstractNum w:abstractNumId="94">
    <w:nsid w:val="3FA62ACA"/>
    <w:multiLevelType w:val="hybridMultilevel"/>
    <w:lvl w:ilvl="0">
      <w:lvlJc w:val="left"/>
      <w:lvlText w:val="%1."/>
      <w:numFmt w:val="decimal"/>
      <w:start w:val="4"/>
    </w:lvl>
  </w:abstractNum>
  <w:abstractNum w:abstractNumId="95">
    <w:nsid w:val="14FCE74E"/>
    <w:multiLevelType w:val="hybridMultilevel"/>
    <w:lvl w:ilvl="0">
      <w:lvlJc w:val="left"/>
      <w:lvlText w:val="%1."/>
      <w:numFmt w:val="decimal"/>
      <w:start w:val="5"/>
    </w:lvl>
  </w:abstractNum>
  <w:abstractNum w:abstractNumId="96">
    <w:nsid w:val="6A3DD3E8"/>
    <w:multiLevelType w:val="hybridMultilevel"/>
    <w:lvl w:ilvl="0">
      <w:lvlJc w:val="left"/>
      <w:lvlText w:val="%1."/>
      <w:numFmt w:val="decimal"/>
      <w:start w:val="5"/>
    </w:lvl>
    <w:lvl w:ilvl="1">
      <w:lvlJc w:val="left"/>
      <w:lvlText w:val="$"/>
      <w:numFmt w:val="bullet"/>
      <w:start w:val="1"/>
    </w:lvl>
  </w:abstractNum>
  <w:abstractNum w:abstractNumId="97">
    <w:nsid w:val="71C91298"/>
    <w:multiLevelType w:val="hybridMultilevel"/>
    <w:lvl w:ilvl="0">
      <w:lvlJc w:val="left"/>
      <w:lvlText w:val="%1."/>
      <w:numFmt w:val="decimal"/>
      <w:start w:val="8"/>
    </w:lvl>
  </w:abstractNum>
  <w:abstractNum w:abstractNumId="98">
    <w:nsid w:val="9DAF632"/>
    <w:multiLevelType w:val="hybridMultilevel"/>
    <w:lvl w:ilvl="0">
      <w:lvlJc w:val="left"/>
      <w:lvlText w:val="●"/>
      <w:numFmt w:val="bullet"/>
      <w:start w:val="1"/>
    </w:lvl>
  </w:abstractNum>
  <w:abstractNum w:abstractNumId="99">
    <w:nsid w:val="53299938"/>
    <w:multiLevelType w:val="hybridMultilevel"/>
    <w:lvl w:ilvl="0">
      <w:lvlJc w:val="left"/>
      <w:lvlText w:val="●"/>
      <w:numFmt w:val="bullet"/>
      <w:start w:val="1"/>
    </w:lvl>
  </w:abstractNum>
  <w:abstractNum w:abstractNumId="100">
    <w:nsid w:val="1FBFE8E0"/>
    <w:multiLevelType w:val="hybridMultilevel"/>
    <w:lvl w:ilvl="0">
      <w:lvlJc w:val="left"/>
      <w:lvlText w:val="(%1)"/>
      <w:numFmt w:val="lowerRoman"/>
      <w:start w:val="1"/>
    </w:lvl>
  </w:abstractNum>
  <w:abstractNum w:abstractNumId="101">
    <w:nsid w:val="5092CA79"/>
    <w:multiLevelType w:val="hybridMultilevel"/>
    <w:lvl w:ilvl="0">
      <w:lvlJc w:val="left"/>
      <w:lvlText w:val="%1."/>
      <w:numFmt w:val="decimal"/>
      <w:start w:val="1"/>
    </w:lvl>
  </w:abstractNum>
  <w:abstractNum w:abstractNumId="102">
    <w:nsid w:val="1D545C4D"/>
    <w:multiLevelType w:val="hybridMultilevel"/>
    <w:lvl w:ilvl="0">
      <w:lvlJc w:val="left"/>
      <w:lvlText w:val="%1."/>
      <w:numFmt w:val="decimal"/>
      <w:start w:val="2"/>
    </w:lvl>
  </w:abstractNum>
  <w:abstractNum w:abstractNumId="103">
    <w:nsid w:val="59ADEA3D"/>
    <w:multiLevelType w:val="hybridMultilevel"/>
    <w:lvl w:ilvl="0">
      <w:lvlJc w:val="left"/>
      <w:lvlText w:val="●"/>
      <w:numFmt w:val="bullet"/>
      <w:start w:val="1"/>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1)"/>
      <w:numFmt w:val="lowerLetter"/>
      <w:start w:val="1"/>
    </w:lvl>
  </w:abstractNum>
  <w:abstractNum w:abstractNumId="107">
    <w:nsid w:val="97E1B4E"/>
    <w:multiLevelType w:val="hybridMultilevel"/>
    <w:lvl w:ilvl="0">
      <w:lvlJc w:val="left"/>
      <w:lvlText w:val="%1."/>
      <w:numFmt w:val="decimal"/>
      <w:start w:val="1"/>
    </w:lvl>
    <w:lvl w:ilvl="1">
      <w:lvlJc w:val="left"/>
      <w:lvlText w:val="●"/>
      <w:numFmt w:val="bullet"/>
      <w:start w:val="1"/>
    </w:lvl>
  </w:abstractNum>
  <w:abstractNum w:abstractNumId="108">
    <w:nsid w:val="51088277"/>
    <w:multiLevelType w:val="hybridMultilevel"/>
    <w:lvl w:ilvl="0">
      <w:lvlJc w:val="left"/>
      <w:lvlText w:val="%1."/>
      <w:numFmt w:val="decimal"/>
      <w:start w:val="5"/>
    </w:lvl>
    <w:lvl w:ilvl="1">
      <w:lvlJc w:val="left"/>
      <w:lvlText w:val="●"/>
      <w:numFmt w:val="bullet"/>
      <w:start w:val="1"/>
    </w:lvl>
  </w:abstractNum>
  <w:abstractNum w:abstractNumId="109">
    <w:nsid w:val="1CA0C5FA"/>
    <w:multiLevelType w:val="hybridMultilevel"/>
    <w:lvl w:ilvl="0">
      <w:lvlJc w:val="left"/>
      <w:lvlText w:val="(%1)"/>
      <w:numFmt w:val="lowerLetter"/>
      <w:start w:val="2"/>
    </w:lvl>
  </w:abstractNum>
  <w:abstractNum w:abstractNumId="110">
    <w:nsid w:val="53584BC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43"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6" Type="http://schemas.openxmlformats.org/officeDocument/2006/relationships/image" Target="media/image305.png"/><Relationship Id="rId347" Type="http://schemas.openxmlformats.org/officeDocument/2006/relationships/image" Target="media/image306.png"/><Relationship Id="rId348" Type="http://schemas.openxmlformats.org/officeDocument/2006/relationships/image" Target="media/image307.png"/><Relationship Id="rId309" Type="http://schemas.openxmlformats.org/officeDocument/2006/relationships/hyperlink" Target="http://www.sec.gov/Archives/edgar/data/1653558/000161577418006226/s111183_defm14a.htm" TargetMode="External"/><Relationship Id="rId310" Type="http://schemas.openxmlformats.org/officeDocument/2006/relationships/hyperlink" Target="http://www.sec.gov/Archives/edgar/data/1652362/000110465918021312/a18-9134_1ex3d1.htm" TargetMode="External"/><Relationship Id="rId311" Type="http://schemas.openxmlformats.org/officeDocument/2006/relationships/hyperlink" Target="http://www.sec.gov/Archives/edgar/data/1652362/000110465918021312/a18-9134_1ex3d2.htm" TargetMode="External"/><Relationship Id="rId312" Type="http://schemas.openxmlformats.org/officeDocument/2006/relationships/hyperlink" Target="http://www.sec.gov/Archives/edgar/data/1653558/000161577416006436/s103712_ex4-1.htm" TargetMode="External"/><Relationship Id="rId313" Type="http://schemas.openxmlformats.org/officeDocument/2006/relationships/hyperlink" Target="http://www.sec.gov/Archives/edgar/data/1653558/000161577416006436/s103712_ex4-2.htm" TargetMode="External"/><Relationship Id="rId314" Type="http://schemas.openxmlformats.org/officeDocument/2006/relationships/hyperlink" Target="http://www.sec.gov/Archives/edgar/data/1653558/000161577416006436/s103712_ex4-3.htm" TargetMode="External"/><Relationship Id="rId315" Type="http://schemas.openxmlformats.org/officeDocument/2006/relationships/hyperlink" Target="http://www.sec.gov/Archives/edgar/data/1653558/000161577416007233/s104127_ex4-1.htm" TargetMode="External"/><Relationship Id="rId316" Type="http://schemas.openxmlformats.org/officeDocument/2006/relationships/hyperlink" Target="http://www.sec.gov/Archives/edgar/data/1653558/000161577418014981/s114881_ex5-1.htm" TargetMode="External"/><Relationship Id="rId317" Type="http://schemas.openxmlformats.org/officeDocument/2006/relationships/hyperlink" Target="http://www.sec.gov/Archives/edgar/data/1653558/000161577418007231/s111606_ex10-1.htm" TargetMode="External"/><Relationship Id="rId318" Type="http://schemas.openxmlformats.org/officeDocument/2006/relationships/hyperlink" Target="http://www.sec.gov/Archives/edgar/data/1653558/000161577418007231/s111606_ex10-2.htm" TargetMode="External"/><Relationship Id="rId319" Type="http://schemas.openxmlformats.org/officeDocument/2006/relationships/hyperlink" Target="http://www.sec.gov/Archives/edgar/data/1653558/000161577418007231/s111606_ex10-3.htm" TargetMode="External"/><Relationship Id="rId320" Type="http://schemas.openxmlformats.org/officeDocument/2006/relationships/hyperlink" Target="http://www.sec.gov/Archives/edgar/data/1653558/000161577418007231/s111606_ex10-4.htm" TargetMode="External"/><Relationship Id="rId321" Type="http://schemas.openxmlformats.org/officeDocument/2006/relationships/hyperlink" Target="http://www.sec.gov/Archives/edgar/data/1653558/000161577418007231/s111606ex10_4-1.htm" TargetMode="External"/><Relationship Id="rId322" Type="http://schemas.openxmlformats.org/officeDocument/2006/relationships/hyperlink" Target="http://www.sec.gov/Archives/edgar/data/1653558/000161577418007231/s111606ex10_4-2.htm" TargetMode="External"/><Relationship Id="rId323" Type="http://schemas.openxmlformats.org/officeDocument/2006/relationships/hyperlink" Target="http://www.sec.gov/Archives/edgar/data/1653558/000161577418014967/s114906_ex10-1.htm" TargetMode="External"/><Relationship Id="rId324" Type="http://schemas.openxmlformats.org/officeDocument/2006/relationships/hyperlink" Target="http://www.sec.gov/Archives/edgar/data/1653558/000161577418007231/s111606_ex10-5.htm" TargetMode="External"/><Relationship Id="rId325" Type="http://schemas.openxmlformats.org/officeDocument/2006/relationships/hyperlink" Target="http://www.sec.gov/Archives/edgar/data/1653558/000161577418007231/s111606ex10_5-1.htm" TargetMode="External"/><Relationship Id="rId326" Type="http://schemas.openxmlformats.org/officeDocument/2006/relationships/hyperlink" Target="http://www.sec.gov/Archives/edgar/data/1653558/000161577418007231/s111606ex10_5-2.htm" TargetMode="External"/><Relationship Id="rId327" Type="http://schemas.openxmlformats.org/officeDocument/2006/relationships/hyperlink" Target="http://www.sec.gov/Archives/edgar/data/1653558/000161577418014967/s114906_ex10-2.htm" TargetMode="External"/><Relationship Id="rId328" Type="http://schemas.openxmlformats.org/officeDocument/2006/relationships/hyperlink" Target="http://www.sec.gov/Archives/edgar/data/1653558/000161577418014981/s114881_ex10-6.htm" TargetMode="External"/><Relationship Id="rId329" Type="http://schemas.openxmlformats.org/officeDocument/2006/relationships/hyperlink" Target="http://www.sec.gov/Archives/edgar/data/1653558/000161577418014981/s114881_ex10-7.htm" TargetMode="External"/><Relationship Id="rId330" Type="http://schemas.openxmlformats.org/officeDocument/2006/relationships/hyperlink" Target="http://www.sec.gov/Archives/edgar/data/1653558/000161577418014966/s114910_ex10-2.htm" TargetMode="External"/><Relationship Id="rId331" Type="http://schemas.openxmlformats.org/officeDocument/2006/relationships/hyperlink" Target="http://www.sec.gov/Archives/edgar/data/1653558/000161577418014966/s114910_ex10-3.htm" TargetMode="External"/><Relationship Id="rId332" Type="http://schemas.openxmlformats.org/officeDocument/2006/relationships/hyperlink" Target="http://www.sec.gov/Archives/edgar/data/1653558/000161577418014966/s114910_ex10-4.htm" TargetMode="External"/><Relationship Id="rId333" Type="http://schemas.openxmlformats.org/officeDocument/2006/relationships/hyperlink" Target="http://www.sec.gov/Archives/edgar/data/1653558/000161577418014981/s114881_ex10-11.htm" TargetMode="External"/><Relationship Id="rId334" Type="http://schemas.openxmlformats.org/officeDocument/2006/relationships/hyperlink" Target="http://www.sec.gov/Archives/edgar/data/1653558/000161577418014966/s114910_ex10-1.htm" TargetMode="External"/><Relationship Id="rId335" Type="http://schemas.openxmlformats.org/officeDocument/2006/relationships/hyperlink" Target="http://www.sec.gov/Archives/edgar/data/1653558/000161577418014981/s114881_ex10-13.htm" TargetMode="External"/><Relationship Id="rId336" Type="http://schemas.openxmlformats.org/officeDocument/2006/relationships/hyperlink" Target="http://www.sec.gov/Archives/edgar/data/1653558/000161577418007231/s111606_ex16-1.htm" TargetMode="External"/><Relationship Id="rId337" Type="http://schemas.openxmlformats.org/officeDocument/2006/relationships/hyperlink" Target="http://www.sec.gov/Archives/edgar/data/1653558/000161577418014981/s114881_ex21-1.htm" TargetMode="External"/><Relationship Id="rId338" Type="http://schemas.openxmlformats.org/officeDocument/2006/relationships/hyperlink" Target="http://www.sec.gov/Archives/edgar/data/1653558/000161577418013693/s114307_s-4.htm" TargetMode="External"/><Relationship Id="rId339" Type="http://schemas.openxmlformats.org/officeDocument/2006/relationships/hyperlink" Target="http://www.sec.gov/Archives/edgar/data/1653558/000161577418014981/s114881_ex99-1.htm" TargetMode="External"/><Relationship Id="rId340" Type="http://schemas.openxmlformats.org/officeDocument/2006/relationships/hyperlink" Target="http://www.sec.gov/Archives/edgar/data/1653558/000161577418014981/s114881_ex99-2.htm" TargetMode="External"/><Relationship Id="rId341" Type="http://schemas.openxmlformats.org/officeDocument/2006/relationships/hyperlink" Target="http://www.sec.gov/Archives/edgar/data/1653558/000161577418014981/s114881_ex99-3.htm" TargetMode="External"/><Relationship Id="rId342" Type="http://schemas.openxmlformats.org/officeDocument/2006/relationships/hyperlink" Target="http://www.sec.gov/Archives/edgar/data/1653558/000161577418014981/s114881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2020-01-10T03:29:51Z</dcterms:created>
  <dcterms:modified xsi:type="dcterms:W3CDTF">2020-01-10T03:29:51Z</dcterms:modified>
</cp:coreProperties>
</file>