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001-37872</w:t>
            </w:r>
          </w:p>
        </w:tc>
        <w:tc>
          <w:tcPr>
            <w:tcW w:w="34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 incorporation)</w:t>
            </w:r>
          </w:p>
        </w:tc>
        <w:tc>
          <w:tcPr>
            <w:tcW w:w="3280" w:type="dxa"/>
            <w:vAlign w:val="bottom"/>
            <w:gridSpan w:val="4"/>
          </w:tcPr>
          <w:p>
            <w:pPr>
              <w:jc w:val="center"/>
              <w:ind w:right="86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73"/>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90"/>
              </w:rPr>
              <w:t>2001 Westside Parkway</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450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8"/>
              </w:rPr>
              <w:t>Suite 155</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4"/>
        </w:trPr>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3"/>
              </w:rPr>
              <w:t>Alpharetta, Georgia</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right"/>
              <w:ind w:right="2370"/>
              <w:spacing w:after="0"/>
              <w:rPr>
                <w:sz w:val="20"/>
                <w:szCs w:val="20"/>
                <w:color w:val="auto"/>
              </w:rPr>
            </w:pPr>
            <w:r>
              <w:rPr>
                <w:rFonts w:ascii="Arial" w:cs="Arial" w:eastAsia="Arial" w:hAnsi="Arial"/>
                <w:sz w:val="18"/>
                <w:szCs w:val="18"/>
                <w:b w:val="1"/>
                <w:bCs w:val="1"/>
                <w:color w:val="auto"/>
              </w:rPr>
              <w:t>30004</w:t>
            </w:r>
          </w:p>
        </w:tc>
      </w:tr>
      <w:tr>
        <w:trPr>
          <w:trHeight w:val="27"/>
        </w:trPr>
        <w:tc>
          <w:tcPr>
            <w:tcW w:w="45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1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20, 2019, Priority Technology Holdings, Inc. issued a press release announcing its financial results for the quarter and year ended December 31, 2018. A copy of that press release is attached as Exhibit 99.1 to this Current Report on Form 8-K.</w:t>
      </w:r>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8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19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of Priority Technology Holdings, Inc. dated March 20,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20, 2019</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auto"/>
        </w:rPr>
        <w:t>By: /s/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580" w:right="239" w:bottom="1440" w:gutter="0" w:footer="0" w:header="0"/>
        </w:sectPr>
      </w:pPr>
    </w:p>
    <w:bookmarkStart w:id="2" w:name="page3"/>
    <w:bookmarkEnd w:id="2"/>
    <w:p>
      <w:pPr>
        <w:ind w:left="7780"/>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6657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ckettmann@lincolnchurchilladvisors.com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Priority Technology Holdings Announces Fourth Quarter and Full Year 2018 Results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Strong Underlying Growth is Obscured by the Impact of Card Association</w:t>
      </w:r>
    </w:p>
    <w:p>
      <w:pPr>
        <w:jc w:val="center"/>
        <w:spacing w:after="0"/>
        <w:rPr>
          <w:sz w:val="20"/>
          <w:szCs w:val="20"/>
          <w:color w:val="auto"/>
        </w:rPr>
      </w:pPr>
      <w:r>
        <w:rPr>
          <w:rFonts w:ascii="Arial" w:cs="Arial" w:eastAsia="Arial" w:hAnsi="Arial"/>
          <w:sz w:val="20"/>
          <w:szCs w:val="20"/>
          <w:b w:val="1"/>
          <w:bCs w:val="1"/>
          <w:color w:val="auto"/>
        </w:rPr>
        <w:t>Rule Changes on Subscription-Billing e-Commerce Merchants</w:t>
      </w: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ALPHARETTA, GEORGIA - March 20, 2019 -- Priority Technology Holdings, Inc. (NASDAQ: PRTH) (“Priority” or the “Company”), a leading provider of merchant acquiring and commercial payment solutions, today announced results for the fourth quarter and full-year ended December 31, 2018.</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Highlights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2018, Compared with Fourth Quarter 2017</w:t>
      </w:r>
    </w:p>
    <w:p>
      <w:pPr>
        <w:spacing w:after="0" w:line="16" w:lineRule="exact"/>
        <w:rPr>
          <w:sz w:val="20"/>
          <w:szCs w:val="20"/>
          <w:color w:val="auto"/>
        </w:rPr>
      </w:pPr>
    </w:p>
    <w:p>
      <w:pPr>
        <w:ind w:left="340" w:right="42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Consolidated revenue of $100.5 million declined 16.3% due to the wind-down of subscription-billing e-commerce merchants resulting from card association rule changes</w:t>
      </w:r>
    </w:p>
    <w:p>
      <w:pPr>
        <w:spacing w:after="0" w:line="1" w:lineRule="exact"/>
        <w:rPr>
          <w:rFonts w:ascii="Arial" w:cs="Arial" w:eastAsia="Arial" w:hAnsi="Arial"/>
          <w:sz w:val="18"/>
          <w:szCs w:val="18"/>
          <w:color w:val="auto"/>
        </w:rPr>
      </w:pPr>
    </w:p>
    <w:p>
      <w:pPr>
        <w:ind w:left="340" w:hanging="332"/>
        <w:spacing w:after="0" w:line="2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8"/>
          <w:szCs w:val="18"/>
          <w:color w:val="auto"/>
        </w:rPr>
        <w:t>Adjusted consolidated revenue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$93.0 million, which excludes the impact of subscription-billing e-commerce merchants, grew 4.2%</w:t>
      </w:r>
    </w:p>
    <w:p>
      <w:pPr>
        <w:ind w:left="340" w:right="80" w:hanging="332"/>
        <w:spacing w:after="0" w:line="23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Gross profit margin increased to 29.8% from 24.6%. The Company’s gross profit metric represents revenue less costs of merchant fees and other costs of services on its consolidated statement of operations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Consolidated income from operations of $5.3 million declined $5.7 million</w:t>
      </w:r>
    </w:p>
    <w:p>
      <w:pPr>
        <w:ind w:left="340" w:right="100" w:hanging="332"/>
        <w:spacing w:after="0" w:line="21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Adjusted consolidated income from operations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$4.4 million, which excludes the impact of subscription-billing e-commerce merchants and certain other expenses as described below, grew 59.1%</w:t>
      </w:r>
    </w:p>
    <w:p>
      <w:pPr>
        <w:spacing w:after="0" w:line="2" w:lineRule="exact"/>
        <w:rPr>
          <w:rFonts w:ascii="Arial" w:cs="Arial" w:eastAsia="Arial" w:hAnsi="Arial"/>
          <w:sz w:val="18"/>
          <w:szCs w:val="18"/>
          <w:color w:val="auto"/>
        </w:rPr>
      </w:pPr>
    </w:p>
    <w:p>
      <w:pPr>
        <w:ind w:left="340" w:hanging="332"/>
        <w:spacing w:after="0" w:line="19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Consolidated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$14.6 million compared to $16.9 million</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merchant bankcard processing dollar value grew 6.0% to $9.4 billion from $8.9 billion</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2018, Compared with Full-Year 2017</w:t>
      </w:r>
    </w:p>
    <w:p>
      <w:pPr>
        <w:spacing w:after="0" w:line="54" w:lineRule="exact"/>
        <w:rPr>
          <w:sz w:val="20"/>
          <w:szCs w:val="20"/>
          <w:color w:val="auto"/>
        </w:rPr>
      </w:pPr>
    </w:p>
    <w:p>
      <w:pPr>
        <w:ind w:left="340" w:right="220" w:hanging="332"/>
        <w:spacing w:after="0" w:line="27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color w:val="auto"/>
        </w:rPr>
        <w:t>Consolidated revenue of $424.4 million declined 0.3% due to the wind-down of the subscription-billing channel, largely offset by overall increases in bankcard processing dollar value and merchant bankcard transaction volume of 10.1% and 6.1%, respectively</w:t>
      </w:r>
    </w:p>
    <w:p>
      <w:pPr>
        <w:ind w:left="340" w:hanging="332"/>
        <w:spacing w:after="0" w:line="19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Adjusted consolidated revenue</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$359.2 million grew 8.9%</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increased to 25.9% from 24.5%</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Consolidated income from operations of $19.9 million decreased $15.3 million</w:t>
      </w:r>
    </w:p>
    <w:p>
      <w:pPr>
        <w:ind w:left="340" w:hanging="332"/>
        <w:spacing w:after="0" w:line="19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Adjusted consolidated income from operations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$11.0 million increased $2.0 million, or 22.8%</w:t>
      </w:r>
    </w:p>
    <w:p>
      <w:pPr>
        <w:ind w:left="340" w:hanging="332"/>
        <w:spacing w:after="0" w:line="19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Consolidated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$52.9 million compared to $57.0 million</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merchant bankcard processing dollar value grew 10.1% to $38.2 billion from $34.7 billion</w:t>
      </w:r>
    </w:p>
    <w:p>
      <w:pPr>
        <w:spacing w:after="0" w:line="28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“Reconciliation of Non-GAAP Financial Measures” at the end of this earnings release for details regarding these measures</w:t>
      </w:r>
    </w:p>
    <w:p>
      <w:pPr>
        <w:spacing w:after="0" w:line="224" w:lineRule="exact"/>
        <w:rPr>
          <w:rFonts w:ascii="Arial" w:cs="Arial" w:eastAsia="Arial" w:hAnsi="Arial"/>
          <w:sz w:val="23"/>
          <w:szCs w:val="23"/>
          <w:color w:val="auto"/>
          <w:vertAlign w:val="superscript"/>
        </w:rPr>
      </w:pPr>
    </w:p>
    <w:p>
      <w:pPr>
        <w:ind w:left="5660"/>
        <w:spacing w:after="0"/>
        <w:rPr>
          <w:rFonts w:ascii="Arial" w:cs="Arial" w:eastAsia="Arial" w:hAnsi="Arial"/>
          <w:sz w:val="23"/>
          <w:szCs w:val="23"/>
          <w:color w:val="auto"/>
          <w:vertAlign w:val="superscript"/>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jc w:val="both"/>
        <w:spacing w:after="0" w:line="276" w:lineRule="auto"/>
        <w:rPr>
          <w:sz w:val="20"/>
          <w:szCs w:val="20"/>
          <w:color w:val="auto"/>
        </w:rPr>
      </w:pPr>
      <w:r>
        <w:rPr>
          <w:rFonts w:ascii="Arial" w:cs="Arial" w:eastAsia="Arial" w:hAnsi="Arial"/>
          <w:sz w:val="18"/>
          <w:szCs w:val="18"/>
          <w:color w:val="auto"/>
        </w:rPr>
        <w:t>“2018 was a milestone year for Priority, despite being negatively impacted by the closure of certain high-margin e-commerce merchants in our Consumer Payments segment. Excluding that impact, we realized strong organic sales growth in both our Consumer Payments and Commercial Payments and Managed Services segments, while also executing several highly strategic, accretive acquisitions that expanded our merchant portfolio base while also enhancing gross profit. We remained focused throughout the year on expanding our distribution channels and integrated technology offerings for our partners, diversifying the overall business and further aligning Priority with high-growth, technology-driven industry verticals such as real estate, hospitality and health care,” said Tom Priore, Executive Chairman and CEO of Priority.</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Subscription-Billing e-Commerce Merchants</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comparative revenue for the fourth quarter and full-year periods has been negatively affected by the wind-down of high-margin accounts with certain subscription-billing e-commerce merchants. The wind-down of merchants in this channel was due to industry-wide changes for enhanced card association compliance. This revenue, entirely within the Consumer Payments segment, was $7.5 million and $30.7 million in the fourth quarters of 2018 and 2017, respectively, and was $65.2 million and $95.6 million for the full-years ended December 31, 2018 and 2017, respectively. The corresponding income from operations associated with this revenue was $3.0 million and $10.3 million in the fourth quarters of 2018 and 2017, respectively, and $21.3 million and $31.9 million for the full years ended December 31, 2018 and 2017,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Expenses</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Income from operations for the fourth quarter and full-year periods has also been negatively affected by the incurrence of non-recurring expenses largely associated with the July 2018 Business Combination and conversion to a public company, such as legal, accounting, advisory and consulting expenses plus certain legal settlements incurred in these periods. Non-recurring operating expenses, entirely within Corporate, were $2.1 million in both fourth quarters, and were $12.4 million and $5.6 million for the full years ended December 31, 2018 and 2017, respectively.</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 Quarter and Full-Year 2018 Summary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2018, Compared with Fourth Quarter 2017</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Consolidated revenue in the fourth quarter of 2018 amounted to $100.5 million, a decline of $19.5 million compared with the 2017 fourth quarter. This decline was driven by the wind-down of the subscription-billing merchants which generated revenue of $7.5 million in the fourth quarter of 2018 and $30.7 million in the fourth quarter of 2017. Adjusted consolidated revenue grew 4.2% in the 2018 quarter compared with the 2017 quarter.</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Total merchant bankcard volume processed in the fourth quarter 2018 of $9.4 billion grew by 6.0%, as compared with $8.9 billion in the fourth quarter 2017. Merchant bankcard transaction volume of 114.3 million in the fourth quarter 2018 grew by 2.0%, as compared with the 2017 quarter.</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Consumer Payments revenue in the fourth quarter of 2018 amounted to $92.5 million, a decline of $20.7 million compared with the 2017 fourth quarter. Revenue for the subscription-billing merchants declined $23.2 million during the quarter compared to the prior year. Adjusted consolidated revenue in this segment grew 3.1%. Commercial Payments and Managed Services revenue in the fourth quarter of 2018 amounted to $8.0 million, a 17.9% increase over $6.8 million in the 2017 fourth quarter.</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2018, Compared with Full-Year 2017</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Consolidated revenue for full year 2018 of $424.4 million approximated full year 2017 revenue of $425.6 million. This slight decline was driven by the wind-down of the subscription-billing merchants which generated revenue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76" w:right="2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0"/>
          <w:szCs w:val="20"/>
          <w:color w:val="auto"/>
        </w:rPr>
        <w:t>$65.2 million in the full-year 2018 and $95.6 million in the full-year 2017, largely offset by overall increases in bankcard processing dollar value and merchant bankcard transaction volume. Adjusted consolidated revenue of $359.2 million for full-year 2018, compares with $330.0 million in the 2017, an 8.9% increase.</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Total merchant bankcard volume processed in full-year 2018 of $38.2 billion grew by 10.1%, as compared with $34.7 billion in the full-year 2017. Merchant bankcard transaction volume of 465.8 million in the full-year 2018 grew by 6.1%, as compared with full-year 2017.</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Consumer Payments revenue for full year 2018 amounted to $395.0 million, a decline of $5.3 million compared with full year 2017. Revenue from the subscription-billing merchants declined $30.4 million. Adjusted revenue in this segment grew 8.2%. Commercial Payments and Managed Services revenue for full year 2018 amounted to $29.4 million, a 16.3% growth over $25.3 million for full year 2017.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from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Fourth Quarter 2018, Compared with Fourth Quarter 2017</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Consolidated income from operations was $5.3 million in the fourth quarter 2018, compared with $10.9 million in the 2017 fourth quarter. This decline was driven by the wind-down of the subscription-billing merchants which generated income of $3.0 million in the fourth quarter of 2018 and $10.3 million in the fourth quarter of 2017. Adjusted consolidated income from operations grew 4.2% in the 2018 quarter compared with the 2017 quarter.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Consumer Payments income from operations in the fourth quarter of 2018 amounted to $13.1 million, a decline of $4.5 million compared with the 2017 fourth quarter. Income from operations from the subscription-billing merchants declined $7.3 million. Adjusted income from operations in this segment grew 23.8% in the 2018 quarter compared with the 2017 quarter. Commercial Payments and Managed Services loss from operations in the fourth quarter of 2018 amounted to $1.5 million, compared with an operating loss of $0.2 million in the fourth quarter of 2017. Corporate expense in the fourth quarter of 2018 amounted to $6.2 million, compared with $6.4 million in the fourth quarter of 2017. Non-recurring expenses amounted to $2.1 million in both fourth quarters.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Full-Year 2018, Compared with Full-Year 2017</w:t>
      </w:r>
    </w:p>
    <w:p>
      <w:pPr>
        <w:spacing w:after="0" w:line="1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Income from operations was $19.9 million for full year 2018, compared with $35.2 million for full year 2017. Subscription-billing operating income was $21.3 million in 2018 and $31.9 million in 2017. Non-recurring expenses were $12.4 million in 2018 and $5.6 million in 2017. Adjusted income from operations was $11.0 million in full-year 2018, compared with $8.9 million in full year 2017, a growth of 22.8%.</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Consumer Payments income from operations for full-year 2018 amounted to $50.5 million, a decline of $4.9 million compared with full-year 2017. Income from operations from the subscription-billing merchants declined $10.6 million. Adjusted income from operations in this segment grew 23.8%. Commercial Payments and Managed Services loss from operations for full-year 2018 amounted to $2.9 million, compared with full-year income from operations of $1.0 million in 2017. Corporate expense for full-year 2018 amounted to $27.7 million, compared with $21.2 million for full year 2017. Non-recurring expenses amounted to $12.4 million in 2018, compared with $5.6 million. Excluding the non-recurring expenses, Corporate expense amounted to $15.3 million in 2018, compared with $15.6 million in 2017.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3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Interest expense of $8.0 million in the fourth quarter of 2018 increased by $1.6 million from $6.4 million in the 2017 fourth quarter. Full-year 2018 interest expense of $29.9 million increased by $4.9 million compared with $25.1 million in 2017. The increases in interest expense are due to higher outstanding borrowings.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Other Expense, Net:</w:t>
      </w:r>
    </w:p>
    <w:p>
      <w:pPr>
        <w:spacing w:after="0" w:line="37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Other expense, net of $1.7 million in the fourth quarter of 2018, compares with $2.6 million in the fourth quarter of 2017. The 2018 quarter includes $1.3 million of debt modification costs, and the 2017 quarter includes $2.7 million of expense related to the fair value change of the Goldman Sachs warrant.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Other expense, net of $6.8 million in full year 2018, compares with $5.6 million in full year 2017. The 2018 amount includes $3.5 million expense related to the fair value change of the Goldman Sachs warrant, $2.6 million debt modification expense, and $0.9 million loss on equity method investment, and $0.6 million of interest income. For full-year 2017, other expense, net was comprised of $4.4 million expense related to the fair value change of the Goldman Sachs warrant, $1.7 million debt modification expense and $0.6 million of interest income.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Acquisition / Partnership Updates</w:t>
      </w:r>
    </w:p>
    <w:p>
      <w:pPr>
        <w:spacing w:after="0" w:line="3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Priority’s acquisition strategy is focused on identifying immediately accretive purchases of residual sales channels designed to improve earnings and lock in long-term revenue and sales commitments with independent resellers. In addition to continued purchases of merchant portfolios in the fourth quarter, the Company consummated the acquisition of certain merchant portfolio assets from Direct Connect Merchant Services LLC and Blue Parasol Group LLC, a portfolio company of The Beekman Group. As part of the transaction, Priority added a diverse and low-risk merchant portfolio processing $1.7 billion in annual volume.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addition, the Company has recently negotiated an operating partnership in the real estate payments vertical with an industry leader in the space. The new partner cannot be named publicly until it receives final Board approval, which the Company believes is imminent. Priority will be the majority owner with a preferred equity position and handle day-to-day operations of the enterprise, while benefitting from technology and property management contracts from its new partner’s existing business. Together, the Company believes that the new entity will provide a single platform that meets the needs of all landlord constituents - from integrated enterprise property managers, middle market partners and small/local landlords for rent, dues and storage</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w:t>
      </w:r>
    </w:p>
    <w:p>
      <w:pPr>
        <w:spacing w:after="0" w:line="37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Working capital, current assets less current liabilities, was $21.1 million at year end 2018 and $39.5 million at year end 2017. As of December 31, 2018, unrestricted cash amounted to $15.6 million compared with $28.0 million at December 31, 2017. These unrestricted balances do not include cash of $18.2 million at year end 2018 and $16.2 million at year end 2017 related to customer settlement funds and reserves. At year-end 2018, the Company had availability of $25.0 million under a revolving credit arrangement.</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Debt</w:t>
      </w:r>
    </w:p>
    <w:p>
      <w:pPr>
        <w:spacing w:after="0" w:line="3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January 11, 2018 the Second Amendment to the Senior Credit Facility increased borrowings by $67.5 million. On December 24, 2018 the Third Amendment increased borrowings by an additional $60.0 million. This Third Amendment also allows for a delayed draw of an additional $70.0 million, which will be used to fund acquisitions and partnerships, including the previously mentioned partnership that is expected to close within the next week.</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31, 2018, outstanding long-term debt amounted to $412.7 million compared to $283.1 million at December 31, 2017. The debt balance consisted of outstanding term debt of $322.7 million under the Senior Credit Facility and $90.0 million in term debt under the subordinated Goldman Sachs Credit Agreement (including accrued payment-in-kind (“PIK”) interest through December 31, 2018). The outstanding principal amounts under the Senior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4" w:right="239" w:bottom="1440" w:gutter="0" w:footer="0" w:header="0"/>
        </w:sectPr>
      </w:pPr>
    </w:p>
    <w:bookmarkStart w:id="6" w:name="page7"/>
    <w:bookmarkEnd w:id="6"/>
    <w:p>
      <w:pPr>
        <w:jc w:val="both"/>
        <w:spacing w:after="0" w:line="260" w:lineRule="auto"/>
        <w:rPr>
          <w:sz w:val="20"/>
          <w:szCs w:val="20"/>
          <w:color w:val="auto"/>
        </w:rPr>
      </w:pPr>
      <w:r>
        <w:rPr>
          <w:rFonts w:ascii="Arial" w:cs="Arial" w:eastAsia="Arial" w:hAnsi="Arial"/>
          <w:sz w:val="20"/>
          <w:szCs w:val="20"/>
          <w:color w:val="auto"/>
        </w:rPr>
        <w:t>Credit Facility and the subordinated Goldman Sachs Credit Agreement mature in January 2023 and July 2023, respectively. The $25.0 million revolving credit facility expires in January 2022.</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2019 Outlook</w:t>
      </w:r>
    </w:p>
    <w:p>
      <w:pPr>
        <w:spacing w:after="0" w:line="37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Priore concluded, “As we look to 2019, we expect to deliver modest revenue growth over 2018, despite a forecasted $50 million gross revenue decline from the subscription e-commerce business year over year. In addition, we are targeting Earn-out Adjusted EBITDA (a non-GAAP measure) of $75 million for the full year 2019. Our underlying growth continues to be driven by strong organic volumes and improved gross profit trends, along with the positive impact of several strategic, accretive acquisitions. As the largest shareholders of the Company, we are highly aligned on our long-term goals and well positioned to deliver sustainable growth and value for our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3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A0A0A"/>
        </w:rPr>
        <w:t xml:space="preserve">Priority Technology Holdings Inc.’s leadership will host a conference call on Thursday, March 21, 2019 at 8:30 a.m. ET to discuss its fourth quarter and full-year 2018 financial results. Participants can access the call by phone at </w:t>
      </w:r>
      <w:r>
        <w:rPr>
          <w:rFonts w:ascii="Arial" w:cs="Arial" w:eastAsia="Arial" w:hAnsi="Arial"/>
          <w:sz w:val="20"/>
          <w:szCs w:val="20"/>
          <w:color w:val="000000"/>
        </w:rPr>
        <w:t>(877) 501-3161 or (786) 815-8443, or via the Internet at</w:t>
      </w:r>
      <w:r>
        <w:rPr>
          <w:rFonts w:ascii="Arial" w:cs="Arial" w:eastAsia="Arial" w:hAnsi="Arial"/>
          <w:sz w:val="20"/>
          <w:szCs w:val="20"/>
          <w:color w:val="0A0A0A"/>
        </w:rPr>
        <w:t xml:space="preserve"> </w:t>
      </w:r>
      <w:r>
        <w:rPr>
          <w:rFonts w:ascii="Arial" w:cs="Arial" w:eastAsia="Arial" w:hAnsi="Arial"/>
          <w:sz w:val="20"/>
          <w:szCs w:val="20"/>
          <w:b w:val="1"/>
          <w:bCs w:val="1"/>
          <w:u w:val="single" w:color="auto"/>
          <w:color w:val="0563C1"/>
        </w:rPr>
        <w:t>https://edge.media-server.com/m6/p/kruh6fd9</w:t>
      </w:r>
      <w:r>
        <w:rPr>
          <w:rFonts w:ascii="Arial" w:cs="Arial" w:eastAsia="Arial" w:hAnsi="Arial"/>
          <w:sz w:val="20"/>
          <w:szCs w:val="20"/>
          <w:color w:val="000000"/>
        </w:rPr>
        <w:t>. The webcast link will also be posted in the Investor Relations section of the Company’s</w:t>
      </w:r>
      <w:r>
        <w:rPr>
          <w:rFonts w:ascii="Arial" w:cs="Arial" w:eastAsia="Arial" w:hAnsi="Arial"/>
          <w:sz w:val="20"/>
          <w:szCs w:val="20"/>
          <w:b w:val="1"/>
          <w:bCs w:val="1"/>
          <w:color w:val="0563C1"/>
        </w:rPr>
        <w:t xml:space="preserve"> </w:t>
      </w:r>
      <w:r>
        <w:rPr>
          <w:rFonts w:ascii="Arial" w:cs="Arial" w:eastAsia="Arial" w:hAnsi="Arial"/>
          <w:sz w:val="20"/>
          <w:szCs w:val="20"/>
          <w:color w:val="000000"/>
        </w:rPr>
        <w:t xml:space="preserve">website at </w:t>
      </w:r>
      <w:r>
        <w:rPr>
          <w:rFonts w:ascii="Arial" w:cs="Arial" w:eastAsia="Arial" w:hAnsi="Arial"/>
          <w:sz w:val="20"/>
          <w:szCs w:val="20"/>
          <w:u w:val="single" w:color="auto"/>
          <w:color w:val="0000FF"/>
        </w:rPr>
        <w:t>www.PRTH.com</w:t>
      </w:r>
      <w:r>
        <w:rPr>
          <w:rFonts w:ascii="Arial" w:cs="Arial" w:eastAsia="Arial" w:hAnsi="Arial"/>
          <w:sz w:val="20"/>
          <w:szCs w:val="20"/>
          <w:color w:val="000000"/>
        </w:rPr>
        <w:t xml:space="preserve">. An audio replay of the call will be available shortly after the conference call by dialing (855) 859-2056 or (404) 537-3406 and entering conference ID number 1158957. Alternatively, you may access the webcast replay in the Investor Relations section of the Company’s website at </w:t>
      </w:r>
      <w:r>
        <w:rPr>
          <w:rFonts w:ascii="Arial" w:cs="Arial" w:eastAsia="Arial" w:hAnsi="Arial"/>
          <w:sz w:val="20"/>
          <w:szCs w:val="20"/>
          <w:u w:val="single" w:color="auto"/>
          <w:color w:val="0000FF"/>
        </w:rPr>
        <w:t>www.PRTH.com</w:t>
      </w:r>
      <w:r>
        <w:rPr>
          <w:rFonts w:ascii="Arial" w:cs="Arial" w:eastAsia="Arial" w:hAnsi="Arial"/>
          <w:sz w:val="20"/>
          <w:szCs w:val="20"/>
          <w:color w:val="000000"/>
        </w:rPr>
        <w: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A0A0A"/>
        </w:rPr>
        <w:t>Non-GAAP Financial Measures</w:t>
      </w:r>
    </w:p>
    <w:p>
      <w:pPr>
        <w:spacing w:after="0" w:line="3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regularly review the following key non-GAAP measures to evaluate our business and trends, measure our performance, prepare financial projections, allocate resources, and make strategic decisions. We believe these non-GAAP measures help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GAAP. Rather, the non-GAAP measures are meant to be a complement to understanding measures prepared in accordance with GAAP.</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Revenue</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Revenue for the year ended December 31, 2018 has been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$65.2 million and $95.6 million for the years ended December 31, 2018 and 2017, respectively. We refer to adjusted revenue, which excludes these revenue amounts from the periods presented. We review this non-GAAP measure to evaluate our underlying revenue and trends.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Income from Operations</w:t>
      </w:r>
    </w:p>
    <w:p>
      <w:pPr>
        <w:spacing w:after="0" w:line="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Income from operations for the year ended December 31, 2018 has also been negatively affected by the closure of the high-margin accounts with certain subscription-billing e-commerce merchants, as well as the incurrence of non-recurring expenses largely associated with our July 2018 Business Combination and conversion to a public company, such as legal, accounting, advisory and consulting expenses plus certain legal settlements. Our income from operations associated with the subscription-billing e-commerce merchants, which is entirely within our Consumer Payments reportable segment, was $21.3 million and $31.9 million for the years ended December 31, 2018 and 2017,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20"/>
          <w:szCs w:val="20"/>
          <w:color w:val="auto"/>
        </w:rPr>
        <w:t>The non-recurring operating expenses, which were entirely within Corporate, were $12.4 million and $5.6 million for the years ended December 31, 2018 and 2017, respectively. We refer to adjusted operating income amounts non-GAAP measures, which exclude this operating income and non- recurring operating expenses from the periods presented. We review these non-GAAP measures to evaluate our underlying profitability performance and trends.</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EBITDA, Adjusted EBITDA and Earnout Adjusted EBITDA</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EBITDA is earnings before interest, income tax, depreciation and amortization expenses (“EBITDA”). Adjusted EBITDA begins with EBITDA but further excludes certain non-cash expenses such as equity-based compensation and fair value adjustments. Adjusted EBITDA also excludes non-recurring expenses such as Business Combination costs, litigation settlement costs, certain legal services costs, professional fees, consulting fees, employee severances and settlements, and certain other adjustments. Our financial covenants under our debt agreements and the Earnout Incentive Plan pursuant to the Business Combination are based on the non-GAAP measure referred to as Earnout Adjusted EBITDA. The calculation of Earnout Adjusted EBITDA begins with Adjusted EBITDA (as disclosed above) and further includes the pro-forma effects related to acquired merchant portfolios and residual streams and run rate adjustments for certain contracted savings on an annualized basis. We review these non-GAAP EBITDA measures to evaluate our business and trends, measure our performance, prepare financial projections, allocate resources, and make strategic decisions.</w:t>
      </w:r>
    </w:p>
    <w:p>
      <w:pPr>
        <w:spacing w:after="0" w:line="2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reconciliations of Adjusted Revenue, Adjusted Income from Operations, EBITDA, Adjusted EBITDA and Earnout Adjusted EBITDA to the most directly comparable financial measure calculated and presented in accordance with GAAP, are shown in the attached schedules to this press release.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equity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Priority Technology Holdings, Inc.</w:t>
      </w:r>
    </w:p>
    <w:p>
      <w:pPr>
        <w:spacing w:after="0" w:line="3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20"/>
          <w:szCs w:val="20"/>
          <w:u w:val="single" w:color="auto"/>
          <w:color w:val="0000FF"/>
        </w:rPr>
        <w:t>www.PRTH.com</w:t>
      </w:r>
      <w:r>
        <w:rPr>
          <w:rFonts w:ascii="Arial" w:cs="Arial" w:eastAsia="Arial" w:hAnsi="Arial"/>
          <w:sz w:val="20"/>
          <w:szCs w:val="20"/>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Forward-Looking Statements</w:t>
      </w:r>
    </w:p>
    <w:p>
      <w:pPr>
        <w:spacing w:after="0" w:line="3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press release contains forward-looking statements that are subject to certain risks, trends and uncertainties that could cause actual results to differ materially from those projected, expressed, or implied by such forward-looking statements. In some cases, you can identify forward-looking statements by use of words such as “may,” “will,” “should,” “anticipates,” “believes,” “expects,” “plans,” “future,” “intends,” “could,” “estimate,” “predict,” “projects,” “targeting,” “potential” or “contingent,” the negative of these terms or other similar expressions. Our actual results could differ materially from those discussed or implied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20"/>
          <w:szCs w:val="20"/>
          <w:color w:val="auto"/>
        </w:rPr>
        <w:t xml:space="preserve">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These filings are available online at </w:t>
      </w:r>
      <w:r>
        <w:rPr>
          <w:rFonts w:ascii="Arial" w:cs="Arial" w:eastAsia="Arial" w:hAnsi="Arial"/>
          <w:sz w:val="20"/>
          <w:szCs w:val="20"/>
          <w:u w:val="single" w:color="auto"/>
          <w:color w:val="0000FF"/>
        </w:rPr>
        <w:t>www.sec.gov</w:t>
      </w:r>
      <w:r>
        <w:rPr>
          <w:rFonts w:ascii="Arial" w:cs="Arial" w:eastAsia="Arial" w:hAnsi="Arial"/>
          <w:sz w:val="20"/>
          <w:szCs w:val="20"/>
          <w:color w:val="auto"/>
        </w:rPr>
        <w:t xml:space="preserve"> or </w:t>
      </w:r>
      <w:r>
        <w:rPr>
          <w:rFonts w:ascii="Arial" w:cs="Arial" w:eastAsia="Arial" w:hAnsi="Arial"/>
          <w:sz w:val="20"/>
          <w:szCs w:val="20"/>
          <w:u w:val="single" w:color="auto"/>
          <w:color w:val="0563C1"/>
        </w:rPr>
        <w:t>www.PRTH.com</w:t>
      </w:r>
      <w:r>
        <w:rPr>
          <w:rFonts w:ascii="Arial" w:cs="Arial" w:eastAsia="Arial" w:hAnsi="Arial"/>
          <w:sz w:val="20"/>
          <w:szCs w:val="20"/>
          <w:color w:val="auto"/>
        </w:rPr>
        <w:t>.</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Quarter Ended December 31, 2018 Compared to Quarter Ended December 31, 2017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4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Quarters Ended December 31,</w:t>
            </w: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43"/>
        </w:trPr>
        <w:tc>
          <w:tcPr>
            <w:tcW w:w="5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7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92,372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112,780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(20,408)</w:t>
            </w:r>
          </w:p>
        </w:tc>
        <w:tc>
          <w:tcPr>
            <w:tcW w:w="17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119,970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(19,504)</w:t>
            </w:r>
          </w:p>
        </w:tc>
        <w:tc>
          <w:tcPr>
            <w:tcW w:w="172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318"/>
        </w:trPr>
        <w:tc>
          <w:tcPr>
            <w:tcW w:w="5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Costs of outsourced and other</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7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3,641</w:t>
            </w:r>
          </w:p>
        </w:tc>
        <w:tc>
          <w:tcPr>
            <w:tcW w:w="1720" w:type="dxa"/>
            <w:vAlign w:val="bottom"/>
          </w:tcPr>
          <w:p>
            <w:pPr>
              <w:jc w:val="right"/>
              <w:spacing w:after="0"/>
              <w:rPr>
                <w:sz w:val="20"/>
                <w:szCs w:val="20"/>
                <w:color w:val="auto"/>
              </w:rPr>
            </w:pPr>
            <w:r>
              <w:rPr>
                <w:rFonts w:ascii="Arial" w:cs="Arial" w:eastAsia="Arial" w:hAnsi="Arial"/>
                <w:sz w:val="18"/>
                <w:szCs w:val="18"/>
                <w:color w:val="auto"/>
              </w:rPr>
              <w:t>106.5 %</w:t>
            </w: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95,190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109,021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(13,831)</w:t>
            </w:r>
          </w:p>
        </w:tc>
        <w:tc>
          <w:tcPr>
            <w:tcW w:w="17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23"/>
        </w:trPr>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43"/>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(5,673)</w:t>
            </w:r>
          </w:p>
        </w:tc>
        <w:tc>
          <w:tcPr>
            <w:tcW w:w="172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318"/>
        </w:trPr>
        <w:tc>
          <w:tcPr>
            <w:tcW w:w="5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7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10"/>
        </w:trPr>
        <w:tc>
          <w:tcPr>
            <w:tcW w:w="5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156"/>
        </w:trPr>
        <w:tc>
          <w:tcPr>
            <w:tcW w:w="5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720" w:type="dxa"/>
            <w:vAlign w:val="bottom"/>
          </w:tcPr>
          <w:p>
            <w:pPr>
              <w:spacing w:after="0"/>
              <w:rPr>
                <w:sz w:val="13"/>
                <w:szCs w:val="13"/>
                <w:color w:val="auto"/>
              </w:rPr>
            </w:pPr>
          </w:p>
        </w:tc>
      </w:tr>
      <w:tr>
        <w:trPr>
          <w:trHeight w:val="26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172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Operations Year Ended December 31, 2018 Compared to Year Ended December 31, 2017 </w:t>
      </w:r>
      <w:r>
        <w:rPr>
          <w:rFonts w:ascii="Arial" w:cs="Arial" w:eastAsia="Arial" w:hAnsi="Arial"/>
          <w:sz w:val="18"/>
          <w:szCs w:val="18"/>
          <w:i w:val="1"/>
          <w:iCs w:val="1"/>
          <w:color w:val="auto"/>
        </w:rPr>
        <w:t>(unaudited)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20" w:type="dxa"/>
            <w:vAlign w:val="bottom"/>
            <w:shd w:val="clear" w:color="auto" w:fill="CCEEFF"/>
          </w:tcPr>
          <w:p>
            <w:pPr>
              <w:spacing w:after="0"/>
              <w:rPr>
                <w:sz w:val="22"/>
                <w:szCs w:val="22"/>
                <w:color w:val="auto"/>
              </w:rPr>
            </w:pPr>
          </w:p>
        </w:tc>
        <w:tc>
          <w:tcPr>
            <w:tcW w:w="284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5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6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392,033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398,988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(6,955)</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424,415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425,619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7"/>
        </w:trPr>
        <w:tc>
          <w:tcPr>
            <w:tcW w:w="5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(9,238)</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Costs of outsourced and other</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2,385</w:t>
            </w:r>
          </w:p>
        </w:tc>
        <w:tc>
          <w:tcPr>
            <w:tcW w:w="160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5,066</w:t>
            </w:r>
          </w:p>
        </w:tc>
        <w:tc>
          <w:tcPr>
            <w:tcW w:w="1600" w:type="dxa"/>
            <w:vAlign w:val="bottom"/>
          </w:tcPr>
          <w:p>
            <w:pPr>
              <w:jc w:val="right"/>
              <w:spacing w:after="0"/>
              <w:rPr>
                <w:sz w:val="20"/>
                <w:szCs w:val="20"/>
                <w:color w:val="auto"/>
              </w:rPr>
            </w:pPr>
            <w:r>
              <w:rPr>
                <w:rFonts w:ascii="Arial" w:cs="Arial" w:eastAsia="Arial" w:hAnsi="Arial"/>
                <w:sz w:val="18"/>
                <w:szCs w:val="18"/>
                <w:color w:val="auto"/>
              </w:rPr>
              <w:t>34.5 %</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Changes in fair value of contingent consideration</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404,496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390,370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156"/>
        </w:trPr>
        <w:tc>
          <w:tcPr>
            <w:tcW w:w="5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600" w:type="dxa"/>
            <w:vAlign w:val="bottom"/>
          </w:tcPr>
          <w:p>
            <w:pPr>
              <w:spacing w:after="0"/>
              <w:rPr>
                <w:sz w:val="13"/>
                <w:szCs w:val="13"/>
                <w:color w:val="auto"/>
              </w:rPr>
            </w:pPr>
          </w:p>
        </w:tc>
      </w:tr>
      <w:tr>
        <w:trPr>
          <w:trHeight w:val="270"/>
        </w:trPr>
        <w:tc>
          <w:tcPr>
            <w:tcW w:w="5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0"/>
        </w:trPr>
        <w:tc>
          <w:tcPr>
            <w:tcW w:w="5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(4,877)</w:t>
            </w:r>
          </w:p>
        </w:tc>
        <w:tc>
          <w:tcPr>
            <w:tcW w:w="160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37"/>
        </w:trPr>
        <w:tc>
          <w:tcPr>
            <w:tcW w:w="5180" w:type="dxa"/>
            <w:vAlign w:val="bottom"/>
          </w:tcPr>
          <w:p>
            <w:pPr>
              <w:ind w:left="28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160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169"/>
        </w:trPr>
        <w:tc>
          <w:tcPr>
            <w:tcW w:w="5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(21,394)</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76"/>
        </w:trPr>
        <w:tc>
          <w:tcPr>
            <w:tcW w:w="5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(1,759)</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156"/>
        </w:trPr>
        <w:tc>
          <w:tcPr>
            <w:tcW w:w="5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304"/>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(19,635)</w:t>
            </w:r>
          </w:p>
        </w:tc>
        <w:tc>
          <w:tcPr>
            <w:tcW w:w="160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5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(Loss) income per common share: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0" w:type="dxa"/>
            <w:vAlign w:val="bottom"/>
            <w:shd w:val="clear" w:color="auto" w:fill="CCEEFF"/>
          </w:tcPr>
          <w:p>
            <w:pPr>
              <w:spacing w:after="0"/>
              <w:rPr>
                <w:sz w:val="21"/>
                <w:szCs w:val="21"/>
                <w:color w:val="auto"/>
              </w:rPr>
            </w:pPr>
          </w:p>
        </w:tc>
      </w:tr>
      <w:tr>
        <w:trPr>
          <w:trHeight w:val="27"/>
        </w:trPr>
        <w:tc>
          <w:tcPr>
            <w:tcW w:w="5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December 31, 2018 Compared to Quarter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(dollars and volume amounts in thousands)</w:t>
            </w:r>
          </w:p>
        </w:tc>
        <w:tc>
          <w:tcPr>
            <w:tcW w:w="340" w:type="dxa"/>
            <w:vAlign w:val="bottom"/>
            <w:shd w:val="clear" w:color="auto" w:fill="CCEEFF"/>
          </w:tcPr>
          <w:p>
            <w:pPr>
              <w:spacing w:after="0"/>
              <w:rPr>
                <w:sz w:val="22"/>
                <w:szCs w:val="22"/>
                <w:color w:val="auto"/>
              </w:rPr>
            </w:pPr>
          </w:p>
        </w:tc>
        <w:tc>
          <w:tcPr>
            <w:tcW w:w="3260" w:type="dxa"/>
            <w:vAlign w:val="bottom"/>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Quarters Ended December 31,</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9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5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92,472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113,191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79,410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95,591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(16,181)</w:t>
            </w: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9,344,474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8,833,600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510,874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114,279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112,040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15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4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 and Managed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1,215</w:t>
            </w:r>
          </w:p>
        </w:tc>
        <w:tc>
          <w:tcPr>
            <w:tcW w:w="1560" w:type="dxa"/>
            <w:vAlign w:val="bottom"/>
          </w:tcPr>
          <w:p>
            <w:pPr>
              <w:jc w:val="right"/>
              <w:spacing w:after="0"/>
              <w:rPr>
                <w:sz w:val="20"/>
                <w:szCs w:val="20"/>
                <w:color w:val="auto"/>
              </w:rPr>
            </w:pPr>
            <w:r>
              <w:rPr>
                <w:rFonts w:ascii="Arial" w:cs="Arial" w:eastAsia="Arial" w:hAnsi="Arial"/>
                <w:sz w:val="18"/>
                <w:szCs w:val="18"/>
                <w:color w:val="auto"/>
              </w:rPr>
              <w:t>17.9 %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36.6 %</w:t>
            </w:r>
          </w:p>
        </w:tc>
      </w:tr>
      <w:tr>
        <w:trPr>
          <w:trHeight w:val="297"/>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560" w:type="dxa"/>
            <w:vAlign w:val="bottom"/>
            <w:tcBorders>
              <w:bottom w:val="single" w:sz="8" w:color="CCEEFF"/>
            </w:tcBorders>
          </w:tcPr>
          <w:p>
            <w:pPr>
              <w:spacing w:after="0"/>
              <w:rPr>
                <w:sz w:val="24"/>
                <w:szCs w:val="24"/>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324"/>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79,709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54,381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25,328</w:t>
            </w:r>
          </w:p>
        </w:tc>
        <w:tc>
          <w:tcPr>
            <w:tcW w:w="1560" w:type="dxa"/>
            <w:vAlign w:val="bottom"/>
          </w:tcPr>
          <w:p>
            <w:pPr>
              <w:jc w:val="right"/>
              <w:spacing w:after="0"/>
              <w:rPr>
                <w:sz w:val="20"/>
                <w:szCs w:val="20"/>
                <w:color w:val="auto"/>
              </w:rPr>
            </w:pPr>
            <w:r>
              <w:rPr>
                <w:rFonts w:ascii="Arial" w:cs="Arial" w:eastAsia="Arial" w:hAnsi="Arial"/>
                <w:sz w:val="18"/>
                <w:szCs w:val="18"/>
                <w:color w:val="auto"/>
              </w:rPr>
              <w:t>46.6 %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125.9 %</w:t>
            </w:r>
          </w:p>
        </w:tc>
      </w:tr>
      <w:tr>
        <w:trPr>
          <w:trHeight w:val="324"/>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segments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11,514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(6,238)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11"/>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9,424,183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8,887,981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536,202</w:t>
            </w:r>
          </w:p>
        </w:tc>
        <w:tc>
          <w:tcPr>
            <w:tcW w:w="156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114,340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112,067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SEGMENT RESULTS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and volume amounts in thousands)</w:t>
            </w:r>
          </w:p>
        </w:tc>
        <w:tc>
          <w:tcPr>
            <w:tcW w:w="320" w:type="dxa"/>
            <w:vAlign w:val="bottom"/>
            <w:shd w:val="clear" w:color="auto" w:fill="CCEEFF"/>
          </w:tcPr>
          <w:p>
            <w:pPr>
              <w:spacing w:after="0"/>
              <w:rPr>
                <w:sz w:val="22"/>
                <w:szCs w:val="22"/>
                <w:color w:val="auto"/>
              </w:rPr>
            </w:pPr>
          </w:p>
        </w:tc>
        <w:tc>
          <w:tcPr>
            <w:tcW w:w="3040" w:type="dxa"/>
            <w:vAlign w:val="bottom"/>
            <w:gridSpan w:val="5"/>
            <w:shd w:val="clear" w:color="auto" w:fill="CCEEFF"/>
          </w:tcPr>
          <w:p>
            <w:pPr>
              <w:ind w:left="28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44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Consumer Payments: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394,986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344,458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344,847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50,528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55,473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37,892,474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34,465,600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3,426,874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465,584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439,055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324"/>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Payments and Managed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29,429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25,299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16.3 %</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32,350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97"/>
        </w:trPr>
        <w:tc>
          <w:tcPr>
            <w:tcW w:w="4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 income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37"/>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324"/>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262,824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190,338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72,486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38.1 %</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82.1 %</w:t>
            </w:r>
          </w:p>
        </w:tc>
      </w:tr>
      <w:tr>
        <w:trPr>
          <w:trHeight w:val="324"/>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 of segments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56,445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Corporate expenses</w:t>
            </w:r>
          </w:p>
        </w:tc>
        <w:tc>
          <w:tcPr>
            <w:tcW w:w="32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30.6 %</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35,249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Key indicators: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38,155,298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34,655,938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3,499,360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465,757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439,150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675"/>
        </w:trPr>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520"/>
          </w:cols>
          <w:pgMar w:left="700" w:top="796" w:right="67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 xml:space="preserve">PRIORITY TECHNOLOGY HOLDINGS, INC. SEGMENT RESULTS RECASTED FOR CORPORATE AND ALLOCATIONS CHANGES </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43"/>
        </w:trPr>
        <w:tc>
          <w:tcPr>
            <w:tcW w:w="4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1Q</w:t>
            </w:r>
          </w:p>
        </w:tc>
        <w:tc>
          <w:tcPr>
            <w:tcW w:w="300" w:type="dxa"/>
            <w:vAlign w:val="bottom"/>
          </w:tcPr>
          <w:p>
            <w:pPr>
              <w:spacing w:after="0"/>
              <w:rPr>
                <w:sz w:val="21"/>
                <w:szCs w:val="21"/>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2Q</w:t>
            </w:r>
          </w:p>
        </w:tc>
        <w:tc>
          <w:tcPr>
            <w:tcW w:w="220" w:type="dxa"/>
            <w:vAlign w:val="bottom"/>
          </w:tcPr>
          <w:p>
            <w:pPr>
              <w:spacing w:after="0"/>
              <w:rPr>
                <w:sz w:val="21"/>
                <w:szCs w:val="21"/>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3Q</w:t>
            </w:r>
          </w:p>
        </w:tc>
        <w:tc>
          <w:tcPr>
            <w:tcW w:w="300" w:type="dxa"/>
            <w:vAlign w:val="bottom"/>
          </w:tcPr>
          <w:p>
            <w:pPr>
              <w:spacing w:after="0"/>
              <w:rPr>
                <w:sz w:val="21"/>
                <w:szCs w:val="21"/>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4Q</w:t>
            </w:r>
          </w:p>
        </w:tc>
        <w:tc>
          <w:tcPr>
            <w:tcW w:w="26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97,732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394,986</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7,030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29,429</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115,596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104,762</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103,591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424,415</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10,346</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50,528</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 —</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(27,688)</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income from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3,205</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19,919</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3,646</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17,945</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1,093</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4,013</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19,740</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43"/>
        </w:trPr>
        <w:tc>
          <w:tcPr>
            <w:tcW w:w="4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1Q</w:t>
            </w:r>
          </w:p>
        </w:tc>
        <w:tc>
          <w:tcPr>
            <w:tcW w:w="300" w:type="dxa"/>
            <w:vAlign w:val="bottom"/>
          </w:tcPr>
          <w:p>
            <w:pPr>
              <w:spacing w:after="0"/>
              <w:rPr>
                <w:sz w:val="21"/>
                <w:szCs w:val="21"/>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rPr>
              <w:t>2Q</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3Q</w:t>
            </w:r>
          </w:p>
        </w:tc>
        <w:tc>
          <w:tcPr>
            <w:tcW w:w="300" w:type="dxa"/>
            <w:vAlign w:val="bottom"/>
          </w:tcPr>
          <w:p>
            <w:pPr>
              <w:spacing w:after="0"/>
              <w:rPr>
                <w:sz w:val="21"/>
                <w:szCs w:val="21"/>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4Q</w:t>
            </w:r>
          </w:p>
        </w:tc>
        <w:tc>
          <w:tcPr>
            <w:tcW w:w="26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95,658</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400,320</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5,953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25,299</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101,611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110,946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425,619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10,989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12,457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14,427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55,473</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(21,196)</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income from operations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3,638</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13,336</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r>
      <w:tr>
        <w:trPr>
          <w:trHeight w:val="243"/>
        </w:trPr>
        <w:tc>
          <w:tcPr>
            <w:tcW w:w="444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887</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14,674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80" w:top="580" w:right="35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380" w:top="580" w:right="3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15,631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27,966</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45,651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47,433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3,550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Settlement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7,207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105,988</w:t>
            </w:r>
          </w:p>
        </w:tc>
      </w:tr>
      <w:tr>
        <w:trPr>
          <w:trHeight w:val="297"/>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receivable, less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11,943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124,637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42,062</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266,707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Accrued residual commissions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23,470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7,582</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Current portion of equity repurchase obligation</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66,482</w:t>
            </w:r>
          </w:p>
        </w:tc>
      </w:tr>
      <w:tr>
        <w:trPr>
          <w:trHeight w:val="223"/>
        </w:trPr>
        <w:tc>
          <w:tcPr>
            <w:tcW w:w="7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discounts and deferred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267,939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8,701</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repurchase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6,050</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290,380</w:t>
            </w:r>
          </w:p>
        </w:tc>
      </w:tr>
      <w:tr>
        <w:trPr>
          <w:trHeight w:val="169"/>
        </w:trPr>
        <w:tc>
          <w:tcPr>
            <w:tcW w:w="72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spacing w:after="0"/>
              <w:rPr>
                <w:sz w:val="14"/>
                <w:szCs w:val="14"/>
                <w:color w:val="auto"/>
              </w:rPr>
            </w:pPr>
          </w:p>
        </w:tc>
      </w:tr>
      <w:tr>
        <w:trPr>
          <w:trHeight w:val="26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356,862</w:t>
            </w:r>
          </w:p>
        </w:tc>
      </w:tr>
      <w:tr>
        <w:trPr>
          <w:trHeight w:val="277"/>
        </w:trPr>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(90,228)</w:t>
            </w: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stockholders' equity (deficit)</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(90,155)</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7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r>
      <w:tr>
        <w:trPr>
          <w:trHeight w:val="257"/>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266,707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440" w:gutter="0" w:footer="0" w:header="0"/>
          <w:type w:val="continuous"/>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Quarters Ended December 31, 2018 and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2960" w:type="dxa"/>
            <w:vAlign w:val="bottom"/>
            <w:tcBorders>
              <w:bottom w:val="single" w:sz="8" w:color="auto"/>
            </w:tcBorders>
            <w:gridSpan w:val="4"/>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6"/>
              </w:rPr>
              <w:t>Quarters Ended December 31,</w:t>
            </w: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1,875</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of assets</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3,420</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discount</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loss (income) and impairment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Provision for deferred income taxes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Payment-in-kind interest</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1,323</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non-cash charges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Net change in operating assets and liabilities (net of business combinations)</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Acquisitions of merchant portfolios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Repayments of long-term debt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Borrowings under revolving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Repayments of borrowings under revolving line of credit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180" w:type="dxa"/>
            <w:vAlign w:val="bottom"/>
            <w:gridSpan w:val="2"/>
          </w:tcPr>
          <w:p>
            <w:pPr>
              <w:ind w:left="140"/>
              <w:spacing w:after="0"/>
              <w:rPr>
                <w:sz w:val="20"/>
                <w:szCs w:val="20"/>
                <w:color w:val="auto"/>
              </w:rPr>
            </w:pPr>
            <w:r>
              <w:rPr>
                <w:rFonts w:ascii="Arial" w:cs="Arial" w:eastAsia="Arial" w:hAnsi="Arial"/>
                <w:sz w:val="18"/>
                <w:szCs w:val="18"/>
                <w:color w:val="auto"/>
              </w:rPr>
              <w:t>Recapitalization costs paid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5,703</w:t>
            </w: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quarter</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38,456</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quarter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44,159</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2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5,328</w:t>
            </w:r>
          </w:p>
        </w:tc>
      </w:tr>
      <w:tr>
        <w:trPr>
          <w:trHeight w:val="702"/>
        </w:trPr>
        <w:tc>
          <w:tcPr>
            <w:tcW w:w="7200" w:type="dxa"/>
            <w:vAlign w:val="bottom"/>
            <w:gridSpan w:val="3"/>
          </w:tcPr>
          <w:p>
            <w:pPr>
              <w:jc w:val="right"/>
              <w:ind w:right="19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440"/>
          </w:cols>
          <w:pgMar w:left="740" w:top="580" w:right="719" w:bottom="1440" w:gutter="0" w:footer="0" w:header="0"/>
        </w:sectPr>
      </w:pPr>
    </w:p>
    <w:bookmarkStart w:id="16" w:name="page17"/>
    <w:bookmarkEnd w:id="16"/>
    <w:p>
      <w:pPr>
        <w:jc w:val="center"/>
        <w:ind w:right="-120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22"/>
                <w:szCs w:val="22"/>
                <w:color w:val="auto"/>
              </w:rPr>
            </w:pPr>
          </w:p>
        </w:tc>
        <w:tc>
          <w:tcPr>
            <w:tcW w:w="2680" w:type="dxa"/>
            <w:vAlign w:val="bottom"/>
            <w:tcBorders>
              <w:bottom w:val="single" w:sz="8" w:color="auto"/>
            </w:tcBorders>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6"/>
              </w:rPr>
              <w:t>Years Ended December 31,</w:t>
            </w:r>
          </w:p>
        </w:tc>
      </w:tr>
      <w:tr>
        <w:trPr>
          <w:trHeight w:val="243"/>
        </w:trPr>
        <w:tc>
          <w:tcPr>
            <w:tcW w:w="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 of assets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14,674</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discount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losses and impairment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Provision for deferred income taxes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Payment-in-kind interest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5,118</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non-cash charges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Net change in operating assets and liabilities (net of business combinations)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4,444</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36,869</w:t>
            </w:r>
          </w:p>
        </w:tc>
      </w:tr>
      <w:tr>
        <w:trPr>
          <w:trHeight w:val="183"/>
        </w:trPr>
        <w:tc>
          <w:tcPr>
            <w:tcW w:w="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Acquisitions of businesses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Acquisitions of merchant portfolios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(2,483)</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r>
      <w:tr>
        <w:trPr>
          <w:trHeight w:val="210"/>
        </w:trPr>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long-term debt, net of issue discount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276,290</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(90,696)</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Borrowings under revolving line of credit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Repayments of borrowings under revolving line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Distributions from equity</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Redemptions of equity interests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(203,000)</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Recapitalization proceeds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160" w:type="dxa"/>
            <w:vAlign w:val="bottom"/>
            <w:gridSpan w:val="2"/>
          </w:tcPr>
          <w:p>
            <w:pPr>
              <w:ind w:left="140"/>
              <w:spacing w:after="0"/>
              <w:rPr>
                <w:sz w:val="20"/>
                <w:szCs w:val="20"/>
                <w:color w:val="auto"/>
              </w:rPr>
            </w:pPr>
            <w:r>
              <w:rPr>
                <w:rFonts w:ascii="Arial" w:cs="Arial" w:eastAsia="Arial" w:hAnsi="Arial"/>
                <w:sz w:val="18"/>
                <w:szCs w:val="18"/>
                <w:color w:val="auto"/>
              </w:rPr>
              <w:t>Redemption of warrants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Recapitalization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(25,375)</w:t>
            </w:r>
          </w:p>
        </w:tc>
      </w:tr>
      <w:tr>
        <w:trPr>
          <w:trHeight w:val="27"/>
        </w:trPr>
        <w:tc>
          <w:tcPr>
            <w:tcW w:w="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2,457</w:t>
            </w:r>
          </w:p>
        </w:tc>
      </w:tr>
      <w:tr>
        <w:trPr>
          <w:trHeight w:val="27"/>
        </w:trPr>
        <w:tc>
          <w:tcPr>
            <w:tcW w:w="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41,702</w:t>
            </w:r>
          </w:p>
        </w:tc>
      </w:tr>
      <w:tr>
        <w:trPr>
          <w:trHeight w:val="297"/>
        </w:trPr>
        <w:tc>
          <w:tcPr>
            <w:tcW w:w="72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Cash and cash equivalents at end of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33,831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44,159</w:t>
            </w:r>
          </w:p>
        </w:tc>
      </w:tr>
      <w:tr>
        <w:trPr>
          <w:trHeight w:val="284"/>
        </w:trPr>
        <w:tc>
          <w:tcPr>
            <w:tcW w:w="4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03"/>
        </w:trPr>
        <w:tc>
          <w:tcPr>
            <w:tcW w:w="72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340" w:type="dxa"/>
            <w:vAlign w:val="bottom"/>
            <w:tcBorders>
              <w:top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19,036</w:t>
            </w:r>
          </w:p>
        </w:tc>
      </w:tr>
      <w:tr>
        <w:trPr>
          <w:trHeight w:val="27"/>
        </w:trPr>
        <w:tc>
          <w:tcPr>
            <w:tcW w:w="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19"/>
          </w:cols>
          <w:pgMar w:left="240" w:top="5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19"/>
          </w:cols>
          <w:pgMar w:left="240" w:top="580" w:right="1440"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OPERATING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reconciliations of Adjusted Consolidated Revenue, Adjusted Consolidated Operating Expenses, Adjusted Consolidated Operating Income, Adjusted Consolidated Net Income (Loss), Adjusted Consumer Payments Revenue, Adjusted Consumer Payments Operating Expenses, and Adjusted Consumer Payments Operating Income to the most directly comparable financial measures calculated and presented in accordance with GAAP, are shown in the following two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213360</wp:posOffset>
            </wp:positionV>
            <wp:extent cx="667194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71945" cy="171450"/>
                    </a:xfrm>
                    <a:prstGeom prst="rect">
                      <a:avLst/>
                    </a:prstGeom>
                    <a:noFill/>
                  </pic:spPr>
                </pic:pic>
              </a:graphicData>
            </a:graphic>
          </wp:anchor>
        </w:drawing>
      </w:r>
    </w:p>
    <w:p>
      <w:pPr>
        <w:spacing w:after="0" w:line="325"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Quarters ended December 31,</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4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Consolidated revenue (GAAP)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100,466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119,970</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(30,676)</w:t>
            </w:r>
          </w:p>
        </w:tc>
      </w:tr>
      <w:tr>
        <w:trPr>
          <w:trHeight w:val="29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revenue (non-GAAP)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93,008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89,294</w:t>
            </w:r>
          </w:p>
        </w:tc>
      </w:tr>
      <w:tr>
        <w:trPr>
          <w:trHeight w:val="311"/>
        </w:trPr>
        <w:tc>
          <w:tcPr>
            <w:tcW w:w="7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expenses (GAAP)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95,190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109,021</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(20,343)</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Less: non-recurring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operating expenses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88,642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86,550</w:t>
            </w: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7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 (GAAP)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10,949</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(30,676)</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20,343</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Add: non-recurring expenses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2,128</w:t>
            </w: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2,744</w:t>
            </w: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7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(loss) income (GAAP)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1,875</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(30,676)</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20,343</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Add: non-recurring expenses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2,128</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income tax benefit of non-GAAP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net (loss) income (non-GAAP)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(6,330)</w:t>
            </w:r>
          </w:p>
        </w:tc>
      </w:tr>
      <w:tr>
        <w:trPr>
          <w:trHeight w:val="311"/>
        </w:trPr>
        <w:tc>
          <w:tcPr>
            <w:tcW w:w="7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Consumer Payments revenue (GAAP)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92,472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113,191</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(30,676)</w:t>
            </w:r>
          </w:p>
        </w:tc>
      </w:tr>
      <w:tr>
        <w:trPr>
          <w:trHeight w:val="29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Consumer Payments revenue (non-GAAP)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85,014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82,515</w:t>
            </w:r>
          </w:p>
        </w:tc>
      </w:tr>
      <w:tr>
        <w:trPr>
          <w:trHeight w:val="311"/>
        </w:trPr>
        <w:tc>
          <w:tcPr>
            <w:tcW w:w="7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Consumer Payments operating expenses (GAAP)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79,410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95,591</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(20,343)</w:t>
            </w:r>
          </w:p>
        </w:tc>
      </w:tr>
      <w:tr>
        <w:trPr>
          <w:trHeight w:val="29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Consumer Payment operating expenses (non-GAAP)</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74,952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75,248</w:t>
            </w:r>
          </w:p>
        </w:tc>
      </w:tr>
      <w:tr>
        <w:trPr>
          <w:trHeight w:val="311"/>
        </w:trPr>
        <w:tc>
          <w:tcPr>
            <w:tcW w:w="7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Consumer Payments operating income (GAAP)</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13,062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17,600</w:t>
            </w:r>
          </w:p>
        </w:tc>
      </w:tr>
      <w:tr>
        <w:trPr>
          <w:trHeight w:val="27"/>
        </w:trPr>
        <w:tc>
          <w:tcPr>
            <w:tcW w:w="7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(30,676)</w:t>
            </w: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20,343</w:t>
            </w:r>
          </w:p>
        </w:tc>
      </w:tr>
      <w:tr>
        <w:trPr>
          <w:trHeight w:val="27"/>
        </w:trPr>
        <w:tc>
          <w:tcPr>
            <w:tcW w:w="7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operating income (non-GAAP)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7,267</w:t>
            </w:r>
          </w:p>
        </w:tc>
      </w:tr>
      <w:tr>
        <w:trPr>
          <w:trHeight w:val="20"/>
        </w:trPr>
        <w:tc>
          <w:tcPr>
            <w:tcW w:w="7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96" w:right="239" w:bottom="1440" w:gutter="0" w:footer="0" w:header="0"/>
          <w:type w:val="continuous"/>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NON-GAAP OPERATING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365760</wp:posOffset>
            </wp:positionV>
            <wp:extent cx="65347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Years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Consolidated revenue (GAAP)</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424,415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425,619</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(95,646)</w:t>
            </w:r>
          </w:p>
        </w:tc>
      </w:tr>
      <w:tr>
        <w:trPr>
          <w:trHeight w:val="29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revenue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359,198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329,973</w:t>
            </w:r>
          </w:p>
        </w:tc>
      </w:tr>
      <w:tr>
        <w:trPr>
          <w:trHeight w:val="311"/>
        </w:trPr>
        <w:tc>
          <w:tcPr>
            <w:tcW w:w="7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expenses (GAAP)</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404,496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390,370</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(63,769)</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Less: non-recurring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(5,570)</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operating expenses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348,215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321,031</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from operations (GAAP)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35,249</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(95,646)</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63,769</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Add: non-recurring expenses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5,570</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consolidated income from operations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8,942</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(loss) income (GAAP)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4,594</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(95,646)</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63,769</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Add: non-recurring expenses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5,570</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income tax benefit of non-GAAP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consolidated net (loss) income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(21,713)</w:t>
            </w:r>
          </w:p>
        </w:tc>
      </w:tr>
      <w:tr>
        <w:trPr>
          <w:trHeight w:val="311"/>
        </w:trPr>
        <w:tc>
          <w:tcPr>
            <w:tcW w:w="7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Consumer Payments revenue (GAAP)</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394,986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400,320</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(95,646)</w:t>
            </w:r>
          </w:p>
        </w:tc>
      </w:tr>
      <w:tr>
        <w:trPr>
          <w:trHeight w:val="29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Consumer Payments revenue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329,769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304,674</w:t>
            </w:r>
          </w:p>
        </w:tc>
      </w:tr>
      <w:tr>
        <w:trPr>
          <w:trHeight w:val="311"/>
        </w:trPr>
        <w:tc>
          <w:tcPr>
            <w:tcW w:w="7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Consumer Payments operating expenses (GAAP)</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344,458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344,847</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operating expenses of certain subscription-billing e-commerce merchants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(63,769)</w:t>
            </w:r>
          </w:p>
        </w:tc>
      </w:tr>
      <w:tr>
        <w:trPr>
          <w:trHeight w:val="29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Consumer Payment operating expenses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300,548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281,078</w:t>
            </w:r>
          </w:p>
        </w:tc>
      </w:tr>
      <w:tr>
        <w:trPr>
          <w:trHeight w:val="311"/>
        </w:trPr>
        <w:tc>
          <w:tcPr>
            <w:tcW w:w="7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Consumer Payments operating income (GAAP)</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50,528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55,473</w:t>
            </w:r>
          </w:p>
        </w:tc>
      </w:tr>
      <w:tr>
        <w:trPr>
          <w:trHeight w:val="27"/>
        </w:trPr>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Revenue from certain subscription-billing e-commerce merchants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(95,646)</w:t>
            </w:r>
          </w:p>
        </w:tc>
      </w:tr>
      <w:tr>
        <w:trPr>
          <w:trHeight w:val="243"/>
        </w:trPr>
        <w:tc>
          <w:tcPr>
            <w:tcW w:w="7500" w:type="dxa"/>
            <w:vAlign w:val="bottom"/>
          </w:tcPr>
          <w:p>
            <w:pPr>
              <w:ind w:left="160"/>
              <w:spacing w:after="0"/>
              <w:rPr>
                <w:sz w:val="20"/>
                <w:szCs w:val="20"/>
                <w:color w:val="auto"/>
              </w:rPr>
            </w:pPr>
            <w:r>
              <w:rPr>
                <w:rFonts w:ascii="Arial" w:cs="Arial" w:eastAsia="Arial" w:hAnsi="Arial"/>
                <w:sz w:val="18"/>
                <w:szCs w:val="18"/>
                <w:color w:val="auto"/>
              </w:rPr>
              <w:t>Add: operating expenses of certain subscription-billing e-commerce merchants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63,769</w:t>
            </w:r>
          </w:p>
        </w:tc>
      </w:tr>
      <w:tr>
        <w:trPr>
          <w:trHeight w:val="27"/>
        </w:trPr>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Consumer Payments operating income (non-GAAP)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23,596</w:t>
            </w: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58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80"/>
          </w:cols>
          <w:pgMar w:left="820" w:top="580" w:right="79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EBITDA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reconciliations of EBITDA, Adjusted EBITDA and Earnout Adjusted EBITDA to net (loss) income, the most directly comparable financial measure calculated and presented in accordance with GAAP, are shown in the following two tables:</w:t>
      </w:r>
    </w:p>
    <w:p>
      <w:pPr>
        <w:spacing w:after="0" w:line="200" w:lineRule="exact"/>
        <w:rPr>
          <w:sz w:val="20"/>
          <w:szCs w:val="20"/>
          <w:color w:val="auto"/>
        </w:rPr>
      </w:pPr>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264"/>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2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Quarters Ended December 31,</w:t>
            </w:r>
          </w:p>
        </w:tc>
      </w:tr>
      <w:tr>
        <w:trPr>
          <w:trHeight w:val="243"/>
        </w:trPr>
        <w:tc>
          <w:tcPr>
            <w:tcW w:w="7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(loss) income (GAAP)</w:t>
            </w: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1,875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 Interest expense (1)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6,458</w:t>
            </w:r>
          </w:p>
        </w:tc>
      </w:tr>
      <w:tr>
        <w:trPr>
          <w:trHeight w:val="243"/>
        </w:trPr>
        <w:tc>
          <w:tcPr>
            <w:tcW w:w="7420" w:type="dxa"/>
            <w:vAlign w:val="bottom"/>
          </w:tcPr>
          <w:p>
            <w:pPr>
              <w:ind w:left="140"/>
              <w:spacing w:after="0"/>
              <w:rPr>
                <w:sz w:val="20"/>
                <w:szCs w:val="20"/>
                <w:color w:val="auto"/>
              </w:rPr>
            </w:pPr>
            <w:r>
              <w:rPr>
                <w:rFonts w:ascii="Arial" w:cs="Arial" w:eastAsia="Arial" w:hAnsi="Arial"/>
                <w:sz w:val="18"/>
                <w:szCs w:val="18"/>
                <w:color w:val="auto"/>
              </w:rPr>
              <w:t>Add: Depreciation and amortization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3,420</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EBITDA (non-GAAP)</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11,753</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Further adjusted by: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60"/>
              <w:spacing w:after="0"/>
              <w:rPr>
                <w:sz w:val="20"/>
                <w:szCs w:val="20"/>
                <w:color w:val="auto"/>
              </w:rPr>
            </w:pPr>
            <w:r>
              <w:rPr>
                <w:rFonts w:ascii="Arial" w:cs="Arial" w:eastAsia="Arial" w:hAnsi="Arial"/>
                <w:sz w:val="18"/>
                <w:szCs w:val="18"/>
                <w:color w:val="auto"/>
              </w:rPr>
              <w:t>Add: Non-cash equity-based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Non-recurring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Debt modification costs and warrant fair value changes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2,743</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Litigation settlement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7420" w:type="dxa"/>
            <w:vAlign w:val="bottom"/>
          </w:tcPr>
          <w:p>
            <w:pPr>
              <w:ind w:left="360"/>
              <w:spacing w:after="0"/>
              <w:rPr>
                <w:sz w:val="20"/>
                <w:szCs w:val="20"/>
                <w:color w:val="auto"/>
              </w:rPr>
            </w:pPr>
            <w:r>
              <w:rPr>
                <w:rFonts w:ascii="Arial" w:cs="Arial" w:eastAsia="Arial" w:hAnsi="Arial"/>
                <w:sz w:val="18"/>
                <w:szCs w:val="18"/>
                <w:color w:val="auto"/>
              </w:rPr>
              <w:t>Certain legal services (2)</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Professional, accounting and consulting fees (3)</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37"/>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Adjusted EBITDA (non-GAAP)</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16,919</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Further adjusted by:</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260"/>
              <w:spacing w:after="0"/>
              <w:rPr>
                <w:sz w:val="20"/>
                <w:szCs w:val="20"/>
                <w:color w:val="auto"/>
              </w:rPr>
            </w:pPr>
            <w:r>
              <w:rPr>
                <w:rFonts w:ascii="Arial" w:cs="Arial" w:eastAsia="Arial" w:hAnsi="Arial"/>
                <w:sz w:val="18"/>
                <w:szCs w:val="18"/>
                <w:color w:val="auto"/>
              </w:rPr>
              <w:t>Add: Pro-forma impacts for acquisitions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Other professional and consulting fees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7420" w:type="dxa"/>
            <w:vAlign w:val="bottom"/>
          </w:tcPr>
          <w:p>
            <w:pPr>
              <w:ind w:left="260"/>
              <w:spacing w:after="0"/>
              <w:rPr>
                <w:sz w:val="20"/>
                <w:szCs w:val="20"/>
                <w:color w:val="auto"/>
              </w:rPr>
            </w:pPr>
            <w:r>
              <w:rPr>
                <w:rFonts w:ascii="Arial" w:cs="Arial" w:eastAsia="Arial" w:hAnsi="Arial"/>
                <w:sz w:val="18"/>
                <w:szCs w:val="18"/>
                <w:color w:val="auto"/>
              </w:rPr>
              <w:t>Add: Other tax expenses and other adjustments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Earnout Adjusted EBITDA (non-GAAP) (4)</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17,634</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96" w:right="259" w:bottom="1440" w:gutter="0" w:footer="0" w:header="0"/>
        </w:sectPr>
      </w:pPr>
    </w:p>
    <w:bookmarkStart w:id="20" w:name="page21"/>
    <w:bookmarkEnd w:id="20"/>
    <w:p>
      <w:pPr>
        <w:jc w:val="center"/>
        <w:ind w:right="-31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NON-GAAP EBITDA MEASURES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Years Ended December 31,</w:t>
            </w:r>
          </w:p>
        </w:tc>
      </w:tr>
      <w:tr>
        <w:trPr>
          <w:trHeight w:val="243"/>
        </w:trPr>
        <w:tc>
          <w:tcPr>
            <w:tcW w:w="7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(loss) income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(15,041)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4,594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(1)</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14,674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EBITDA (non-GAAP)</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32,875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44,326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Non-cash equity-based compensation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Non-recurring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modification costs and warrant fair value changes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Litigation settlement costs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legal services (2)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Professional, accounting and consulting fees (3)</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(non-GAAP)</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56,883</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Further adjusted by:</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Pro-forma impacts for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Contracted revenue and savings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Earnout Adjusted EBITDA (non-GAAP) (4)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61,332</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expense includes amortization expense for deferred loan costs and issue discount.</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Primarily transaction-related, capital markets and accounting advisory services.</w:t>
      </w:r>
    </w:p>
    <w:p>
      <w:pPr>
        <w:spacing w:after="0" w:line="9" w:lineRule="exact"/>
        <w:rPr>
          <w:rFonts w:ascii="Arial" w:cs="Arial" w:eastAsia="Arial" w:hAnsi="Arial"/>
          <w:sz w:val="18"/>
          <w:szCs w:val="18"/>
          <w:color w:val="auto"/>
        </w:rPr>
      </w:pPr>
    </w:p>
    <w:p>
      <w:pPr>
        <w:ind w:left="980" w:hanging="648"/>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only for the years ended December 31, 2018 and 2017, reflecting definition in debt agreements entered into in connection with the January 2017 debt refinancing.</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120"/>
          </w:cols>
          <w:pgMar w:left="240" w:top="58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19</w:t>
      </w:r>
    </w:p>
    <w:sectPr>
      <w:pgSz w:w="11900" w:h="16838" w:orient="portrait"/>
      <w:cols w:equalWidth="0" w:num="1">
        <w:col w:w="11120"/>
      </w:cols>
      <w:pgMar w:left="240" w:top="58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2019-12-03T21:30:44Z</dcterms:created>
  <dcterms:modified xsi:type="dcterms:W3CDTF">2019-12-03T21:30:44Z</dcterms:modified>
</cp:coreProperties>
</file>