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5"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4"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4" w:lineRule="exact"/>
        <w:rPr>
          <w:sz w:val="24"/>
          <w:szCs w:val="24"/>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77"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341"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77"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18"/>
          <w:szCs w:val="18"/>
          <w:color w:val="auto"/>
        </w:rPr>
        <w:t>________________</w:t>
      </w:r>
    </w:p>
    <w:p>
      <w:pPr>
        <w:spacing w:after="0" w:line="33" w:lineRule="exact"/>
        <w:rPr>
          <w:sz w:val="24"/>
          <w:szCs w:val="24"/>
          <w:color w:val="auto"/>
        </w:rPr>
      </w:pPr>
    </w:p>
    <w:p>
      <w:pPr>
        <w:ind w:left="4644"/>
        <w:spacing w:after="0" w:line="242"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21"/>
          <w:szCs w:val="21"/>
          <w:color w:val="auto"/>
        </w:rPr>
        <w:t>☒</w:t>
      </w:r>
    </w:p>
    <w:p>
      <w:pPr>
        <w:spacing w:after="0" w:line="351" w:lineRule="exact"/>
        <w:rPr>
          <w:sz w:val="24"/>
          <w:szCs w:val="24"/>
          <w:color w:val="auto"/>
        </w:rPr>
      </w:pPr>
    </w:p>
    <w:p>
      <w:pPr>
        <w:ind w:left="4084"/>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52"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81"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44"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38"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32"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32"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2241550</wp:posOffset>
            </wp:positionH>
            <wp:positionV relativeFrom="paragraph">
              <wp:posOffset>223520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40" w:lineRule="exact"/>
        <w:rPr>
          <w:sz w:val="24"/>
          <w:szCs w:val="24"/>
          <w:color w:val="auto"/>
        </w:rPr>
      </w:pPr>
    </w:p>
    <w:p>
      <w:pPr>
        <w:ind w:left="3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Name of Registrant as Specified in Its Charter)</w:t>
      </w:r>
    </w:p>
    <w:p>
      <w:pPr>
        <w:spacing w:after="0" w:line="311"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pacing w:after="0" w:line="86" w:lineRule="exact"/>
        <w:rPr>
          <w:sz w:val="24"/>
          <w:szCs w:val="24"/>
          <w:color w:val="auto"/>
        </w:rPr>
      </w:pPr>
    </w:p>
    <w:p>
      <w:pPr>
        <w:ind w:left="3144"/>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316"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6"/>
          <w:szCs w:val="16"/>
          <w:color w:val="auto"/>
        </w:rPr>
        <w:t>Payment of Filing Fee (Check all the boxes that apply):</w:t>
      </w:r>
    </w:p>
    <w:p>
      <w:pPr>
        <w:spacing w:after="0" w:line="138"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No fee required.</w:t>
      </w:r>
    </w:p>
    <w:p>
      <w:pPr>
        <w:spacing w:after="0" w:line="85" w:lineRule="exact"/>
        <w:rPr>
          <w:sz w:val="24"/>
          <w:szCs w:val="24"/>
          <w:color w:val="auto"/>
        </w:rPr>
      </w:pPr>
    </w:p>
    <w:p>
      <w:pPr>
        <w:ind w:left="464" w:hanging="464"/>
        <w:spacing w:after="0"/>
        <w:tabs>
          <w:tab w:leader="none" w:pos="464"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38" w:lineRule="exact"/>
        <w:rPr>
          <w:rFonts w:ascii="MS PGothic" w:cs="MS PGothic" w:eastAsia="MS PGothic" w:hAnsi="MS PGothic"/>
          <w:sz w:val="16"/>
          <w:szCs w:val="16"/>
          <w:color w:val="auto"/>
        </w:rPr>
      </w:pPr>
    </w:p>
    <w:p>
      <w:pPr>
        <w:ind w:left="464" w:hanging="464"/>
        <w:spacing w:after="0"/>
        <w:tabs>
          <w:tab w:leader="none" w:pos="464"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1068070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3"/>
          </w:cols>
          <w:pgMar w:left="416" w:top="10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2505710</wp:posOffset>
            </wp:positionH>
            <wp:positionV relativeFrom="page">
              <wp:posOffset>1040765</wp:posOffset>
            </wp:positionV>
            <wp:extent cx="2545715"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PROXY STATEMENT AND NOTICE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2025 ANNUAL MEETING OF STOCKHOLDERS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Friday, June 13, 2025</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9:00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Priority Technology Holdings, Inc., a Delaware corporation, is a payments and banking fintech that streamlines collecting, storing, lending and sending money through its innovative commerce engine (the “Priority Commerce Engine” or “PCE”) to unlock revenue opportunities and generate operational success for businesses. Its common stock is listed on the Nasdaq Capital Market ("NASDAQ")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577215</wp:posOffset>
            </wp:positionV>
            <wp:extent cx="172275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486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320"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The board of directors and officers of Priority Technology Holdings Inc. join me in extending to you a cordial invitation to attend our 2025 Annual Meeting of Stockholders. The Annual Meeting will be held on Friday, June 13, 2025, at 9:00 a.m. Eastern Daylight Time.</w:t>
      </w:r>
    </w:p>
    <w:p>
      <w:pPr>
        <w:spacing w:after="0" w:line="203"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Stockholders will be able to attend, vote and submit questions (both before, and for a portion of, the meeting) from any location via the Internet at www.virtualshareholdermeeting.com/PRTH2025. If you plan to participate in the virtual meeting, please see “Proxy Statement Q&amp;A.”</w:t>
      </w:r>
    </w:p>
    <w:p>
      <w:pPr>
        <w:spacing w:after="0" w:line="189"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At the Annual Meeting, stockholders will be asked to vote on four proposals set forth in the Notice of 2025 Annual Meeting of Stockholders and the Proxy Statement following this letter.</w:t>
      </w:r>
    </w:p>
    <w:p>
      <w:pPr>
        <w:spacing w:after="0" w:line="175"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spacing w:after="0" w:line="20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If you have any questions concerning the Annual Meeting and you are the stockholder of record of your shares of stock, please contact Meghna Mehra at PriorityIR@icrinc.com or (203) 682-8273. If your shares of stock are held by a broker or other nominee (that is, in ''street name''), please contact your broker or other nominee for questions concerning the annual meeting.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speaking with you on June 13th.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Thomas C. Priore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C. Priore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732155</wp:posOffset>
            </wp:positionV>
            <wp:extent cx="172275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486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2025 ANNUAL MEETING OF STOCKHOLDERS</w:t>
      </w:r>
    </w:p>
    <w:p>
      <w:pPr>
        <w:spacing w:after="0" w:line="341"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(the "Annual Meeting") of Priority Technology Holdings, Inc. (the "Company") will be held at 9:00 a.m. EDT on Friday, June 13, 2025. Our Annual Meeting can be accessed virtually via the Internet at: www.virtualshareholdermeeting.com/PRTH2025.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 will be asked to vote on the following proposals:</w:t>
      </w:r>
    </w:p>
    <w:p>
      <w:pPr>
        <w:spacing w:after="0" w:line="32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directors nominated by our board of directors (the "Board of Directors") and named in this Proxy Statement.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2 to Priority Technology Holdings, Inc. 2021 Employee Stock Purchase Plan.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(as defined in this Proxy Statement).</w:t>
      </w:r>
    </w:p>
    <w:p>
      <w:pPr>
        <w:spacing w:after="0" w:line="76" w:lineRule="exact"/>
        <w:rPr>
          <w:rFonts w:ascii="Times New Roman" w:cs="Times New Roman" w:eastAsia="Times New Roman" w:hAnsi="Times New Roman"/>
          <w:sz w:val="18"/>
          <w:szCs w:val="18"/>
          <w:color w:val="auto"/>
        </w:rPr>
      </w:pPr>
    </w:p>
    <w:p>
      <w:pPr>
        <w:ind w:left="660" w:right="260" w:hanging="328"/>
        <w:spacing w:after="0" w:line="37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("EY") as the Company's Independent Registered Public Accounting Firm for the year ending December 31, 2025.</w:t>
      </w:r>
    </w:p>
    <w:p>
      <w:pPr>
        <w:spacing w:after="0" w:line="171"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nominees for directors (Proposal Number One);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Amendment 2 to Priority Technology Holdings, Inc. 2021 Employee Stock Purchase Plan (Proposal Number Two);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compensation of our Named Executive Officers (Proposal Number Three);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proposed Independent Registered Public Accounting Firm (Proposal Number Four).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may also transact any other business that may properly come before the Annual Meeting or any adjournments or postponements thereof.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Close of business on April 16, 2025.</w:t>
      </w:r>
    </w:p>
    <w:p>
      <w:pPr>
        <w:spacing w:after="0" w:line="324"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8"/>
          <w:szCs w:val="18"/>
          <w:color w:val="auto"/>
        </w:rPr>
        <w:t>The solicitation of the enclosed proxy is made on behalf of the Board of Directors for use at the Annual Meeting to be held on Friday, June 13, 2025. It is expected that this Proxy Statement and related materials will first be provided to stockholders on or about April 30, 2025. Only stockholders of record at the close of business on April 16, 2025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spacing w:after="0" w:line="221"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Submitting your proxy does not affect your right to vote in person if you attend the virtual Annual Meeting. Therefore, we urge you to submit your proxy as soon as possible, regardless of whether you expect to attend the Annual Meeting.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/s/ Bradley J. Miller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J. Miller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 Chief Risk Officer, and Corporate Secretary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Georgia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MATERIALS FOR THE MEETING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and our Annual Report are available via the Internet at </w:t>
      </w:r>
      <w:r>
        <w:rPr>
          <w:rFonts w:ascii="Times New Roman" w:cs="Times New Roman" w:eastAsia="Times New Roman" w:hAnsi="Times New Roman"/>
          <w:sz w:val="18"/>
          <w:szCs w:val="18"/>
          <w:b w:val="1"/>
          <w:bCs w:val="1"/>
          <w:color w:val="auto"/>
        </w:rPr>
        <w:t>http://materials.proxyvote.com/74275G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9"/>
          <w:szCs w:val="29"/>
          <w:b w:val="1"/>
          <w:bCs w:val="1"/>
          <w:color w:val="auto"/>
        </w:rPr>
        <w:t>Proxy Statement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6"/>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General Information about the Proxy Materials and the Annual Meeting</w:t>
            </w:r>
          </w:p>
        </w:tc>
        <w:tc>
          <w:tcPr>
            <w:tcW w:w="1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02"/>
        </w:trPr>
        <w:tc>
          <w:tcPr>
            <w:tcW w:w="96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Officers and Board of Directors</w:t>
            </w:r>
          </w:p>
        </w:tc>
        <w:tc>
          <w:tcPr>
            <w:tcW w:w="15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Governance</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of Executive Officers</w:t>
            </w: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Equity Awards at 2024 Year End</w:t>
            </w: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Directors, and Executive Officers</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Number One - Election of Directors</w:t>
            </w: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Number Two - Approval of Amendment 2 to Employee Stock Purchase Plan</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Number Three - Approval of Named Executive Officer Compensation</w:t>
            </w:r>
          </w:p>
        </w:tc>
        <w:tc>
          <w:tcPr>
            <w:tcW w:w="15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Number Four - Ratification of Independent Registered Public Accounting Firm</w:t>
            </w:r>
          </w:p>
        </w:tc>
        <w:tc>
          <w:tcPr>
            <w:tcW w:w="1380" w:type="dxa"/>
            <w:vAlign w:val="bottom"/>
            <w:gridSpan w:val="2"/>
            <w:vMerge w:val="restart"/>
          </w:tcPr>
          <w:p>
            <w:pPr>
              <w:spacing w:after="0"/>
              <w:rPr>
                <w:sz w:val="18"/>
                <w:szCs w:val="18"/>
                <w:color w:val="auto"/>
              </w:rPr>
            </w:pPr>
          </w:p>
        </w:tc>
        <w:tc>
          <w:tcPr>
            <w:tcW w:w="16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77"/>
              </w:rPr>
              <w:t>27</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68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60" w:type="dxa"/>
            <w:vAlign w:val="bottom"/>
            <w:gridSpan w:val="2"/>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Matters</w:t>
            </w: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Proxy Card</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10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4"/>
        </w:trPr>
        <w:tc>
          <w:tcPr>
            <w:tcW w:w="1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342900</wp:posOffset>
            </wp:positionV>
            <wp:extent cx="1722755"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27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PROXY MATERIALS AND THE ANNUAL MEETING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36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The Board of Directors (the "Board" or "Board of Directors") of Priority Technology Holdings, Inc. ("we," "us," "our," "Priority," "PRTH," or the "Company") is soliciting proxies for our 2025 Annual Meeting of Stockholders on June 13, 2025 (the "Annual Meeting"). This Proxy Statement and accompanying proxy card are being mailed on or about April 30, 2025 to stockholders of record as of April 16, 2025, the record date (the "Record Date") for the Annual Meeting.</w:t>
      </w:r>
    </w:p>
    <w:p>
      <w:pPr>
        <w:spacing w:after="0" w:line="209"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am I voting 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for the Company's stockholders to vote on the following proposals:</w:t>
      </w:r>
    </w:p>
    <w:p>
      <w:pPr>
        <w:spacing w:after="0" w:line="347"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directors nominated by our Board of Directors and named in the Proxy Statement;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2 to the Priority Technology Holdings, Inc. 2021 Employee Stock Purchase Plan</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("NEOs"); and</w:t>
      </w:r>
    </w:p>
    <w:p>
      <w:pPr>
        <w:spacing w:after="0" w:line="103" w:lineRule="exact"/>
        <w:rPr>
          <w:rFonts w:ascii="Times New Roman" w:cs="Times New Roman" w:eastAsia="Times New Roman" w:hAnsi="Times New Roman"/>
          <w:sz w:val="18"/>
          <w:szCs w:val="18"/>
          <w:color w:val="auto"/>
        </w:rPr>
      </w:pPr>
    </w:p>
    <w:p>
      <w:pPr>
        <w:ind w:left="1300" w:right="60" w:hanging="320"/>
        <w:spacing w:after="0" w:line="39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and Young LLP as the Company's Independent Registered Public Accounting Firm for the year ending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asking for my vote and approximately how much will these solicitation activities cost?</w:t>
      </w:r>
    </w:p>
    <w:p>
      <w:pPr>
        <w:spacing w:after="0" w:line="351"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The Company is soliciting your proxy on behalf of the Board. Solicitation of proxies is being made by the Company through the mail, in person and by telecommunications. The cost of this solicitation will be borne by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 shares of common stock issued and [.] outstanding.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the Annual Meeting?</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Stockholders as of the Record Date may attend and vote virtually at the Annual Meeting by logging in at www.virtualshareholdermeeting.com/PRTH2025.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voting rights?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is entitled to one vote on each matter submitted to stockholders at the Annual Meeting.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ask questions at the Virtual Annual Meeting?</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Stockholders as of our record date who attend and participate in our virtual Annual Meeting at www.virtualshareholdermeeting.com/PRTH2025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of common stock as a stockholder of record and as a beneficial owner "in street name"?</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If your shares of common stock are registered directly in your name with the Company's transfer agent, Equniti Trust Company, LLC, you are considered the stockholder of record for these shares of stock. As the stockholder of record, you have the right to grant your voting proxy directly to the persons listed on your proxy card or vote in person at the Annual Meeting.</w:t>
      </w:r>
    </w:p>
    <w:p>
      <w:pPr>
        <w:spacing w:after="0" w:line="20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broker non-vote?</w:t>
      </w:r>
    </w:p>
    <w:p>
      <w:pPr>
        <w:spacing w:after="0" w:line="351"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Four (ratification of auditor appointment). Therefore, your broker will not have discretion to vote on any other proposal unless you</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instruct your broker how to vote your shares of stock by returning your completed and signed voting instruction card.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201"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casting a vote with respect to the election of the six nominated directors, and what vote is needed to elect the director nominees?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election of the director nominees ("Proposal Number One"), stockholders may:</w:t>
      </w:r>
    </w:p>
    <w:p>
      <w:pPr>
        <w:spacing w:after="0" w:line="212"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any of the nominees;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any of the nominees; or</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any of the nominees.</w:t>
      </w:r>
    </w:p>
    <w:p>
      <w:pPr>
        <w:spacing w:after="0" w:line="34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18"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amendment two to the Priority Technology Holdings, Inc. 2021 Employee Stock Purchase Plan (the “Purchase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approval of an amendment to the Purchase Plan ("Proposal Number Two"), stockholders may:</w:t>
      </w:r>
    </w:p>
    <w:p>
      <w:pPr>
        <w:spacing w:after="0" w:line="333"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amendment;</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amendment; or</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amendment.</w:t>
      </w:r>
    </w:p>
    <w:p>
      <w:pPr>
        <w:spacing w:after="0" w:line="347" w:lineRule="exact"/>
        <w:rPr>
          <w:sz w:val="20"/>
          <w:szCs w:val="20"/>
          <w:color w:val="auto"/>
        </w:rPr>
      </w:pPr>
    </w:p>
    <w:p>
      <w:pPr>
        <w:ind w:right="20"/>
        <w:spacing w:after="0" w:line="391" w:lineRule="auto"/>
        <w:rPr>
          <w:sz w:val="20"/>
          <w:szCs w:val="20"/>
          <w:color w:val="auto"/>
        </w:rPr>
      </w:pPr>
      <w:r>
        <w:rPr>
          <w:rFonts w:ascii="Times New Roman" w:cs="Times New Roman" w:eastAsia="Times New Roman" w:hAnsi="Times New Roman"/>
          <w:sz w:val="18"/>
          <w:szCs w:val="18"/>
          <w:color w:val="auto"/>
        </w:rPr>
        <w:t>The amendment to the Purchase Plan will increase the aggregate number of shares of common stock of the Company authorized for issuance under the Purchase Plan by 200,000.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the compensation of the Company’s NEOs?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approval of the compensation of the Company’s NEOs ("Proposal Number Three"), stockholders may:</w:t>
      </w:r>
    </w:p>
    <w:p>
      <w:pPr>
        <w:spacing w:after="0" w:line="347"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compensation of the Company’s NEOs;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compensation of the Company’s NEOs; or</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compensation of the Company’s NEOs.</w:t>
      </w:r>
    </w:p>
    <w:p>
      <w:pPr>
        <w:spacing w:after="0" w:line="36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200" w:lineRule="exact"/>
        <w:rPr>
          <w:sz w:val="20"/>
          <w:szCs w:val="20"/>
          <w:color w:val="auto"/>
        </w:rPr>
      </w:pPr>
    </w:p>
    <w:p>
      <w:pPr>
        <w:ind w:right="80"/>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ratification of the appointment of EY as the Company's independent registered public accounting firm for the year ending December 31, 2025, and what vote is needed to approve this proposal?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ratification of EY ("Proposal Number Four"), stockholders may:</w:t>
      </w:r>
    </w:p>
    <w:p>
      <w:pPr>
        <w:spacing w:after="0" w:line="347"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to ratify EY's appointment;</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ratifying EY's appointment; or</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ratifying EY's appointment.</w:t>
      </w:r>
    </w:p>
    <w:p>
      <w:pPr>
        <w:spacing w:after="0" w:line="347" w:lineRule="exact"/>
        <w:rPr>
          <w:sz w:val="20"/>
          <w:szCs w:val="20"/>
          <w:color w:val="auto"/>
        </w:rPr>
      </w:pPr>
    </w:p>
    <w:p>
      <w:pPr>
        <w:ind w:right="40"/>
        <w:spacing w:after="0" w:line="383" w:lineRule="auto"/>
        <w:rPr>
          <w:sz w:val="20"/>
          <w:szCs w:val="20"/>
          <w:color w:val="auto"/>
        </w:rPr>
      </w:pPr>
      <w:r>
        <w:rPr>
          <w:rFonts w:ascii="Times New Roman" w:cs="Times New Roman" w:eastAsia="Times New Roman" w:hAnsi="Times New Roman"/>
          <w:sz w:val="18"/>
          <w:szCs w:val="18"/>
          <w:color w:val="auto"/>
        </w:rPr>
        <w:t>The approval of Proposal Number Four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343"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six nominated directors (Proposal Number One);</w:t>
      </w:r>
    </w:p>
    <w:p>
      <w:pPr>
        <w:spacing w:after="0" w:line="103" w:lineRule="exact"/>
        <w:rPr>
          <w:rFonts w:ascii="Times New Roman" w:cs="Times New Roman" w:eastAsia="Times New Roman" w:hAnsi="Times New Roman"/>
          <w:sz w:val="18"/>
          <w:szCs w:val="18"/>
          <w:color w:val="auto"/>
        </w:rPr>
      </w:pPr>
    </w:p>
    <w:p>
      <w:pPr>
        <w:ind w:left="1300" w:right="440" w:hanging="320"/>
        <w:spacing w:after="0" w:line="367"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Amendment 2 to the Priority Technology Holdings, Inc. 2021 Employee Stock Purchase Agreement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Two);</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on a non-binding basis, the compensation of our Named Executive Officers (Proposal Number Three);</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EY (Proposal Number Four).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four ways.</w:t>
      </w:r>
    </w:p>
    <w:p>
      <w:pPr>
        <w:spacing w:after="0" w:line="347" w:lineRule="exact"/>
        <w:rPr>
          <w:sz w:val="20"/>
          <w:szCs w:val="20"/>
          <w:color w:val="auto"/>
        </w:rPr>
      </w:pPr>
    </w:p>
    <w:p>
      <w:pPr>
        <w:ind w:left="660" w:right="340" w:hanging="328"/>
        <w:spacing w:after="0" w:line="3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you may vote over the Internet by completing the voting instructions form found at www.proxyvote.com. You will need your proxy card when voting over the Internet.</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you may vote by touch-tone telephone by calling 1-800-690-6903.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you may vote by mail by signing, dating, and mailing your proxy card in the enclosed envelope.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you may vote in person at the virtual Annual Meeting.</w:t>
      </w:r>
    </w:p>
    <w:p>
      <w:pPr>
        <w:spacing w:after="0" w:line="34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w:t>
      </w:r>
    </w:p>
    <w:p>
      <w:pPr>
        <w:spacing w:after="0" w:line="351"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Yes. Even after you have submitted your proxy card, you may change or revoke your vote at any time before your proxy votes your shares of stock by submitting written notice of revocation to Bradley Miller, the Company's General Counsel, Chief Risk Officer, and Corporate Secretary, at the Company's address set forth in the 2025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 If you hold your shares of stock through a broker or other custodian and would like to change your voting instructions, please review the directions provided to you by that broker or custodian.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I vote confidentially?</w:t>
      </w:r>
    </w:p>
    <w:p>
      <w:pPr>
        <w:spacing w:after="0" w:line="351" w:lineRule="exact"/>
        <w:rPr>
          <w:sz w:val="20"/>
          <w:szCs w:val="20"/>
          <w:color w:val="auto"/>
        </w:rPr>
      </w:pPr>
    </w:p>
    <w:p>
      <w:pPr>
        <w:ind w:right="140"/>
        <w:spacing w:after="0" w:line="391" w:lineRule="auto"/>
        <w:rPr>
          <w:sz w:val="20"/>
          <w:szCs w:val="20"/>
          <w:color w:val="auto"/>
        </w:rPr>
      </w:pPr>
      <w:r>
        <w:rPr>
          <w:rFonts w:ascii="Times New Roman" w:cs="Times New Roman" w:eastAsia="Times New Roman" w:hAnsi="Times New Roman"/>
          <w:sz w:val="18"/>
          <w:szCs w:val="18"/>
          <w:color w:val="auto"/>
        </w:rPr>
        <w:t>Yes. Our policy is to keep your individual votes confidential, except as appropriate to meet legal requirements, to allow for the tabulation and certification of votes, or to facilitate proxy solicitation.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351"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Bradley Miller, our General Counsel, Chief Risk Officer, and Corporate Secretary, will count the votes and act as the inspector of election for the Annual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351" w:lineRule="exact"/>
        <w:rPr>
          <w:sz w:val="20"/>
          <w:szCs w:val="20"/>
          <w:color w:val="auto"/>
        </w:rPr>
      </w:pPr>
    </w:p>
    <w:p>
      <w:pPr>
        <w:spacing w:after="0" w:line="407"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and publish final results in our current report on Form 8-K within four business days after the Annual Meeting.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"householding" of the Annual Meeting materials?</w:t>
      </w:r>
    </w:p>
    <w:p>
      <w:pPr>
        <w:spacing w:after="0" w:line="351"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2025 Notice of Annual Meeting or by calling us at (404) 952-2107.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I obtain a copy of the Company's Annual Report?</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copy of our 2024 Annual Report on Form 10-K (the "Annual Report") is available at www.prioritycommerce.com. Stockholders may also obtain a free copy of our Annual Report by sending a request in writing to Bradley Miller at the Company's address set forth in the 2025 Notice of Annual Meeting or by calling us at (404) 952-2107.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351"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If you have any questions about the Annual Meeting or how to submit or revoke your proxy, or to request an invitation to the Annual Meeting, contact Bradley Miller at the Company's address set forth in the 2025 Notice of Annual Meeting or by calling us at (404) 952-2107.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BOARD OF DIRECTORS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executive officers and directors, as of the date of this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Age</w:t>
            </w:r>
          </w:p>
        </w:tc>
        <w:tc>
          <w:tcPr>
            <w:tcW w:w="7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56</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O’Leary</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52</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Kiewiet</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52</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Bradley Miller</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54</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Counsel, Chief Risk Officer, and Corporate Secretary</w:t>
            </w: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Ranjana Ram</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42</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56</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65</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57</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Clayton Main</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46</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58</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320"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8"/>
          <w:szCs w:val="18"/>
          <w:b w:val="1"/>
          <w:bCs w:val="1"/>
          <w:color w:val="auto"/>
        </w:rPr>
        <w:t xml:space="preserve">Thomas Priore </w:t>
      </w:r>
      <w:r>
        <w:rPr>
          <w:rFonts w:ascii="Times New Roman" w:cs="Times New Roman" w:eastAsia="Times New Roman" w:hAnsi="Times New Roman"/>
          <w:sz w:val="18"/>
          <w:szCs w:val="18"/>
          <w:color w:val="auto"/>
        </w:rPr>
        <w:t>has served as Chairman and Chief Executive Officer since December 2018 and as Executive Chairman and founding member of 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August 2005 through November 2018. Under Mr. Priore's strategic direction, Priority has grown from a founder-financed technology startup to become the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largest non-bank merchant acquirer in the U.S. by volume, according to the Nilson Report issued in March 2024. Priority is a solutions provider in Payments and BaaS industry, operating at scale with 1.2 million customer accounts across its SMB, B2B and Enterprise customers channels. Priority processes $130 billion in annual transaction activity while administering approximately $1.2 billion in account balances.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w:t>
      </w:r>
    </w:p>
    <w:p>
      <w:pPr>
        <w:spacing w:after="0" w:line="192"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8"/>
          <w:szCs w:val="18"/>
          <w:b w:val="1"/>
          <w:bCs w:val="1"/>
          <w:color w:val="222222"/>
        </w:rPr>
        <w:t xml:space="preserve">Tim O’Leary </w:t>
      </w:r>
      <w:r>
        <w:rPr>
          <w:rFonts w:ascii="Times New Roman" w:cs="Times New Roman" w:eastAsia="Times New Roman" w:hAnsi="Times New Roman"/>
          <w:sz w:val="18"/>
          <w:szCs w:val="18"/>
          <w:color w:val="222222"/>
        </w:rPr>
        <w:t>has served as Chief Financial Officer of Priority since September 2022. Mr. O’Leary has over 20 years of capital markets and banking</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experience, primarily in the technology sector. Prior to joining Priority, Mr. O’Leary most recently served as Managing Director and Group Head of the Technology, Media and Telecom leveraged finance team at Truist Securities where he led financings for numerous payment and technology companies – including Priority. Mr. O’Leary holds an MBA from the Kelley School of Business at Indiana University and a B.A. in Business Administration from Northern Arizona University.</w:t>
      </w:r>
    </w:p>
    <w:p>
      <w:pPr>
        <w:spacing w:after="0" w:line="174"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17"/>
          <w:szCs w:val="17"/>
          <w:b w:val="1"/>
          <w:bCs w:val="1"/>
          <w:color w:val="auto"/>
        </w:rPr>
        <w:t xml:space="preserve">Sean Kiewiet </w:t>
      </w:r>
      <w:r>
        <w:rPr>
          <w:rFonts w:ascii="Times New Roman" w:cs="Times New Roman" w:eastAsia="Times New Roman" w:hAnsi="Times New Roman"/>
          <w:sz w:val="17"/>
          <w:szCs w:val="17"/>
          <w:color w:val="auto"/>
        </w:rPr>
        <w:t>has served as Chief Strategy Officer since 2022 and co-founded Priority after serving as the Director of Technology for Cornerstone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Systems. Mr. Kiewiet served as Chief Technology Officer of Priority from August 2005 until December 2021.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Bradley Miller </w:t>
      </w:r>
      <w:r>
        <w:rPr>
          <w:rFonts w:ascii="Times New Roman" w:cs="Times New Roman" w:eastAsia="Times New Roman" w:hAnsi="Times New Roman"/>
          <w:sz w:val="18"/>
          <w:szCs w:val="18"/>
          <w:color w:val="222222"/>
        </w:rPr>
        <w:t>has served as Priority’s General Counsel and Chief Risk Officer since February 2020. Mr. Miller has over 25 years of legal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industry experience having served as EVP, General Counsel, and Chief Risk Officer of United Community Banks, Inc. for over 12 years, responsible for the oversight of all legal, compliance, and enterprise risk functions. Prior to that, Mr. Miller began his career with the international firm of Kilpatrick Stockton LLP (now Kilpatrick Townsend LLP) focusing his practice on consumer and commercial litigation, privacy, and regulatory matters. Mr. Miller is responsible for all facets of Priority’s legal, risk, and compliance functions.</w:t>
      </w:r>
    </w:p>
    <w:p>
      <w:pPr>
        <w:spacing w:after="0" w:line="191"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8"/>
          <w:szCs w:val="18"/>
          <w:b w:val="1"/>
          <w:bCs w:val="1"/>
          <w:color w:val="222222"/>
        </w:rPr>
        <w:t xml:space="preserve">Ranjana Ram </w:t>
      </w:r>
      <w:r>
        <w:rPr>
          <w:rFonts w:ascii="Times New Roman" w:cs="Times New Roman" w:eastAsia="Times New Roman" w:hAnsi="Times New Roman"/>
          <w:sz w:val="18"/>
          <w:szCs w:val="18"/>
          <w:color w:val="222222"/>
        </w:rPr>
        <w:t>serves as Chief Operating Officer at Priority. Ms. Ram is a CFA charterholder and has been focused on executing on strategic growth and</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investment 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333"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Marc Crisafulli </w:t>
      </w:r>
      <w:r>
        <w:rPr>
          <w:rFonts w:ascii="Times New Roman" w:cs="Times New Roman" w:eastAsia="Times New Roman" w:hAnsi="Times New Roman"/>
          <w:sz w:val="18"/>
          <w:szCs w:val="18"/>
          <w:color w:val="auto"/>
        </w:rPr>
        <w:t>is an experienced executive and has over 30 years in legal, compliance and regulatory governance roles with various companies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a director of Priority in 2022. Mr. Crisafulli is currently Counsel at Nixon Peabody and serves as chair of Bally Corporation's Rhode Island Board, director for Pavillion Payments and chair of Rhode Island's I-195 Redevelopment District Commission. Prior to that, Mr. Crisafulli served as Executive Vice President, Government Relations, Legal and Regulatory at Bally’s Corporation. Mr. Crisafulli has also held senior leadership roles with Brightstar Corporation and Suffolk Construction Company and was managing partner at Hinkley Allen &amp; Snyder.</w:t>
      </w:r>
    </w:p>
    <w:p>
      <w:pPr>
        <w:spacing w:after="0" w:line="177"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Marietta Davis </w:t>
      </w:r>
      <w:r>
        <w:rPr>
          <w:rFonts w:ascii="Times New Roman" w:cs="Times New Roman" w:eastAsia="Times New Roman" w:hAnsi="Times New Roman"/>
          <w:sz w:val="18"/>
          <w:szCs w:val="18"/>
          <w:color w:val="auto"/>
        </w:rPr>
        <w:t>has served as a director of Priority since January 2021. Ms. Davis worked for IBM where she was the worldwide Vice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for the Accenture relationship where she led a global team focusing on growing IBM’s Cloud and Cognitive Application portfolio. Prior to joining IBM, Ms. Davis spent 17 years at Microsoft Corporation in a variety of leadership roles. Ms. Davis also serves in an advisory board role for The Posse Foundation, a non-profit organization that identifies, trains and mentors young, diverse leaders as they navigate college and enter the workforce.</w:t>
      </w:r>
    </w:p>
    <w:p>
      <w:pPr>
        <w:spacing w:after="0" w:line="171"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b w:val="1"/>
          <w:bCs w:val="1"/>
          <w:color w:val="auto"/>
        </w:rPr>
        <w:t xml:space="preserve">Christina Favilla </w:t>
      </w:r>
      <w:r>
        <w:rPr>
          <w:rFonts w:ascii="Times New Roman" w:cs="Times New Roman" w:eastAsia="Times New Roman" w:hAnsi="Times New Roman"/>
          <w:sz w:val="18"/>
          <w:szCs w:val="18"/>
          <w:color w:val="auto"/>
        </w:rPr>
        <w:t>has served as a director of Priority since October 2019. She previously served as Chief Operating Officer of Sterling National Bank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2017 until December 2018 and as Chief Operating Officer of GE Capital’s lending and leasing business from February 2012 until June 2017. Prior to 2012, she served as President of Discover Bank for six years. She currently serves as a board member of a privately held fintech company and Opportunity Financial (NYSE: OPFI), a specialty consumer finance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178"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8"/>
          <w:szCs w:val="18"/>
          <w:b w:val="1"/>
          <w:bCs w:val="1"/>
          <w:color w:val="auto"/>
        </w:rPr>
        <w:t xml:space="preserve">Clayton Main </w:t>
      </w:r>
      <w:r>
        <w:rPr>
          <w:rFonts w:ascii="Times New Roman" w:cs="Times New Roman" w:eastAsia="Times New Roman" w:hAnsi="Times New Roman"/>
          <w:sz w:val="18"/>
          <w:szCs w:val="18"/>
          <w:color w:val="auto"/>
        </w:rPr>
        <w:t>is a seasoned financial executive with over two decades of experience in investment management, structured finance, and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Partner and Investment Committee member at Bregal Sagemount, he helps oversee $7.5 billion in capital across multiple fund strategies, with a focus on senior debt, junior debt, and structured equity investments in the software, financial technology, and business services sectors. Before joining Bregal Sagemount, Clayton spent 12 years at Goldman, Sachs &amp; Co., where he was a founding member of the Goldman Sachs Specialty Lending Group. In this role, he led business development efforts in the Southwest U.S. and was responsible for originating, structuring, and managing leveraged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transactions across various industries. Clayton holds a BBA from Southern Methodist University, where he graduated Magna Cum Laude with Honors in Business.</w:t>
      </w:r>
    </w:p>
    <w:p>
      <w:pPr>
        <w:spacing w:after="0" w:line="186"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Michael Passilla </w:t>
      </w:r>
      <w:r>
        <w:rPr>
          <w:rFonts w:ascii="Times New Roman" w:cs="Times New Roman" w:eastAsia="Times New Roman" w:hAnsi="Times New Roman"/>
          <w:sz w:val="18"/>
          <w:szCs w:val="18"/>
          <w:color w:val="auto"/>
        </w:rPr>
        <w:t>has served as a director of Priority since June 2019. Mr. Passilla served as Vice Chairman for JP Morgan Chase &amp; Company from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until his retirement in June 2018, after serving as Chief Executive Officer of Chase Merchant Services from May 2013 to June 2016. He previously served as Chief Executive Officer of Elavon - US Bank, Inc. from August 2010 to April 2013, after serving as EVP of Global Business Development since August 2007. Mr. Passilla received a Bachelor of Business Administration from the University of Notre Dame and an MBA from Northwestern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32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www.prioritycommerce.com.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324"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Currently, the positions of Chairman and Chief Executive Officer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spacing w:after="0" w:line="170"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3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As a result of our common stock being listed on the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Crisafulli, Davis, Favilla, Main, and Passilla, are independent directors. Our independent directors have regularly scheduled meetings at which only independent directors are present.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337" w:lineRule="exact"/>
        <w:rPr>
          <w:sz w:val="20"/>
          <w:szCs w:val="20"/>
          <w:color w:val="auto"/>
        </w:rPr>
      </w:pPr>
    </w:p>
    <w:p>
      <w:pPr>
        <w:jc w:val="both"/>
        <w:ind w:right="20"/>
        <w:spacing w:after="0" w:line="375" w:lineRule="auto"/>
        <w:rPr>
          <w:sz w:val="20"/>
          <w:szCs w:val="20"/>
          <w:color w:val="auto"/>
        </w:rPr>
      </w:pPr>
      <w:r>
        <w:rPr>
          <w:rFonts w:ascii="Times New Roman" w:cs="Times New Roman" w:eastAsia="Times New Roman" w:hAnsi="Times New Roman"/>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providing those persons to be nominated: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319" w:lineRule="exact"/>
        <w:rPr>
          <w:rFonts w:ascii="Times New Roman" w:cs="Times New Roman" w:eastAsia="Times New Roman" w:hAnsi="Times New Roman"/>
          <w:sz w:val="18"/>
          <w:szCs w:val="18"/>
          <w:color w:val="auto"/>
        </w:rPr>
      </w:pPr>
    </w:p>
    <w:p>
      <w:pPr>
        <w:ind w:left="660" w:hanging="328"/>
        <w:spacing w:after="0" w:line="39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 of stockholders.</w:t>
      </w:r>
    </w:p>
    <w:p>
      <w:pPr>
        <w:spacing w:after="0" w:line="320"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2025 Notice of Annual Meeting. The Nominating and Governance Committee does not distinguish among nominees recommended by stockholders and other persons.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and Interested Party Communications</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Directors' Liability</w:t>
      </w:r>
    </w:p>
    <w:p>
      <w:pPr>
        <w:spacing w:after="0" w:line="324"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color w:val="auto"/>
        </w:rPr>
        <w:t>Our certificate of incorporation and bylaws will indemnify our directors to the fullest extent permitted by the Delaware General Corporation Law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324"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Our Board met six times during 2024. Also during 2024, the Audit Committee met four times, the Nominating and Governance Committee met once, and the Compensation Committee met twice. All of our then directors attended all of the Board meetings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during 2024 and all of our then members of the Audit Committee, the Nominating and Governance Committee, and the Compensation Committee attended all of the respective committee meetings during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Attendance at Annual Meetings of Stockholders</w:t>
      </w:r>
    </w:p>
    <w:p>
      <w:pPr>
        <w:spacing w:after="0" w:line="324"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sessions of non-management directors are held regularly throughout the year.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324"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Our Board has the following standing committees: Audit Committee, Compensation Committee, and Nominating and Governance Committee. The charters for each committee are available in the investor relations section of our website at www.prioritycommerce.com or in print by contacting Mr. Miller at the Company's address. The Board may also establish other committees to assist in the discharge of its responsibilities.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identifies the committee members and committee chairperson (as indicated by a "C") as of the date of this Proxy Statement: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0" w:type="dxa"/>
            <w:vAlign w:val="bottom"/>
          </w:tcPr>
          <w:p>
            <w:pPr>
              <w:spacing w:after="0"/>
              <w:rPr>
                <w:sz w:val="1"/>
                <w:szCs w:val="1"/>
                <w:color w:val="auto"/>
              </w:rPr>
            </w:pPr>
          </w:p>
        </w:tc>
      </w:tr>
      <w:tr>
        <w:trPr>
          <w:trHeight w:val="243"/>
        </w:trPr>
        <w:tc>
          <w:tcPr>
            <w:tcW w:w="5000" w:type="dxa"/>
            <w:vAlign w:val="bottom"/>
            <w:gridSpan w:val="2"/>
            <w:vMerge w:val="continue"/>
          </w:tcPr>
          <w:p>
            <w:pPr>
              <w:spacing w:after="0"/>
              <w:rPr>
                <w:sz w:val="21"/>
                <w:szCs w:val="21"/>
                <w:color w:val="auto"/>
              </w:rPr>
            </w:pPr>
          </w:p>
        </w:tc>
        <w:tc>
          <w:tcPr>
            <w:tcW w:w="2120" w:type="dxa"/>
            <w:vAlign w:val="bottom"/>
            <w:gridSpan w:val="2"/>
            <w:vMerge w:val="continue"/>
          </w:tcPr>
          <w:p>
            <w:pPr>
              <w:spacing w:after="0"/>
              <w:rPr>
                <w:sz w:val="21"/>
                <w:szCs w:val="21"/>
                <w:color w:val="auto"/>
              </w:rPr>
            </w:pPr>
          </w:p>
        </w:tc>
        <w:tc>
          <w:tcPr>
            <w:tcW w:w="2100" w:type="dxa"/>
            <w:vAlign w:val="bottom"/>
            <w:gridSpan w:val="2"/>
            <w:vMerge w:val="continue"/>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0" w:type="dxa"/>
            <w:vAlign w:val="bottom"/>
          </w:tcPr>
          <w:p>
            <w:pPr>
              <w:spacing w:after="0"/>
              <w:rPr>
                <w:sz w:val="1"/>
                <w:szCs w:val="1"/>
                <w:color w:val="auto"/>
              </w:rPr>
            </w:pPr>
          </w:p>
        </w:tc>
      </w:tr>
      <w:tr>
        <w:trPr>
          <w:trHeight w:val="223"/>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 *</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Favilla *</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Clayton Main *</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Passilla *</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right="9600" w:firstLine="8"/>
        <w:spacing w:after="0" w:line="610"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 director </w:t>
      </w:r>
      <w:r>
        <w:rPr>
          <w:rFonts w:ascii="Times New Roman" w:cs="Times New Roman" w:eastAsia="Times New Roman" w:hAnsi="Times New Roman"/>
          <w:sz w:val="18"/>
          <w:szCs w:val="18"/>
          <w:u w:val="single" w:color="auto"/>
          <w:color w:val="auto"/>
        </w:rPr>
        <w:t>Audit Committee</w:t>
      </w:r>
    </w:p>
    <w:p>
      <w:pPr>
        <w:spacing w:after="0" w:line="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The Board has established an Audit Committee comprised of independent directors. The Audit Committee consists of Michael Passilla, Marc Crisafulli, Marietta Davis, and Christina Favilla, and Clayton Main,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registered public accountants, review the results and scope of the audit and other accounting related services and review our accounting practices and systems of internal accounting and disclosure controls.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Passilla serves as the financial expert on the Audit Committee.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Committee</w:t>
      </w:r>
    </w:p>
    <w:p>
      <w:pPr>
        <w:spacing w:after="0" w:line="320"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The Board has established a Compensation Committee consisting of Marc Crisafulli, Marietta Davis, Christina Favilla, Clayton Main and Michael Passilla, with Mr. Crisafulli as the chairman of the Compensation Committee.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Nominating and Governance Committee</w:t>
      </w:r>
    </w:p>
    <w:p>
      <w:pPr>
        <w:spacing w:after="0" w:line="32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Board has established a Nominating and Governance Committee comprised of Christina Favilla, Marc Crisafulli, Marietta Davis, Clayton Main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00" w:lineRule="exact"/>
        <w:rPr>
          <w:sz w:val="20"/>
          <w:szCs w:val="20"/>
          <w:color w:val="auto"/>
        </w:rPr>
      </w:pPr>
    </w:p>
    <w:p>
      <w:pPr>
        <w:spacing w:after="0" w:line="205"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w:t>
      </w:r>
    </w:p>
    <w:p>
      <w:pPr>
        <w:spacing w:after="0" w:line="210"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w:t>
      </w:r>
    </w:p>
    <w:p>
      <w:pPr>
        <w:spacing w:after="0" w:line="209"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Based upon the review and discussions described in the preceding paragraph, the Audit Committee recommended to the Board that the audited financial statements of the Company be included in its Annual Report on Form 10-K for the year ended December 31, 2024, filed with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Company's Board of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Passilla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Crisafulli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Davis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Favilla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Clayton 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The following had late Form 4s: Ranjana Ram (2), Bradley Miller (2), Sean Kiewiet (1), Thomas Priore (1). All Form 4s have since been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Priority has opted to comply with the executive compensation disclosure rules applicable to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NEOs for Priority's year ended December 31, 2024 were:</w:t>
      </w:r>
    </w:p>
    <w:p>
      <w:pPr>
        <w:spacing w:after="0" w:line="32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Priore, its Chairman and Chief Executive Officer;</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O’Leary, its Chief Financial Officer</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Ranjana Ram, its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Compensation Table, ("SCT") presents summary information regarding the total compensation for Priority's years ended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for the Named Executive Officers: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7"/>
                <w:szCs w:val="17"/>
                <w:color w:val="auto"/>
              </w:rPr>
            </w:pPr>
          </w:p>
        </w:tc>
        <w:tc>
          <w:tcPr>
            <w:tcW w:w="8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20" w:type="dxa"/>
            <w:vAlign w:val="bottom"/>
          </w:tcPr>
          <w:p>
            <w:pPr>
              <w:spacing w:after="0"/>
              <w:rPr>
                <w:sz w:val="17"/>
                <w:szCs w:val="17"/>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8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Pr>
          <w:p>
            <w:pPr>
              <w:spacing w:after="0"/>
              <w:rPr>
                <w:sz w:val="10"/>
                <w:szCs w:val="10"/>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200" w:type="dxa"/>
            <w:vAlign w:val="bottom"/>
          </w:tcPr>
          <w:p>
            <w:pPr>
              <w:spacing w:after="0"/>
              <w:rPr>
                <w:sz w:val="10"/>
                <w:szCs w:val="10"/>
                <w:color w:val="auto"/>
              </w:rPr>
            </w:pPr>
          </w:p>
        </w:tc>
        <w:tc>
          <w:tcPr>
            <w:tcW w:w="8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Bonus $</w:t>
            </w:r>
          </w:p>
        </w:tc>
        <w:tc>
          <w:tcPr>
            <w:tcW w:w="160" w:type="dxa"/>
            <w:vAlign w:val="bottom"/>
          </w:tcPr>
          <w:p>
            <w:pPr>
              <w:spacing w:after="0"/>
              <w:rPr>
                <w:sz w:val="10"/>
                <w:szCs w:val="10"/>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0"/>
                <w:szCs w:val="10"/>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tc>
        <w:tc>
          <w:tcPr>
            <w:tcW w:w="200" w:type="dxa"/>
            <w:vAlign w:val="bottom"/>
          </w:tcPr>
          <w:p>
            <w:pPr>
              <w:spacing w:after="0"/>
              <w:rPr>
                <w:sz w:val="10"/>
                <w:szCs w:val="10"/>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Awards $</w:t>
            </w:r>
          </w:p>
        </w:tc>
        <w:tc>
          <w:tcPr>
            <w:tcW w:w="136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Compensation $</w:t>
            </w:r>
            <w:r>
              <w:rPr>
                <w:rFonts w:ascii="Times New Roman" w:cs="Times New Roman" w:eastAsia="Times New Roman" w:hAnsi="Times New Roman"/>
                <w:sz w:val="21"/>
                <w:szCs w:val="21"/>
                <w:b w:val="1"/>
                <w:bCs w:val="1"/>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Thomas Priore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1,369,566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420,500</w:t>
            </w:r>
          </w:p>
        </w:tc>
        <w:tc>
          <w:tcPr>
            <w:tcW w:w="2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33,833</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3,623,899</w:t>
            </w:r>
          </w:p>
        </w:tc>
        <w:tc>
          <w:tcPr>
            <w:tcW w:w="0" w:type="dxa"/>
            <w:vAlign w:val="bottom"/>
          </w:tcPr>
          <w:p>
            <w:pPr>
              <w:spacing w:after="0"/>
              <w:rPr>
                <w:sz w:val="1"/>
                <w:szCs w:val="1"/>
                <w:color w:val="auto"/>
              </w:rPr>
            </w:pPr>
          </w:p>
        </w:tc>
      </w:tr>
      <w:tr>
        <w:trPr>
          <w:trHeight w:val="155"/>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and Chairman</w:t>
            </w:r>
          </w:p>
        </w:tc>
        <w:tc>
          <w:tcPr>
            <w:tcW w:w="84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680" w:type="dxa"/>
            <w:vAlign w:val="bottom"/>
            <w:vMerge w:val="continue"/>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1,380,265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299,039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327,439</w:t>
            </w:r>
          </w:p>
        </w:tc>
        <w:tc>
          <w:tcPr>
            <w:tcW w:w="2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27,790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3,234,533</w:t>
            </w: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O'Leary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1,273,800</w:t>
            </w:r>
          </w:p>
        </w:tc>
        <w:tc>
          <w:tcPr>
            <w:tcW w:w="0" w:type="dxa"/>
            <w:vAlign w:val="bottom"/>
          </w:tcPr>
          <w:p>
            <w:pPr>
              <w:spacing w:after="0"/>
              <w:rPr>
                <w:sz w:val="1"/>
                <w:szCs w:val="1"/>
                <w:color w:val="auto"/>
              </w:rPr>
            </w:pPr>
          </w:p>
        </w:tc>
      </w:tr>
      <w:tr>
        <w:trPr>
          <w:trHeight w:val="237"/>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1,273,200</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Ranjana Ram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1,863,400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2,439,700</w:t>
            </w:r>
          </w:p>
        </w:tc>
        <w:tc>
          <w:tcPr>
            <w:tcW w:w="0" w:type="dxa"/>
            <w:vAlign w:val="bottom"/>
          </w:tcPr>
          <w:p>
            <w:pPr>
              <w:spacing w:after="0"/>
              <w:rPr>
                <w:sz w:val="1"/>
                <w:szCs w:val="1"/>
                <w:color w:val="auto"/>
              </w:rPr>
            </w:pPr>
          </w:p>
        </w:tc>
      </w:tr>
      <w:tr>
        <w:trPr>
          <w:trHeight w:val="237"/>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575,700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Reflects medical insurance premiums paid by the Company on behalf of Mr. Priore, and 401(k) matching contributions for Mr. O'Leary and Ms. Ram</w:t>
      </w:r>
    </w:p>
    <w:p>
      <w:pPr>
        <w:ind w:left="320" w:hanging="312"/>
        <w:spacing w:after="0" w:line="182" w:lineRule="auto"/>
        <w:tabs>
          <w:tab w:leader="none" w:pos="32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Non-equity compensation represents the earned cash portion of the long-term incentive granted on March 22, 2023, vesting over two years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Thomas Priore</w:t>
      </w:r>
    </w:p>
    <w:p>
      <w:pPr>
        <w:spacing w:after="0" w:line="322"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387" w:lineRule="auto"/>
        <w:rPr>
          <w:sz w:val="20"/>
          <w:szCs w:val="20"/>
          <w:color w:val="auto"/>
        </w:rPr>
      </w:pPr>
      <w:r>
        <w:rPr>
          <w:rFonts w:ascii="Times New Roman" w:cs="Times New Roman" w:eastAsia="Times New Roman" w:hAnsi="Times New Roman"/>
          <w:sz w:val="18"/>
          <w:szCs w:val="18"/>
          <w:color w:val="auto"/>
        </w:rPr>
        <w:t>independent contractor. Effective December 1, 2018, he also became our Chief Executive Officer. As Chief Executive Officer, the Compensation Committee set performance goals for Mr. Priore based upon revenue, adjusted EBITDA (a non-GAAP measure), and personal performance goals for determining his short-term and long-term incentive. Mr. Priore’s annual short-term incentive bonus target is 100% of his base salary and his annual long-term incentive bonus target is 200% of his base salary. Given the Company’s performance and Mr. Priore’s leadership and meaningful contributions, the 2024 annual short-term incentive bonus and long-term incentive bonus were achieved by Mr. Priore at 114% of his target.</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Tim O’Leary</w:t>
      </w:r>
    </w:p>
    <w:p>
      <w:pPr>
        <w:spacing w:after="0" w:line="322"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Mr. O’Leary is eligible for an annual discretionary bonus at a target of up to 65% of his base salary and an annual long-term incentive award of up to $600,000 worth of RSUs. As a result of his meaningful contributions, Mr. O’Leary was awarded an annual incentive bonus in the amount of $260,000. Mr. O'Leary also received an award of 94,488 RSUs, which shall vest equally on the anniversary date over three years.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Ms. Ranjana Ram</w:t>
      </w:r>
    </w:p>
    <w:p>
      <w:pPr>
        <w:spacing w:after="0" w:line="362" w:lineRule="exact"/>
        <w:rPr>
          <w:sz w:val="20"/>
          <w:szCs w:val="20"/>
          <w:color w:val="auto"/>
        </w:rPr>
      </w:pPr>
    </w:p>
    <w:p>
      <w:pPr>
        <w:jc w:val="both"/>
        <w:ind w:right="20"/>
        <w:spacing w:after="0" w:line="430" w:lineRule="auto"/>
        <w:rPr>
          <w:sz w:val="20"/>
          <w:szCs w:val="20"/>
          <w:color w:val="auto"/>
        </w:rPr>
      </w:pPr>
      <w:r>
        <w:rPr>
          <w:rFonts w:ascii="Times New Roman" w:cs="Times New Roman" w:eastAsia="Times New Roman" w:hAnsi="Times New Roman"/>
          <w:sz w:val="18"/>
          <w:szCs w:val="18"/>
          <w:color w:val="auto"/>
        </w:rPr>
        <w:t>Ms. Ram is eligible for a discretionary target bonus of up to 50% of her base salary. Additionally, Ms. Ram may be awarded equity grants from time to time in the discretion of the Compensation Committee. As a result of her meaningful contributions, Ms. Ram was awarded an annual incentive bonus in the amount of $187,500. Ms. Ram also received an award of 385,000 RSUs, which shall vest equally on the anniversary date over three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3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Priority maintains a tax-qualified 401(k) defined contribution plan available to substantially all of our employees. The 401(k) plan is available on the same terms to all of its U.S. employees, including Mr. O'Leary and Ms. Ram. Mr. Priore does not participate in the plan. Each participant may elect to make a voluntary contribution of an amount between 0% to 100% of their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324" w:lineRule="exact"/>
        <w:rPr>
          <w:sz w:val="20"/>
          <w:szCs w:val="20"/>
          <w:color w:val="auto"/>
        </w:rPr>
      </w:pPr>
    </w:p>
    <w:p>
      <w:pPr>
        <w:jc w:val="both"/>
        <w:ind w:right="20"/>
        <w:spacing w:after="0" w:line="407" w:lineRule="auto"/>
        <w:rPr>
          <w:sz w:val="20"/>
          <w:szCs w:val="20"/>
          <w:color w:val="auto"/>
        </w:rPr>
      </w:pPr>
      <w:r>
        <w:rPr>
          <w:rFonts w:ascii="Times New Roman" w:cs="Times New Roman" w:eastAsia="Times New Roman" w:hAnsi="Times New Roman"/>
          <w:sz w:val="18"/>
          <w:szCs w:val="18"/>
          <w:color w:val="auto"/>
        </w:rPr>
        <w:t>The following Pay Versus Performance ("PVP") tables set forth compensation information for our PEO and non-PEO NEOs in accordance with SEC guidance for the years ended December 31, 2024, 2023 and 2022.</w:t>
      </w:r>
    </w:p>
    <w:p>
      <w:pPr>
        <w:sectPr>
          <w:pgSz w:w="11900" w:h="16838" w:orient="portrait"/>
          <w:cols w:equalWidth="0" w:num="1">
            <w:col w:w="11240"/>
          </w:cols>
          <w:pgMar w:left="320" w:top="162" w:right="339" w:bottom="1440" w:gutter="0" w:footer="0" w:header="0"/>
        </w:sectPr>
      </w:pP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2440" w:type="dxa"/>
            <w:vAlign w:val="bottom"/>
            <w:vMerge w:val="restart"/>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4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140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0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4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4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90"/>
        </w:trPr>
        <w:tc>
          <w:tcPr>
            <w:tcW w:w="1400" w:type="dxa"/>
            <w:vAlign w:val="bottom"/>
            <w:vMerge w:val="continue"/>
          </w:tcPr>
          <w:p>
            <w:pPr>
              <w:spacing w:after="0"/>
              <w:rPr>
                <w:sz w:val="16"/>
                <w:szCs w:val="16"/>
                <w:color w:val="auto"/>
              </w:rPr>
            </w:pPr>
          </w:p>
        </w:tc>
        <w:tc>
          <w:tcPr>
            <w:tcW w:w="24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Total for PEO ($)(b)</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 ($)(d)</w:t>
            </w:r>
          </w:p>
        </w:tc>
        <w:tc>
          <w:tcPr>
            <w:tcW w:w="14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PEO NEOs ($)(e)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0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0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3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Net Income (loss) ($</w:t>
            </w:r>
          </w:p>
        </w:tc>
        <w:tc>
          <w:tcPr>
            <w:tcW w:w="0" w:type="dxa"/>
            <w:vAlign w:val="bottom"/>
          </w:tcPr>
          <w:p>
            <w:pPr>
              <w:spacing w:after="0"/>
              <w:rPr>
                <w:sz w:val="1"/>
                <w:szCs w:val="1"/>
                <w:color w:val="auto"/>
              </w:rPr>
            </w:pPr>
          </w:p>
        </w:tc>
      </w:tr>
      <w:tr>
        <w:trPr>
          <w:trHeight w:val="146"/>
        </w:trPr>
        <w:tc>
          <w:tcPr>
            <w:tcW w:w="140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 Return</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($)(f)</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thousands)(g)</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220" w:space="120"/>
            <w:col w:w="2900"/>
          </w:cols>
          <w:pgMar w:left="320" w:top="162" w:right="339" w:bottom="1440" w:gutter="0" w:footer="0" w:header="0"/>
          <w:type w:val="continuous"/>
        </w:sectPr>
      </w:pPr>
    </w:p>
    <w:tbl>
      <w:tblPr>
        <w:tblLayout w:type="fixed"/>
        <w:tblInd w:w="120" w:type="dxa"/>
        <w:tblCellMar>
          <w:top w:w="0" w:type="dxa"/>
          <w:left w:w="0" w:type="dxa"/>
          <w:bottom w:w="0" w:type="dxa"/>
          <w:right w:w="0" w:type="dxa"/>
        </w:tblCellMar>
      </w:tblPr>
      <w:tr>
        <w:trPr>
          <w:trHeight w:val="219"/>
        </w:trPr>
        <w:tc>
          <w:tcPr>
            <w:tcW w:w="140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3,623,899</w:t>
            </w: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5,694,847</w:t>
            </w:r>
          </w:p>
        </w:tc>
        <w:tc>
          <w:tcPr>
            <w:tcW w:w="4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1,856,750</w:t>
            </w: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6,723,595</w:t>
            </w: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24,015</w:t>
            </w:r>
          </w:p>
        </w:tc>
      </w:tr>
      <w:tr>
        <w:trPr>
          <w:trHeight w:val="214"/>
        </w:trPr>
        <w:tc>
          <w:tcPr>
            <w:tcW w:w="140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3,234,533</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3,145,262</w:t>
            </w:r>
          </w:p>
        </w:tc>
        <w:tc>
          <w:tcPr>
            <w:tcW w:w="4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924,450</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376,895</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(1,311)</w:t>
            </w:r>
          </w:p>
        </w:tc>
      </w:tr>
      <w:tr>
        <w:trPr>
          <w:trHeight w:val="218"/>
        </w:trPr>
        <w:tc>
          <w:tcPr>
            <w:tcW w:w="140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2,138,305</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1,959,569</w:t>
            </w:r>
          </w:p>
        </w:tc>
        <w:tc>
          <w:tcPr>
            <w:tcW w:w="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953,909</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(352,720)</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(2,150)</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from the Summary Compensation Table for the Company's PEO, Thomas Priore for 2024, 2023 and 2022.</w:t>
      </w:r>
    </w:p>
    <w:p>
      <w:pPr>
        <w:spacing w:after="0" w:line="2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actually paid to the Company's PEO, as adjusted in the table below.</w:t>
      </w:r>
    </w:p>
    <w:p>
      <w:pPr>
        <w:spacing w:after="0" w:line="9"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average summary compensation for all NEOs from the Summary Compensation Table for the named executive officers.</w:t>
      </w:r>
    </w:p>
    <w:p>
      <w:pPr>
        <w:spacing w:after="0" w:line="9"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NEOs were Timothy O'Leary and Ranjana Ram.</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NEOs were Timothy O'Leary and Bradley Miller.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NEOs were Timothy O'Leary, Bradley Miller and Michael Vollkommer, who retired from the Company in September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actually paid to the Company's NEOs, as adjusted in the tables below.</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Assumes $100 investment on December 31, 2020 in our common stock</w:t>
      </w:r>
    </w:p>
    <w:p>
      <w:pPr>
        <w:spacing w:after="0" w:line="9"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Company's net income on the consolidated statements of income reported in the Company's 2023 Annual Report on Form 10K.</w:t>
      </w:r>
    </w:p>
    <w:p>
      <w:pPr>
        <w:spacing w:after="0" w:line="220"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Deductions from, and additions to, total compensation in the Summary Compensation Table by year to calculate Compensation Actually Paid to the PEO consist of:</w:t>
      </w:r>
    </w:p>
    <w:p>
      <w:pPr>
        <w:sectPr>
          <w:pgSz w:w="11900" w:h="16838" w:orient="portrait"/>
          <w:cols w:equalWidth="0" w:num="1">
            <w:col w:w="11240"/>
          </w:cols>
          <w:pgMar w:left="320" w:top="162" w:right="339" w:bottom="1440" w:gutter="0" w:footer="0" w:header="0"/>
        </w:sect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Summary Compensation Table Total for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2343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10" w:lineRule="exact"/>
        <w:rPr>
          <w:sz w:val="20"/>
          <w:szCs w:val="20"/>
          <w:color w:val="auto"/>
        </w:rPr>
      </w:pPr>
    </w:p>
    <w:p>
      <w:pPr>
        <w:ind w:left="20" w:right="90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Adjustments to Determine Compensation "Actually Paid" for PEO </w:t>
      </w:r>
      <w:r>
        <w:rPr>
          <w:rFonts w:ascii="Times New Roman" w:cs="Times New Roman" w:eastAsia="Times New Roman" w:hAnsi="Times New Roman"/>
          <w:sz w:val="16"/>
          <w:szCs w:val="16"/>
          <w:color w:val="auto"/>
        </w:rPr>
        <w:t>Deductions for amounts reported under the "Stock Awards" column in the SCT Fair value of awards granted during the year that remain outstanding at year end Change in fair value of awards granted in prior years that remain outstanding at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234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234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ind w:left="20"/>
        <w:spacing w:after="0" w:line="245" w:lineRule="auto"/>
        <w:rPr>
          <w:sz w:val="20"/>
          <w:szCs w:val="20"/>
          <w:color w:val="auto"/>
        </w:rPr>
      </w:pPr>
      <w:r>
        <w:rPr>
          <w:rFonts w:ascii="Times New Roman" w:cs="Times New Roman" w:eastAsia="Times New Roman" w:hAnsi="Times New Roman"/>
          <w:sz w:val="16"/>
          <w:szCs w:val="16"/>
          <w:color w:val="auto"/>
        </w:rPr>
        <w:t>Change in fair value from the end of the prior year to the vesting date for awards granted in prior years and vested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2343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 compensation actually paid for PEO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3,623,899</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3,234,533</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2,138,305</w:t>
            </w:r>
          </w:p>
        </w:tc>
      </w:tr>
      <w:tr>
        <w:trPr>
          <w:trHeight w:val="432"/>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(299,039)</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2,252,396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277,958</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426,609</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(93,113)</w:t>
            </w:r>
          </w:p>
        </w:tc>
      </w:tr>
      <w:tr>
        <w:trPr>
          <w:trHeight w:val="381"/>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(8,057)</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(85,623)</w:t>
            </w:r>
          </w:p>
        </w:tc>
      </w:tr>
      <w:tr>
        <w:trPr>
          <w:trHeight w:val="211"/>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5,694,847</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3,145,262</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1,959,569</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80" w:space="260"/>
            <w:col w:w="4300"/>
          </w:cols>
          <w:pgMar w:left="320" w:top="162"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from, and additions to, average compensation in the Summary Compensation Table by year to calculate Compensation Actually Paid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Non-PEO NEOs consist of:</w:t>
      </w:r>
    </w:p>
    <w:p>
      <w:pPr>
        <w:sectPr>
          <w:pgSz w:w="11900" w:h="16838" w:orient="portrait"/>
          <w:cols w:equalWidth="0" w:num="1">
            <w:col w:w="11240"/>
          </w:cols>
          <w:pgMar w:left="320" w:top="162" w:right="339" w:bottom="1440" w:gutter="0" w:footer="0" w:header="0"/>
          <w:type w:val="continuous"/>
        </w:sect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Average Summary Compensation Table Total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2343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10" w:lineRule="exact"/>
        <w:rPr>
          <w:sz w:val="20"/>
          <w:szCs w:val="20"/>
          <w:color w:val="auto"/>
        </w:rPr>
      </w:pPr>
    </w:p>
    <w:p>
      <w:pPr>
        <w:ind w:left="20" w:right="90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Adjustments to Determine Compensation "Actually Paid" for Non-PEO NEOs </w:t>
      </w:r>
      <w:r>
        <w:rPr>
          <w:rFonts w:ascii="Times New Roman" w:cs="Times New Roman" w:eastAsia="Times New Roman" w:hAnsi="Times New Roman"/>
          <w:sz w:val="16"/>
          <w:szCs w:val="16"/>
          <w:color w:val="auto"/>
        </w:rPr>
        <w:t>Deductions for amounts reported under the "Stock Awards" column in the SCT Fair value of awards granted during the year that remain outstanding at year end Change in fair value of awards granted in prior years that remain outstanding at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234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2343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ind w:left="20"/>
        <w:spacing w:after="0" w:line="245" w:lineRule="auto"/>
        <w:rPr>
          <w:sz w:val="20"/>
          <w:szCs w:val="20"/>
          <w:color w:val="auto"/>
        </w:rPr>
      </w:pPr>
      <w:r>
        <w:rPr>
          <w:rFonts w:ascii="Times New Roman" w:cs="Times New Roman" w:eastAsia="Times New Roman" w:hAnsi="Times New Roman"/>
          <w:sz w:val="16"/>
          <w:szCs w:val="16"/>
          <w:color w:val="auto"/>
        </w:rPr>
        <w:t>Change in fair value from the end of the prior year to the vesting date for awards granted in prior years and vested in the current year</w:t>
      </w:r>
    </w:p>
    <w:p>
      <w:pPr>
        <w:spacing w:after="0" w:line="2" w:lineRule="exact"/>
        <w:rPr>
          <w:sz w:val="20"/>
          <w:szCs w:val="20"/>
          <w:color w:val="auto"/>
        </w:rPr>
      </w:pPr>
    </w:p>
    <w:p>
      <w:pPr>
        <w:ind w:left="20" w:right="300"/>
        <w:spacing w:after="0" w:line="245" w:lineRule="auto"/>
        <w:rPr>
          <w:sz w:val="20"/>
          <w:szCs w:val="20"/>
          <w:color w:val="auto"/>
        </w:rPr>
      </w:pPr>
      <w:r>
        <w:rPr>
          <w:rFonts w:ascii="Times New Roman" w:cs="Times New Roman" w:eastAsia="Times New Roman" w:hAnsi="Times New Roman"/>
          <w:sz w:val="16"/>
          <w:szCs w:val="16"/>
          <w:color w:val="auto"/>
        </w:rPr>
        <w:t>Deduction for fair value at the end of the prior year for awards granted in prior years that forfeited during the year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2343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 compensation actually paid for Non-PEO NEOs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1,856,750</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924,450</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953,909</w:t>
            </w:r>
          </w:p>
        </w:tc>
      </w:tr>
      <w:tr>
        <w:trPr>
          <w:trHeight w:val="432"/>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(2,463,400)</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(1,683,941)</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5,633,984</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659,259</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1,837,076</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1,418,565</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(395,818)</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(95,186)</w:t>
            </w:r>
          </w:p>
        </w:tc>
      </w:tr>
      <w:tr>
        <w:trPr>
          <w:trHeight w:val="378"/>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277,696</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(210,996)</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(57,008)</w:t>
            </w:r>
          </w:p>
        </w:tc>
      </w:tr>
      <w:tr>
        <w:trPr>
          <w:trHeight w:val="381"/>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(1,307,570)</w:t>
            </w:r>
          </w:p>
        </w:tc>
      </w:tr>
      <w:tr>
        <w:trPr>
          <w:trHeight w:val="211"/>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6,723,595</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376,895</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(352,720)</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80" w:space="260"/>
            <w:col w:w="4300"/>
          </w:cols>
          <w:pgMar w:left="320" w:top="162" w:right="339" w:bottom="1440" w:gutter="0" w:footer="0" w:header="0"/>
          <w:type w:val="continuous"/>
        </w:sectPr>
      </w:pPr>
    </w:p>
    <w:p>
      <w:pPr>
        <w:spacing w:after="0" w:line="119" w:lineRule="exact"/>
        <w:rPr>
          <w:sz w:val="20"/>
          <w:szCs w:val="20"/>
          <w:color w:val="auto"/>
        </w:rPr>
      </w:pPr>
    </w:p>
    <w:p>
      <w:pPr>
        <w:ind w:left="5540" w:right="2540" w:hanging="5208"/>
        <w:spacing w:after="0" w:line="939" w:lineRule="auto"/>
        <w:tabs>
          <w:tab w:leader="none" w:pos="656"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forfeitures represent Mr. Vollkommer's outstanding awards at the time of his retirement in September 2022.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324"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Priority's year ended December 31, 2024 for our non-employee directors: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740" w:type="dxa"/>
            <w:vAlign w:val="bottom"/>
            <w:vMerge w:val="restart"/>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126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Non-Equity Incentive</w:t>
            </w:r>
          </w:p>
        </w:tc>
        <w:tc>
          <w:tcPr>
            <w:tcW w:w="1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0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1740" w:type="dxa"/>
            <w:vAlign w:val="bottom"/>
            <w:vMerge w:val="continue"/>
          </w:tcPr>
          <w:p>
            <w:pPr>
              <w:spacing w:after="0"/>
              <w:rPr>
                <w:sz w:val="6"/>
                <w:szCs w:val="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 Awards $</w:t>
            </w:r>
          </w:p>
        </w:tc>
        <w:tc>
          <w:tcPr>
            <w:tcW w:w="86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Paid in Cash $</w:t>
            </w:r>
          </w:p>
        </w:tc>
        <w:tc>
          <w:tcPr>
            <w:tcW w:w="1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1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Plan Compensation $</w:t>
            </w:r>
          </w:p>
        </w:tc>
        <w:tc>
          <w:tcPr>
            <w:tcW w:w="15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 Crisafulli</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65,000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165,000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Marietta Davis</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60,000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160,000</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Christina Favilla</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65,000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165,000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Passilla</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85,000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185,000</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Priore</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60,000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Director Compensation Table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Independent Director Compensation</w:t>
      </w:r>
    </w:p>
    <w:p>
      <w:pPr>
        <w:spacing w:after="0" w:line="322"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The independent directors have each entered an agreement to which each receives cash compensation of $60,000 per year, payable in monthly installments and a grant of restricted stock with a grant date fair value $100,000 which vests over four quarters. The chair of the Audit Committee received $25,000 in 2024 in addition to their director cash compensation. The chair of the Nominating and Corporate Governance Committee and the chair of the Compensation Committee both received $5,000 in 2024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The independent directors are reimbursed for reasonable and documented out-of-pocket expenses incurred by him or her in the performance of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2024 YEAR END</w:t>
      </w:r>
    </w:p>
    <w:p>
      <w:pPr>
        <w:spacing w:after="0" w:line="200" w:lineRule="exact"/>
        <w:rPr>
          <w:sz w:val="20"/>
          <w:szCs w:val="20"/>
          <w:color w:val="auto"/>
        </w:rPr>
      </w:pPr>
    </w:p>
    <w:p>
      <w:pPr>
        <w:spacing w:after="0" w:line="38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following table provides information regarding stock options not exercised, stock that has not yet vested, and equity incentive plan awards for each NEO outstanding as of the end of 2024. Each outstanding award is represented by a separate row that indicates the number of securities underlying the award.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8"/>
        </w:trPr>
        <w:tc>
          <w:tcPr>
            <w:tcW w:w="1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26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24"/>
              <w:spacing w:after="0" w:line="137"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of</w:t>
            </w:r>
          </w:p>
        </w:tc>
        <w:tc>
          <w:tcPr>
            <w:tcW w:w="2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20" w:type="dxa"/>
            <w:vAlign w:val="bottom"/>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 Units, or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4"/>
              <w:spacing w:after="0" w:line="135"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2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14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2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Options</w:t>
            </w:r>
          </w:p>
        </w:tc>
        <w:tc>
          <w:tcPr>
            <w:tcW w:w="1160" w:type="dxa"/>
            <w:vAlign w:val="bottom"/>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 Yet Vested</w:t>
            </w:r>
          </w:p>
        </w:tc>
        <w:tc>
          <w:tcPr>
            <w:tcW w:w="2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0" w:type="dxa"/>
            <w:vAlign w:val="bottom"/>
          </w:tcPr>
          <w:p>
            <w:pPr>
              <w:spacing w:after="0"/>
              <w:rPr>
                <w:sz w:val="1"/>
                <w:szCs w:val="1"/>
                <w:color w:val="auto"/>
              </w:rPr>
            </w:pPr>
          </w:p>
        </w:tc>
      </w:tr>
      <w:tr>
        <w:trPr>
          <w:trHeight w:val="190"/>
        </w:trPr>
        <w:tc>
          <w:tcPr>
            <w:tcW w:w="192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(a)</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 Yet Vested ($)</w:t>
            </w: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Thomas Priore</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243,782</w:t>
            </w:r>
          </w:p>
        </w:tc>
        <w:tc>
          <w:tcPr>
            <w:tcW w:w="260" w:type="dxa"/>
            <w:vAlign w:val="bottom"/>
            <w:vMerge w:val="continue"/>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2,864,439</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O'Leary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267,695</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3,145,416</w:t>
            </w:r>
          </w:p>
        </w:tc>
        <w:tc>
          <w:tcPr>
            <w:tcW w:w="0" w:type="dxa"/>
            <w:vAlign w:val="bottom"/>
          </w:tcPr>
          <w:p>
            <w:pPr>
              <w:spacing w:after="0"/>
              <w:rPr>
                <w:sz w:val="1"/>
                <w:szCs w:val="1"/>
                <w:color w:val="auto"/>
              </w:rPr>
            </w:pPr>
          </w:p>
        </w:tc>
      </w:tr>
      <w:tr>
        <w:trPr>
          <w:trHeight w:val="265"/>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Ranjana Ram</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385,000</w:t>
            </w:r>
          </w:p>
        </w:tc>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04659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465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04659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46595" cy="137160"/>
                    </a:xfrm>
                    <a:prstGeom prst="rect">
                      <a:avLst/>
                    </a:prstGeom>
                    <a:noFill/>
                  </pic:spPr>
                </pic:pic>
              </a:graphicData>
            </a:graphic>
          </wp:anchor>
        </w:drawing>
      </w:r>
    </w:p>
    <w:p>
      <w:pPr>
        <w:spacing w:after="0" w:line="29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awards outstanding for Mr. Priore are 52,089 shares granted on March 22, 2023 and 191,693 shares granted on February 8, 2024.</w:t>
      </w:r>
    </w:p>
    <w:p>
      <w:pPr>
        <w:spacing w:after="0" w:line="72" w:lineRule="exact"/>
        <w:rPr>
          <w:rFonts w:ascii="Times New Roman" w:cs="Times New Roman" w:eastAsia="Times New Roman" w:hAnsi="Times New Roman"/>
          <w:sz w:val="16"/>
          <w:szCs w:val="16"/>
          <w:i w:val="1"/>
          <w:iCs w:val="1"/>
          <w:color w:val="auto"/>
        </w:rPr>
      </w:pPr>
    </w:p>
    <w:p>
      <w:pPr>
        <w:ind w:left="660" w:hanging="328"/>
        <w:spacing w:after="0" w:line="280" w:lineRule="auto"/>
        <w:tabs>
          <w:tab w:leader="none" w:pos="66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awards outstanding for Mr. O'Leary are 49,751 shares granted on September 19, 2022, 123,456 shares granted on September 19, 2023 and 94,488 granted on September 19, 2024.</w:t>
      </w:r>
    </w:p>
    <w:p>
      <w:pPr>
        <w:spacing w:after="0" w:line="2" w:lineRule="exact"/>
        <w:rPr>
          <w:rFonts w:ascii="Times New Roman" w:cs="Times New Roman" w:eastAsia="Times New Roman" w:hAnsi="Times New Roman"/>
          <w:sz w:val="16"/>
          <w:szCs w:val="16"/>
          <w:i w:val="1"/>
          <w:iCs w:val="1"/>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awards outstanding for Ms. Ram are 385,000 shares granted on June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DIRECTORS, AND EXECUTIVE OFFICERS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the Record Date regarding the beneficial ownership of our common stock by:</w:t>
      </w:r>
    </w:p>
    <w:p>
      <w:pPr>
        <w:spacing w:after="0" w:line="32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our outstanding shares of common stock;</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each named executive officer; and</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320"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Name and Address of Beneficial Owner </w:t>
            </w:r>
            <w:r>
              <w:rPr>
                <w:rFonts w:ascii="Times New Roman" w:cs="Times New Roman" w:eastAsia="Times New Roman" w:hAnsi="Times New Roman"/>
                <w:sz w:val="21"/>
                <w:szCs w:val="21"/>
                <w:b w:val="1"/>
                <w:bCs w:val="1"/>
                <w:color w:val="auto"/>
                <w:vertAlign w:val="superscript"/>
              </w:rPr>
              <w:t>1</w:t>
            </w:r>
          </w:p>
        </w:tc>
        <w:tc>
          <w:tcPr>
            <w:tcW w:w="320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Amount and Nature of</w:t>
            </w:r>
          </w:p>
        </w:tc>
        <w:tc>
          <w:tcPr>
            <w:tcW w:w="24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Approximate Percentage of</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vMerge w:val="continue"/>
          </w:tcPr>
          <w:p>
            <w:pPr>
              <w:spacing w:after="0"/>
              <w:rPr>
                <w:sz w:val="18"/>
                <w:szCs w:val="18"/>
                <w:color w:val="auto"/>
              </w:rPr>
            </w:pPr>
          </w:p>
        </w:tc>
        <w:tc>
          <w:tcPr>
            <w:tcW w:w="3200" w:type="dxa"/>
            <w:vAlign w:val="bottom"/>
            <w:tcBorders>
              <w:bottom w:val="single" w:sz="8" w:color="CCEEFF"/>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2440" w:type="dxa"/>
            <w:vAlign w:val="bottom"/>
            <w:tcBorders>
              <w:bottom w:val="single" w:sz="8" w:color="auto"/>
            </w:tcBorders>
          </w:tcPr>
          <w:p>
            <w:pPr>
              <w:jc w:val="right"/>
              <w:ind w:right="91"/>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Outstanding Common Stock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5% or Greater Stockholders (Other than below):</w:t>
            </w:r>
          </w:p>
        </w:tc>
        <w:tc>
          <w:tcPr>
            <w:tcW w:w="32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Divisadero Street Capital Management, LP</w:t>
            </w:r>
          </w:p>
        </w:tc>
        <w:tc>
          <w:tcPr>
            <w:tcW w:w="3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3480 Main Highway, Suite 204</w:t>
            </w:r>
          </w:p>
        </w:tc>
        <w:tc>
          <w:tcPr>
            <w:tcW w:w="320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4,364,359</w:t>
            </w:r>
          </w:p>
        </w:tc>
        <w:tc>
          <w:tcPr>
            <w:tcW w:w="244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Miami, FL 33133</w:t>
            </w:r>
          </w:p>
        </w:tc>
        <w:tc>
          <w:tcPr>
            <w:tcW w:w="3200" w:type="dxa"/>
            <w:vAlign w:val="bottom"/>
            <w:vMerge w:val="continue"/>
          </w:tcPr>
          <w:p>
            <w:pPr>
              <w:spacing w:after="0"/>
              <w:rPr>
                <w:sz w:val="12"/>
                <w:szCs w:val="12"/>
                <w:color w:val="auto"/>
              </w:rPr>
            </w:pPr>
          </w:p>
        </w:tc>
        <w:tc>
          <w:tcPr>
            <w:tcW w:w="2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60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Directors and Named Executive Officers:</w:t>
            </w:r>
          </w:p>
        </w:tc>
        <w:tc>
          <w:tcPr>
            <w:tcW w:w="3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Thomas Priore </w:t>
            </w:r>
            <w:r>
              <w:rPr>
                <w:rFonts w:ascii="Times New Roman" w:cs="Times New Roman" w:eastAsia="Times New Roman" w:hAnsi="Times New Roman"/>
                <w:sz w:val="23"/>
                <w:szCs w:val="23"/>
                <w:color w:val="auto"/>
                <w:vertAlign w:val="superscript"/>
              </w:rPr>
              <w:t>3</w:t>
            </w:r>
          </w:p>
        </w:tc>
        <w:tc>
          <w:tcPr>
            <w:tcW w:w="3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33,983,384</w:t>
            </w:r>
          </w:p>
        </w:tc>
        <w:tc>
          <w:tcPr>
            <w:tcW w:w="24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John Priore </w:t>
            </w:r>
            <w:r>
              <w:rPr>
                <w:rFonts w:ascii="Times New Roman" w:cs="Times New Roman" w:eastAsia="Times New Roman" w:hAnsi="Times New Roman"/>
                <w:sz w:val="23"/>
                <w:szCs w:val="23"/>
                <w:color w:val="auto"/>
                <w:vertAlign w:val="superscript"/>
              </w:rPr>
              <w:t>4</w:t>
            </w:r>
          </w:p>
        </w:tc>
        <w:tc>
          <w:tcPr>
            <w:tcW w:w="3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4,071,574</w:t>
            </w:r>
          </w:p>
        </w:tc>
        <w:tc>
          <w:tcPr>
            <w:tcW w:w="24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6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Sean Kiewiet</w:t>
            </w:r>
          </w:p>
        </w:tc>
        <w:tc>
          <w:tcPr>
            <w:tcW w:w="32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711,853</w:t>
            </w:r>
          </w:p>
        </w:tc>
        <w:tc>
          <w:tcPr>
            <w:tcW w:w="24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600" w:type="dxa"/>
            <w:vAlign w:val="bottom"/>
            <w:vMerge w:val="continue"/>
            <w:shd w:val="clear" w:color="auto" w:fill="CCEEFF"/>
          </w:tcPr>
          <w:p>
            <w:pPr>
              <w:spacing w:after="0"/>
              <w:rPr>
                <w:sz w:val="5"/>
                <w:szCs w:val="5"/>
                <w:color w:val="auto"/>
              </w:rPr>
            </w:pPr>
          </w:p>
        </w:tc>
        <w:tc>
          <w:tcPr>
            <w:tcW w:w="3200" w:type="dxa"/>
            <w:vAlign w:val="bottom"/>
            <w:vMerge w:val="continue"/>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6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Bradley Miller</w:t>
            </w:r>
          </w:p>
        </w:tc>
        <w:tc>
          <w:tcPr>
            <w:tcW w:w="32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311,146</w:t>
            </w:r>
          </w:p>
        </w:tc>
        <w:tc>
          <w:tcPr>
            <w:tcW w:w="24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560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56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Ranjana Ram</w:t>
            </w:r>
          </w:p>
        </w:tc>
        <w:tc>
          <w:tcPr>
            <w:tcW w:w="32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686,389</w:t>
            </w:r>
          </w:p>
        </w:tc>
        <w:tc>
          <w:tcPr>
            <w:tcW w:w="24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5600" w:type="dxa"/>
            <w:vAlign w:val="bottom"/>
            <w:vMerge w:val="continue"/>
            <w:shd w:val="clear" w:color="auto" w:fill="CCEEFF"/>
          </w:tcPr>
          <w:p>
            <w:pPr>
              <w:spacing w:after="0"/>
              <w:rPr>
                <w:sz w:val="5"/>
                <w:szCs w:val="5"/>
                <w:color w:val="auto"/>
              </w:rPr>
            </w:pPr>
          </w:p>
        </w:tc>
        <w:tc>
          <w:tcPr>
            <w:tcW w:w="3200" w:type="dxa"/>
            <w:vAlign w:val="bottom"/>
            <w:vMerge w:val="continue"/>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6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Tim O'Leary</w:t>
            </w:r>
          </w:p>
        </w:tc>
        <w:tc>
          <w:tcPr>
            <w:tcW w:w="32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137,966</w:t>
            </w:r>
          </w:p>
        </w:tc>
        <w:tc>
          <w:tcPr>
            <w:tcW w:w="24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560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56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Marc Crisafulli</w:t>
            </w:r>
          </w:p>
        </w:tc>
        <w:tc>
          <w:tcPr>
            <w:tcW w:w="32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80,495</w:t>
            </w:r>
          </w:p>
        </w:tc>
        <w:tc>
          <w:tcPr>
            <w:tcW w:w="24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600" w:type="dxa"/>
            <w:vAlign w:val="bottom"/>
            <w:vMerge w:val="continue"/>
            <w:shd w:val="clear" w:color="auto" w:fill="CCEEFF"/>
          </w:tcPr>
          <w:p>
            <w:pPr>
              <w:spacing w:after="0"/>
              <w:rPr>
                <w:sz w:val="5"/>
                <w:szCs w:val="5"/>
                <w:color w:val="auto"/>
              </w:rPr>
            </w:pPr>
          </w:p>
        </w:tc>
        <w:tc>
          <w:tcPr>
            <w:tcW w:w="3200" w:type="dxa"/>
            <w:vAlign w:val="bottom"/>
            <w:vMerge w:val="continue"/>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6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Marietta Davis</w:t>
            </w:r>
          </w:p>
        </w:tc>
        <w:tc>
          <w:tcPr>
            <w:tcW w:w="32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84,569</w:t>
            </w:r>
          </w:p>
        </w:tc>
        <w:tc>
          <w:tcPr>
            <w:tcW w:w="24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560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56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Christina Favilla</w:t>
            </w:r>
          </w:p>
        </w:tc>
        <w:tc>
          <w:tcPr>
            <w:tcW w:w="32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125,239</w:t>
            </w:r>
          </w:p>
        </w:tc>
        <w:tc>
          <w:tcPr>
            <w:tcW w:w="24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5600" w:type="dxa"/>
            <w:vAlign w:val="bottom"/>
            <w:vMerge w:val="continue"/>
            <w:shd w:val="clear" w:color="auto" w:fill="CCEEFF"/>
          </w:tcPr>
          <w:p>
            <w:pPr>
              <w:spacing w:after="0"/>
              <w:rPr>
                <w:sz w:val="5"/>
                <w:szCs w:val="5"/>
                <w:color w:val="auto"/>
              </w:rPr>
            </w:pPr>
          </w:p>
        </w:tc>
        <w:tc>
          <w:tcPr>
            <w:tcW w:w="3200" w:type="dxa"/>
            <w:vAlign w:val="bottom"/>
            <w:vMerge w:val="continue"/>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6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Clayton Main</w:t>
            </w:r>
          </w:p>
        </w:tc>
        <w:tc>
          <w:tcPr>
            <w:tcW w:w="32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1,900</w:t>
            </w:r>
          </w:p>
        </w:tc>
        <w:tc>
          <w:tcPr>
            <w:tcW w:w="24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
        </w:trPr>
        <w:tc>
          <w:tcPr>
            <w:tcW w:w="560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56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Michael Passilla</w:t>
            </w:r>
          </w:p>
        </w:tc>
        <w:tc>
          <w:tcPr>
            <w:tcW w:w="32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125,886</w:t>
            </w:r>
          </w:p>
        </w:tc>
        <w:tc>
          <w:tcPr>
            <w:tcW w:w="24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600" w:type="dxa"/>
            <w:vAlign w:val="bottom"/>
            <w:vMerge w:val="continue"/>
            <w:shd w:val="clear" w:color="auto" w:fill="CCEEFF"/>
          </w:tcPr>
          <w:p>
            <w:pPr>
              <w:spacing w:after="0"/>
              <w:rPr>
                <w:sz w:val="5"/>
                <w:szCs w:val="5"/>
                <w:color w:val="auto"/>
              </w:rPr>
            </w:pPr>
          </w:p>
        </w:tc>
        <w:tc>
          <w:tcPr>
            <w:tcW w:w="3200" w:type="dxa"/>
            <w:vAlign w:val="bottom"/>
            <w:vMerge w:val="continue"/>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6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All directors and executive officers as a group (11 individuals)</w:t>
            </w:r>
          </w:p>
        </w:tc>
        <w:tc>
          <w:tcPr>
            <w:tcW w:w="32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40,320,401</w:t>
            </w:r>
          </w:p>
        </w:tc>
        <w:tc>
          <w:tcPr>
            <w:tcW w:w="24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560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55" w:lineRule="exact"/>
        <w:rPr>
          <w:sz w:val="20"/>
          <w:szCs w:val="20"/>
          <w:color w:val="auto"/>
        </w:rPr>
      </w:pPr>
    </w:p>
    <w:p>
      <w:pPr>
        <w:ind w:left="660" w:hanging="328"/>
        <w:spacing w:after="0" w:line="268" w:lineRule="auto"/>
        <w:tabs>
          <w:tab w:leader="none" w:pos="65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Unless otherwise indicated, the business address of each of the individuals is c/o Priority Technology Holdings, Inc., 2001 Westside Parkway, Alpharetta, GA 30004.</w:t>
      </w:r>
    </w:p>
    <w:p>
      <w:pPr>
        <w:spacing w:after="0" w:line="76" w:lineRule="exact"/>
        <w:rPr>
          <w:rFonts w:ascii="Times New Roman" w:cs="Times New Roman" w:eastAsia="Times New Roman" w:hAnsi="Times New Roman"/>
          <w:sz w:val="18"/>
          <w:szCs w:val="18"/>
          <w:i w:val="1"/>
          <w:iCs w:val="1"/>
          <w:color w:val="auto"/>
        </w:rPr>
      </w:pPr>
    </w:p>
    <w:p>
      <w:pPr>
        <w:jc w:val="both"/>
        <w:ind w:left="660" w:hanging="328"/>
        <w:spacing w:after="0" w:line="268" w:lineRule="auto"/>
        <w:tabs>
          <w:tab w:leader="none" w:pos="65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The percentage of beneficial ownership of Priority is calculated based on [.] shares of common stock outstanding. Unless otherwise indicated, we believe that all persons named in the table have sole voting and investment power with respect to all shares of common stock beneficially owned by them as of the date indicated.</w:t>
      </w:r>
    </w:p>
    <w:p>
      <w:pPr>
        <w:spacing w:after="0" w:line="76" w:lineRule="exact"/>
        <w:rPr>
          <w:rFonts w:ascii="Times New Roman" w:cs="Times New Roman" w:eastAsia="Times New Roman" w:hAnsi="Times New Roman"/>
          <w:sz w:val="18"/>
          <w:szCs w:val="18"/>
          <w:i w:val="1"/>
          <w:iCs w:val="1"/>
          <w:color w:val="auto"/>
        </w:rPr>
      </w:pPr>
    </w:p>
    <w:p>
      <w:pPr>
        <w:jc w:val="both"/>
        <w:ind w:left="660" w:hanging="328"/>
        <w:spacing w:after="0" w:line="263" w:lineRule="auto"/>
        <w:tabs>
          <w:tab w:leader="none" w:pos="660" w:val="left"/>
        </w:tabs>
        <w:numPr>
          <w:ilvl w:val="0"/>
          <w:numId w:val="2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spacing w:after="0" w:line="97" w:lineRule="exact"/>
        <w:rPr>
          <w:rFonts w:ascii="Times New Roman" w:cs="Times New Roman" w:eastAsia="Times New Roman" w:hAnsi="Times New Roman"/>
          <w:sz w:val="16"/>
          <w:szCs w:val="16"/>
          <w:i w:val="1"/>
          <w:iCs w:val="1"/>
          <w:color w:val="auto"/>
        </w:rPr>
      </w:pPr>
    </w:p>
    <w:p>
      <w:pPr>
        <w:ind w:left="660" w:hanging="328"/>
        <w:spacing w:after="0" w:line="268" w:lineRule="auto"/>
        <w:tabs>
          <w:tab w:leader="none" w:pos="65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Includes shares of the Company's common stock directly held by AESV Credit Card Consulting LLC, which is controlled by John Priore. John Priore may be deemed to beneficially own such shares of stock directly or indirectly controlled by him.</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PROPOSAL NUMBER ONE</w:t>
      </w:r>
    </w:p>
    <w:p>
      <w:pPr>
        <w:spacing w:after="0" w:line="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spacing w:after="0" w:line="191"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The Board proposes that the following six director nominees be elected to the Board to serve until the next annual meeting in 2026, or until his or her earlier resignation, death, or removal.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Directors</w:t>
            </w:r>
          </w:p>
        </w:tc>
        <w:tc>
          <w:tcPr>
            <w:tcW w:w="3040" w:type="dxa"/>
            <w:vAlign w:val="bottom"/>
          </w:tcPr>
          <w:p>
            <w:pPr>
              <w:spacing w:after="0"/>
              <w:rPr>
                <w:sz w:val="20"/>
                <w:szCs w:val="20"/>
                <w:color w:val="auto"/>
              </w:rPr>
            </w:pPr>
          </w:p>
        </w:tc>
      </w:tr>
      <w:tr>
        <w:trPr>
          <w:trHeight w:val="52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Each nominee is listed below, along with their age as of the date of this Proxy Statement.</w:t>
            </w:r>
          </w:p>
        </w:tc>
        <w:tc>
          <w:tcPr>
            <w:tcW w:w="3040" w:type="dxa"/>
            <w:vAlign w:val="bottom"/>
          </w:tcPr>
          <w:p>
            <w:pPr>
              <w:spacing w:after="0"/>
              <w:rPr>
                <w:sz w:val="24"/>
                <w:szCs w:val="24"/>
                <w:color w:val="auto"/>
              </w:rPr>
            </w:pPr>
          </w:p>
        </w:tc>
      </w:tr>
      <w:tr>
        <w:trPr>
          <w:trHeight w:val="513"/>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56</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56</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65</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57</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Clayton Main</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46</w:t>
            </w: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58</w:t>
            </w:r>
          </w:p>
        </w:tc>
      </w:tr>
    </w:tbl>
    <w:p>
      <w:pPr>
        <w:spacing w:after="0" w:line="341"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Certain biographical information about the nominees as of the date of this Proxy Statement can be found above under "Executive Officers and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3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TWO</w:t>
      </w:r>
    </w:p>
    <w:p>
      <w:pPr>
        <w:spacing w:after="0" w:line="324" w:lineRule="exact"/>
        <w:rPr>
          <w:sz w:val="20"/>
          <w:szCs w:val="20"/>
          <w:color w:val="auto"/>
        </w:rPr>
      </w:pPr>
    </w:p>
    <w:p>
      <w:pPr>
        <w:jc w:val="center"/>
        <w:spacing w:after="0" w:line="400" w:lineRule="auto"/>
        <w:rPr>
          <w:sz w:val="20"/>
          <w:szCs w:val="20"/>
          <w:color w:val="auto"/>
        </w:rPr>
      </w:pPr>
      <w:r>
        <w:rPr>
          <w:rFonts w:ascii="Times New Roman" w:cs="Times New Roman" w:eastAsia="Times New Roman" w:hAnsi="Times New Roman"/>
          <w:sz w:val="20"/>
          <w:szCs w:val="20"/>
          <w:b w:val="1"/>
          <w:bCs w:val="1"/>
          <w:color w:val="auto"/>
        </w:rPr>
        <w:t>APPROVAL OF PROPOSED AMENDMENT NO. 2 TO THE PRIORITY TECHNOLOGY HOLDINGS, INC. 2021 EMPLOYEE STOCK PURCHASE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The Priority Technology Holdings, Inc. 2021 Employee Stock Purchase Plan (the “Purchase Plan”) permits eligible employees of the Company and its designated subsidiaries to purchase our common stock, subject to IRS and other limits set forth in the Purchase Plan, during pre-specified offering periods at a discount established by the Company not to exceed 5% of fair market value. The purpose of the Purchase Plan is to encourage a sense of proprietorship on the part of the Company’s eligible employees by assisting them in making regular purchases of shares of our common stock, thereby further aligning the interests of employees and shareholders in the future growth and financial success of the Company. The Purchase Plan is intended to meet the requirements of Section 423 of the Internal Revenue Code, so that the discount value is not subject to federal income tax at the time of purchase.</w:t>
      </w:r>
    </w:p>
    <w:p>
      <w:pPr>
        <w:spacing w:after="0" w:line="210"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At this time, out of our current authorized Purchase Plan share pool of 200,000 shares, approximately 35,000 shares remain available for grants. At the current rate of participation, we anticipate that the Purchase Plan share pool will be depleted by December 31, 2025.</w:t>
      </w:r>
    </w:p>
    <w:p>
      <w:pPr>
        <w:spacing w:after="0" w:line="17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On March 5, 2025, the Board unanimously approved an amendment to the Purchase Plan, subject to approval by our shareholders at this Annual Meeting, to increase the number of shares authorized for issuance under the plan by 200,000 shares of our common stock. We anticipate that based on current projections of growth in the business and workforce, this increase will meet the demand for Purchase Plan shares for approximately four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The amendment would increase the number of shares authorized for issuance under the Plan by 200,000 shares to a total of 235,000 </w:t>
      </w:r>
      <w:r>
        <w:rPr>
          <w:rFonts w:ascii="Times New Roman" w:cs="Times New Roman" w:eastAsia="Times New Roman" w:hAnsi="Times New Roman"/>
          <w:sz w:val="18"/>
          <w:szCs w:val="18"/>
          <w:b w:val="1"/>
          <w:bCs w:val="1"/>
          <w:color w:val="auto"/>
        </w:rPr>
        <w:t>shares.</w:t>
      </w:r>
    </w:p>
    <w:p>
      <w:pPr>
        <w:spacing w:after="0" w:line="364" w:lineRule="exact"/>
        <w:rPr>
          <w:sz w:val="20"/>
          <w:szCs w:val="20"/>
          <w:color w:val="auto"/>
        </w:rPr>
      </w:pPr>
    </w:p>
    <w:p>
      <w:pPr>
        <w:jc w:val="both"/>
        <w:ind w:firstLine="648"/>
        <w:spacing w:after="0" w:line="367" w:lineRule="auto"/>
        <w:rPr>
          <w:sz w:val="20"/>
          <w:szCs w:val="20"/>
          <w:color w:val="auto"/>
        </w:rPr>
      </w:pPr>
      <w:r>
        <w:rPr>
          <w:rFonts w:ascii="Times New Roman" w:cs="Times New Roman" w:eastAsia="Times New Roman" w:hAnsi="Times New Roman"/>
          <w:sz w:val="18"/>
          <w:szCs w:val="18"/>
          <w:color w:val="auto"/>
        </w:rPr>
        <w:t>The Board has concluded that it is advisable that the Company continue to have the ability to offer its employees a stock ownership interest in the Company, which enhances employee interest in the continued success and progress of the Company. This objective is served by increasing the number of available shares under the Purchase Plan. Accordingly, the Board has voted, subject to shareholder approval, to amend the Purchase Plan to increase the total number of shares authorized to be sold to employees by 200,000 shares to a total of 235,000 shares of our common stock, subject to periodic adjustments for changes in the outstanding common stock occasioned by stock splits, stock dividends, recapitalizations or other similar changes. We are seeking your approval to increase the number of shares available for issuance under the Purchase Plan by 200,000 shares, which will increase the current limit from 35,000 shares to 235,000 shares.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200" w:lineRule="exact"/>
        <w:rPr>
          <w:sz w:val="20"/>
          <w:szCs w:val="20"/>
          <w:color w:val="auto"/>
        </w:rPr>
      </w:pPr>
    </w:p>
    <w:p>
      <w:pPr>
        <w:ind w:right="440"/>
        <w:spacing w:after="0" w:line="412"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approval of the amendment No. 2 to the Priority Technology Holdings, Inc. 2021 Employee Stock Purchase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THREE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APPROVAL OF ADVISORY VOTE ON NAMED EXECUTIVE OFFICER COMPENSATION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Pursuant to Section 14A of the Securities Exchange Act (the “Exchange Act”), we are required to provide our stockholders with the opportunity to vote to approve, on an advisory, non-binding basis, the compensation of our NEOs as disclosed in this Proxy Statement in accordance with the SEC’s rules.</w:t>
      </w:r>
    </w:p>
    <w:p>
      <w:pPr>
        <w:spacing w:after="0" w:line="161"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 xml:space="preserve">As described in detail in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sections above, our executive compensation programs are designed to attract, retain, and motivate executives of superior ability who are dedicated to the long-term interests of our stockholders. Under these programs, our NEOs are rewarded for the achievement of specific annual, long-term, and strategic goals, corporate goals, and the realization of increased stockholder value.</w:t>
      </w:r>
    </w:p>
    <w:p>
      <w:pPr>
        <w:spacing w:after="0" w:line="174"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 xml:space="preserve">Highlights of our executive compensation program, as described in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 include:</w:t>
      </w:r>
    </w:p>
    <w:p>
      <w:pPr>
        <w:spacing w:after="0" w:line="15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programs that are performance-based and align executive officer incentives with stockholder interests over multiple timeframes;</w:t>
      </w:r>
    </w:p>
    <w:p>
      <w:pPr>
        <w:spacing w:after="0" w:line="333" w:lineRule="exact"/>
        <w:rPr>
          <w:rFonts w:ascii="Times New Roman" w:cs="Times New Roman" w:eastAsia="Times New Roman" w:hAnsi="Times New Roman"/>
          <w:sz w:val="18"/>
          <w:szCs w:val="18"/>
          <w:color w:val="auto"/>
        </w:rPr>
      </w:pPr>
    </w:p>
    <w:p>
      <w:pPr>
        <w:ind w:left="660" w:hanging="328"/>
        <w:spacing w:after="0" w:line="39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incentives that are earned based on performance measured against specific financial and strategic objectives for an executive’s area of responsibility, together with a qualitative assessment of performance;</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at-risk pay and compensation design that reflect an executive officer’s impact on Corporation performance over time; and</w:t>
      </w:r>
    </w:p>
    <w:p>
      <w:pPr>
        <w:spacing w:after="0" w:line="319" w:lineRule="exact"/>
        <w:rPr>
          <w:rFonts w:ascii="Times New Roman" w:cs="Times New Roman" w:eastAsia="Times New Roman" w:hAnsi="Times New Roman"/>
          <w:sz w:val="18"/>
          <w:szCs w:val="18"/>
          <w:color w:val="auto"/>
        </w:rPr>
      </w:pPr>
    </w:p>
    <w:p>
      <w:pPr>
        <w:ind w:left="660" w:hanging="328"/>
        <w:spacing w:after="0" w:line="39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risk management practices, including a clawback policy, anti-hedging policy, anti-pledging policy, stock ownership requirements, net share retention ratio, and net hold requirements with respect to equity grants.</w:t>
      </w:r>
    </w:p>
    <w:p>
      <w:pPr>
        <w:spacing w:after="0" w:line="163"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 xml:space="preserve">We are asking our shareholders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FOR the approval, on an advisory basis, of the compensation of our NEOs, as disclosed in this Proxy Statement, including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 the 2024 Summary Compensation Table, and the other related tables and narrative discussion.</w:t>
      </w:r>
    </w:p>
    <w:p>
      <w:pPr>
        <w:spacing w:after="0" w:line="19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Though the say-on-pay vote is advisory, and therefore not binding, our Board of Directors and the Compensation Committee value the opinions of our stockholders, and the Compensation Committee will consider the voting results when making future decisions regarding executive compensation as it deems appropriate. We expect to hold our next say-on-pay vote in 2026.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Proposal Number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FOUR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RATIFICATION OF INDEPENDENT REGISTERED PUBLIC ACCOUNTING FIRM</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color w:val="auto"/>
        </w:rPr>
        <w:t>The Audit Committee of the Board has appointed EY to serve as the Company's independent registered public accounting firm for the year ending December 31, 2025. The Board is submitting the appointment of EY as the Company's independent registered public accounting firm for stockholder ratification and recommends that stockholders ratify this appointment. Stockholder ratification of the appointment of EY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EY.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EY is expected to attend the Annual Meeting, and he or she will have the opportunity to make a statement and will be available to respond to appropriate questions. For additional information regarding the Company's relationship with EY, please refer to the Audit Committee Report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Fees and Services</w:t>
      </w:r>
    </w:p>
    <w:p>
      <w:pPr>
        <w:spacing w:after="0" w:line="324"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The following table shows the fees for professional services provided by EY, our independent registered public accounting firm for fiscal year 2024 and 2023, in each of the last two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1,737,955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654,739</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2,632,694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amounts reported as audit fees are fees, including out-of-pocket expenses, for the current-year audit and related quarterly reviews irrespective of the period in which the related services are rendered or billed. Audit fees include fees associated with the annual audit of the Company’s consolidated financial statements included in the Annual Report on Form 10-K, review of quarterly reports on Form 10-Q, SEC regulatory filings, and statutory audits.</w:t>
      </w:r>
    </w:p>
    <w:p>
      <w:pPr>
        <w:spacing w:after="0" w:line="17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The amounts reported as audit-related, tax and all other fees are fees billed, including out-of-pocket expenses, for services rendered during the fiscal year, even if the auditor did not bill the registrant for those services until after year end. The audit-related fees for 2024 include fees billed for professional services in connection with review of the Form S-3. Tax fees include fees associated with tax compliance services, including the preparation, review and filing of certain tax returns, as well as tax advisory services. All other fees include fees associated with advisory services, including fees associated with the Company’s acquisition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Auditors</w:t>
      </w:r>
    </w:p>
    <w:p>
      <w:pPr>
        <w:spacing w:after="0" w:line="32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The Audit Committee has also adopted policies and procedures for pre-approving all non-audit work performed by EY. The Audit Committee has pre-approved the use, as needed, of EY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EY in the table above were pre-approved by the Audit Committee.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approval of Proposal Number Four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87"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Ernst and Young LLP as the Company's independent registered public accounting firm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2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Proposals and Director Nominations for the 2026 Annual Meeting</w:t>
      </w:r>
    </w:p>
    <w:p>
      <w:pPr>
        <w:spacing w:after="0" w:line="3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We expect that our 2026 Annual Meeting will be held in May 2026. Stockholders of record who intend to nominate a candidate for director or submit a proposal at the annual meeting of stockholders in 2026 must provide written notice to the Company in accordance with our bylaws. Under our bylaws, such notice must be received at the Company's principal executive offices, addressed to the Secretary of the Company, not earlier than February 13, 2026 nor later than March 15, 2026, which are dates at least 90 days but not more than 120 days in advance of the first anniversary of the date of the 2025 Annual Meeting. Stockholders are also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PRIORITY TECHNOLOGY HOLDINGS, INC.</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2001 WESTSIDE PARKWAY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SUITE 155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Before the Annual Meeting - Go to www.proxyvote.com</w:t>
      </w:r>
    </w:p>
    <w:p>
      <w:pPr>
        <w:spacing w:after="0" w:line="285"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14"/>
          <w:szCs w:val="14"/>
          <w:b w:val="1"/>
          <w:bCs w:val="1"/>
          <w:color w:val="auto"/>
        </w:rPr>
        <w:t>Use the Internet to transmit your voting instructions and for electronic delivery of information. Vote by 11:59 P.M. ET on June 12, 2025 for shares held directly and by 11:59 P.M. ET on June 10, 2025 for shares held in a Plan. Have your proxy card in hand when you access the web site and follow the instructions to obtain your records and to create an electronic voting instruction form.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During the Annual Meeting - Go to </w:t>
      </w:r>
      <w:r>
        <w:rPr>
          <w:rFonts w:ascii="Times New Roman" w:cs="Times New Roman" w:eastAsia="Times New Roman" w:hAnsi="Times New Roman"/>
          <w:sz w:val="14"/>
          <w:szCs w:val="14"/>
          <w:b w:val="1"/>
          <w:bCs w:val="1"/>
          <w:u w:val="single" w:color="auto"/>
          <w:color w:val="auto"/>
        </w:rPr>
        <w:t>www.virtualshareholdermeeting.com/PRTH2025</w:t>
      </w:r>
      <w:r>
        <w:rPr>
          <w:rFonts w:ascii="Times New Roman" w:cs="Times New Roman" w:eastAsia="Times New Roman" w:hAnsi="Times New Roman"/>
          <w:sz w:val="14"/>
          <w:szCs w:val="14"/>
          <w:b w:val="1"/>
          <w:bCs w:val="1"/>
          <w:color w:val="auto"/>
        </w:rPr>
        <w:t>.</w:t>
      </w:r>
    </w:p>
    <w:p>
      <w:pPr>
        <w:spacing w:after="0" w:line="42" w:lineRule="exact"/>
        <w:rPr>
          <w:sz w:val="20"/>
          <w:szCs w:val="20"/>
          <w:color w:val="auto"/>
        </w:rPr>
      </w:pPr>
    </w:p>
    <w:p>
      <w:pPr>
        <w:ind w:right="260"/>
        <w:spacing w:after="0" w:line="345" w:lineRule="auto"/>
        <w:rPr>
          <w:sz w:val="20"/>
          <w:szCs w:val="20"/>
          <w:color w:val="auto"/>
        </w:rPr>
      </w:pPr>
      <w:r>
        <w:rPr>
          <w:rFonts w:ascii="Times New Roman" w:cs="Times New Roman" w:eastAsia="Times New Roman" w:hAnsi="Times New Roman"/>
          <w:sz w:val="14"/>
          <w:szCs w:val="14"/>
          <w:b w:val="1"/>
          <w:bCs w:val="1"/>
          <w:color w:val="auto"/>
        </w:rPr>
        <w:t>You may attend the meeting via the Internet and vote during the meeting. Have the information that is printed in the box marked by the arrow available and follow the instructions.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190" w:lineRule="exact"/>
        <w:rPr>
          <w:sz w:val="20"/>
          <w:szCs w:val="20"/>
          <w:color w:val="auto"/>
        </w:rPr>
      </w:pPr>
    </w:p>
    <w:p>
      <w:pPr>
        <w:ind w:right="140"/>
        <w:spacing w:after="0" w:line="323" w:lineRule="auto"/>
        <w:rPr>
          <w:sz w:val="20"/>
          <w:szCs w:val="20"/>
          <w:color w:val="auto"/>
        </w:rPr>
      </w:pPr>
      <w:r>
        <w:rPr>
          <w:rFonts w:ascii="Times New Roman" w:cs="Times New Roman" w:eastAsia="Times New Roman" w:hAnsi="Times New Roman"/>
          <w:sz w:val="14"/>
          <w:szCs w:val="14"/>
          <w:b w:val="1"/>
          <w:bCs w:val="1"/>
          <w:color w:val="auto"/>
        </w:rPr>
        <w:t>Use any touch-tone telephone to transmit your voting instructions. Vote by 11:59 P.M. ET on June 12, 2025 for shares held directly and by 11:59 P.M. ET on June 10, 2025 for shares held in a Plan. Have your proxy card in hand when you call and then follow the instructions.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190" w:lineRule="exact"/>
        <w:rPr>
          <w:sz w:val="20"/>
          <w:szCs w:val="20"/>
          <w:color w:val="auto"/>
        </w:rPr>
      </w:pPr>
    </w:p>
    <w:p>
      <w:pPr>
        <w:ind w:right="380"/>
        <w:spacing w:after="0" w:line="325" w:lineRule="auto"/>
        <w:rPr>
          <w:sz w:val="20"/>
          <w:szCs w:val="20"/>
          <w:color w:val="auto"/>
        </w:rPr>
      </w:pPr>
      <w:r>
        <w:rPr>
          <w:rFonts w:ascii="Times New Roman" w:cs="Times New Roman" w:eastAsia="Times New Roman" w:hAnsi="Times New Roman"/>
          <w:sz w:val="14"/>
          <w:szCs w:val="14"/>
          <w:b w:val="1"/>
          <w:bCs w:val="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980" w:space="720"/>
            <w:col w:w="6540"/>
          </w:cols>
          <w:pgMar w:left="320" w:top="13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VOTE, MARK BLOCKS BELOW IN BLUE OR BLACK INK AS FOLLOWS:</w:t>
      </w:r>
    </w:p>
    <w:p>
      <w:pPr>
        <w:spacing w:after="0" w:line="2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KEEP THIS PORTION FOR YOUR RECORDS</w:t>
      </w:r>
    </w:p>
    <w:p>
      <w:pPr>
        <w:spacing w:after="0" w:line="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ectPr>
          <w:pgSz w:w="11900" w:h="16838" w:orient="portrait"/>
          <w:cols w:equalWidth="0" w:num="1">
            <w:col w:w="11240"/>
          </w:cols>
          <w:pgMar w:left="320" w:top="13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that you vote FOR the</w:t>
      </w:r>
    </w:p>
    <w:p>
      <w:pPr>
        <w:spacing w:after="0"/>
        <w:rPr>
          <w:sz w:val="20"/>
          <w:szCs w:val="20"/>
          <w:color w:val="auto"/>
        </w:rPr>
      </w:pPr>
      <w:r>
        <w:rPr>
          <w:rFonts w:ascii="Times New Roman" w:cs="Times New Roman" w:eastAsia="Times New Roman" w:hAnsi="Times New Roman"/>
          <w:sz w:val="14"/>
          <w:szCs w:val="14"/>
          <w:b w:val="1"/>
          <w:bCs w:val="1"/>
          <w:color w:val="auto"/>
        </w:rPr>
        <w:t>election of the following six director nominees:</w:t>
      </w:r>
    </w:p>
    <w:p>
      <w:pPr>
        <w:sectPr>
          <w:pgSz w:w="11900" w:h="16838" w:orient="portrait"/>
          <w:cols w:equalWidth="0" w:num="1">
            <w:col w:w="11080"/>
          </w:cols>
          <w:pgMar w:left="340" w:top="925" w:right="479" w:bottom="1440" w:gutter="0" w:footer="0" w:header="0"/>
        </w:sectPr>
      </w:pP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Election of Directors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Nominees: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1a. Thomas Priore</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1b. Marc Crisafulli</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1c. Marietta Davis</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1d. Christina Favilla</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1e. Clayton Main</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1f. Michael Passilla</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420" w:val="left"/>
          <w:tab w:leader="none" w:pos="1140" w:val="left"/>
          <w:tab w:leader="none" w:pos="5900" w:val="left"/>
          <w:tab w:leader="none" w:pos="6460" w:val="left"/>
          <w:tab w:leader="none" w:pos="7180" w:val="left"/>
        </w:tabs>
        <w:rPr>
          <w:sz w:val="20"/>
          <w:szCs w:val="20"/>
          <w:color w:val="auto"/>
        </w:rPr>
      </w:pP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r>
        <w:rPr>
          <w:sz w:val="20"/>
          <w:szCs w:val="20"/>
          <w:color w:val="auto"/>
        </w:rPr>
        <w:tab/>
      </w: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p>
    <w:p>
      <w:pPr>
        <w:spacing w:after="0" w:line="244" w:lineRule="exact"/>
        <w:rPr>
          <w:sz w:val="20"/>
          <w:szCs w:val="20"/>
          <w:color w:val="auto"/>
        </w:rPr>
      </w:pPr>
    </w:p>
    <w:p>
      <w:pPr>
        <w:ind w:left="1980" w:right="2760" w:firstLine="6"/>
        <w:spacing w:after="0" w:line="241" w:lineRule="auto"/>
        <w:tabs>
          <w:tab w:leader="none" w:pos="21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on a non-binding advisory basis,the compensation of our Named Executive Officers.</w:t>
      </w:r>
    </w:p>
    <w:p>
      <w:pPr>
        <w:spacing w:after="0" w:line="1368" w:lineRule="exact"/>
        <w:rPr>
          <w:sz w:val="20"/>
          <w:szCs w:val="20"/>
          <w:color w:val="auto"/>
        </w:rPr>
      </w:pPr>
    </w:p>
    <w:p>
      <w:pPr>
        <w:sectPr>
          <w:pgSz w:w="11900" w:h="16838" w:orient="portrait"/>
          <w:cols w:equalWidth="0" w:num="2">
            <w:col w:w="2700" w:space="720"/>
            <w:col w:w="7660"/>
          </w:cols>
          <w:pgMar w:left="340" w:top="92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that you vote</w:t>
      </w:r>
    </w:p>
    <w:p>
      <w:pPr>
        <w:spacing w:after="0"/>
        <w:rPr>
          <w:sz w:val="20"/>
          <w:szCs w:val="20"/>
          <w:color w:val="auto"/>
        </w:rPr>
      </w:pPr>
      <w:r>
        <w:rPr>
          <w:rFonts w:ascii="Times New Roman" w:cs="Times New Roman" w:eastAsia="Times New Roman" w:hAnsi="Times New Roman"/>
          <w:sz w:val="14"/>
          <w:szCs w:val="14"/>
          <w:b w:val="1"/>
          <w:bCs w:val="1"/>
          <w:color w:val="auto"/>
        </w:rPr>
        <w:t>FOR proposals 2, 3, and 4.</w:t>
      </w:r>
    </w:p>
    <w:p>
      <w:pPr>
        <w:sectPr>
          <w:pgSz w:w="11900" w:h="16838" w:orient="portrait"/>
          <w:cols w:equalWidth="0" w:num="1">
            <w:col w:w="11080"/>
          </w:cols>
          <w:pgMar w:left="340" w:top="925" w:right="479" w:bottom="1440" w:gutter="0" w:footer="0" w:header="0"/>
          <w:type w:val="continuous"/>
        </w:sectPr>
      </w:pPr>
    </w:p>
    <w:p>
      <w:pPr>
        <w:spacing w:after="0" w:line="228" w:lineRule="exact"/>
        <w:rPr>
          <w:sz w:val="20"/>
          <w:szCs w:val="20"/>
          <w:color w:val="auto"/>
        </w:rPr>
      </w:pPr>
    </w:p>
    <w:p>
      <w:pPr>
        <w:jc w:val="both"/>
        <w:ind w:right="140" w:firstLine="6"/>
        <w:spacing w:after="0" w:line="241" w:lineRule="auto"/>
        <w:tabs>
          <w:tab w:leader="none" w:pos="14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Amendment 2 to Priority Technology Holdings, Inc. 2021 Employee Stock Purchase Plan</w:t>
      </w:r>
    </w:p>
    <w:p>
      <w:pPr>
        <w:spacing w:after="0" w:line="200" w:lineRule="exact"/>
        <w:rPr>
          <w:sz w:val="20"/>
          <w:szCs w:val="20"/>
          <w:color w:val="auto"/>
        </w:rPr>
      </w:pPr>
    </w:p>
    <w:p>
      <w:pPr>
        <w:spacing w:after="0" w:line="300"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w:t>
      </w:r>
    </w:p>
    <w:p>
      <w:pPr>
        <w:spacing w:after="0" w:line="221" w:lineRule="auto"/>
        <w:rPr>
          <w:sz w:val="20"/>
          <w:szCs w:val="20"/>
          <w:color w:val="auto"/>
        </w:rPr>
      </w:pPr>
      <w:r>
        <w:rPr>
          <w:rFonts w:ascii="Times New Roman" w:cs="Times New Roman" w:eastAsia="Times New Roman" w:hAnsi="Times New Roman"/>
          <w:sz w:val="14"/>
          <w:szCs w:val="14"/>
          <w:color w:val="auto"/>
        </w:rPr>
        <w:t>other fiduciary, please give full title as such. Joint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4"/>
          <w:szCs w:val="14"/>
          <w:color w:val="auto"/>
        </w:rPr>
        <w:t>owners should each sign personally. All holders must sign. If a corporation or partnership, please sign in full</w:t>
      </w:r>
    </w:p>
    <w:p>
      <w:pPr>
        <w:spacing w:after="0"/>
        <w:rPr>
          <w:sz w:val="20"/>
          <w:szCs w:val="20"/>
          <w:color w:val="auto"/>
        </w:rPr>
      </w:pPr>
      <w:r>
        <w:rPr>
          <w:rFonts w:ascii="Times New Roman" w:cs="Times New Roman" w:eastAsia="Times New Roman" w:hAnsi="Times New Roman"/>
          <w:sz w:val="14"/>
          <w:szCs w:val="14"/>
          <w:color w:val="auto"/>
        </w:rPr>
        <w:t>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2846070" cy="248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420" w:val="left"/>
          <w:tab w:leader="none" w:pos="1140" w:val="left"/>
          <w:tab w:leader="none" w:pos="5900" w:val="left"/>
          <w:tab w:leader="none" w:pos="6460" w:val="left"/>
          <w:tab w:leader="none" w:pos="7180" w:val="left"/>
        </w:tabs>
        <w:rPr>
          <w:sz w:val="20"/>
          <w:szCs w:val="20"/>
          <w:color w:val="auto"/>
        </w:rPr>
      </w:pP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r>
        <w:rPr>
          <w:sz w:val="20"/>
          <w:szCs w:val="20"/>
          <w:color w:val="auto"/>
        </w:rPr>
        <w:tab/>
      </w: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p>
    <w:p>
      <w:pPr>
        <w:spacing w:after="0" w:line="42" w:lineRule="exact"/>
        <w:rPr>
          <w:sz w:val="20"/>
          <w:szCs w:val="20"/>
          <w:color w:val="auto"/>
        </w:rPr>
      </w:pPr>
    </w:p>
    <w:p>
      <w:pPr>
        <w:jc w:val="both"/>
        <w:ind w:left="1980" w:right="2640" w:firstLine="6"/>
        <w:spacing w:after="0" w:line="231" w:lineRule="auto"/>
        <w:tabs>
          <w:tab w:leader="none" w:pos="21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Ernst &amp; Young LLP as the Company's independent registered public accounting firm for the year ending December 31, 2025.</w:t>
      </w:r>
    </w:p>
    <w:p>
      <w:pPr>
        <w:spacing w:after="0" w:line="200" w:lineRule="exact"/>
        <w:rPr>
          <w:sz w:val="20"/>
          <w:szCs w:val="20"/>
          <w:color w:val="auto"/>
        </w:rPr>
      </w:pPr>
    </w:p>
    <w:p>
      <w:pPr>
        <w:spacing w:after="0" w:line="34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NOTE: To consider such other business as may</w:t>
      </w:r>
    </w:p>
    <w:p>
      <w:pPr>
        <w:ind w:left="1980"/>
        <w:spacing w:after="0" w:line="221" w:lineRule="auto"/>
        <w:rPr>
          <w:sz w:val="20"/>
          <w:szCs w:val="20"/>
          <w:color w:val="auto"/>
        </w:rPr>
      </w:pPr>
      <w:r>
        <w:rPr>
          <w:rFonts w:ascii="Times New Roman" w:cs="Times New Roman" w:eastAsia="Times New Roman" w:hAnsi="Times New Roman"/>
          <w:sz w:val="14"/>
          <w:szCs w:val="14"/>
          <w:color w:val="auto"/>
        </w:rPr>
        <w:t>properly come before the Annual Meeting and any</w:t>
      </w:r>
    </w:p>
    <w:p>
      <w:pPr>
        <w:ind w:left="1980"/>
        <w:spacing w:after="0"/>
        <w:rPr>
          <w:sz w:val="20"/>
          <w:szCs w:val="20"/>
          <w:color w:val="auto"/>
        </w:rPr>
      </w:pPr>
      <w:r>
        <w:rPr>
          <w:rFonts w:ascii="Times New Roman" w:cs="Times New Roman" w:eastAsia="Times New Roman" w:hAnsi="Times New Roman"/>
          <w:sz w:val="14"/>
          <w:szCs w:val="14"/>
          <w:color w:val="auto"/>
        </w:rPr>
        <w:t>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399415</wp:posOffset>
            </wp:positionV>
            <wp:extent cx="3240405" cy="248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40405" cy="24892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3140" w:space="280"/>
            <w:col w:w="7660"/>
          </w:cols>
          <w:pgMar w:left="340" w:top="92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720" w:val="left"/>
          <w:tab w:leader="none" w:pos="5380" w:val="left"/>
          <w:tab w:leader="none" w:pos="964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925" w:right="47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[control number]</w:t>
      </w:r>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The Notice and Proxy Statement and Annual Report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p>
    <w:p>
      <w:pPr>
        <w:spacing w:after="0" w:line="3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June 13, 2025 9:00 A.M. Eastern Daylight Time</w:t>
      </w:r>
    </w:p>
    <w:p>
      <w:pPr>
        <w:spacing w:after="0" w:line="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310" w:lineRule="exact"/>
        <w:rPr>
          <w:sz w:val="20"/>
          <w:szCs w:val="20"/>
          <w:color w:val="auto"/>
        </w:rPr>
      </w:pPr>
    </w:p>
    <w:p>
      <w:pPr>
        <w:jc w:val="both"/>
        <w:ind w:right="120"/>
        <w:spacing w:after="0" w:line="369" w:lineRule="auto"/>
        <w:rPr>
          <w:sz w:val="20"/>
          <w:szCs w:val="20"/>
          <w:color w:val="auto"/>
        </w:rPr>
      </w:pPr>
      <w:r>
        <w:rPr>
          <w:rFonts w:ascii="Times New Roman" w:cs="Times New Roman" w:eastAsia="Times New Roman" w:hAnsi="Times New Roman"/>
          <w:sz w:val="18"/>
          <w:szCs w:val="18"/>
          <w:color w:val="auto"/>
        </w:rPr>
        <w:t>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www.virtualshareholdermeeting.com/PRTH2025 or any adjournment or postponement thereof, with all powers which the undersigned would possess if present at the meeting.</w:t>
      </w:r>
    </w:p>
    <w:p>
      <w:pPr>
        <w:spacing w:after="0" w:line="179"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b w:val="1"/>
          <w:bCs w:val="1"/>
          <w:color w:val="auto"/>
        </w:rPr>
        <w:t>THIS PROXY CARD, WHEN PROPERLY EXECUTED, WILL BE VOTED IN THE MANNER DIRECTED HEREIN BY THE UNDERSIGNED. IF NO DIRECTION IS MADE BUT THE CARD IS SIGNED, THIS PROXY CARD WILL BE VOTED FOR THE ELECTION OF ALL SIX NOMINEES UNDER PROPOSAL 1, FOR PROPOSALS 2, 3, AND 4,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32</w:t>
      </w:r>
    </w:p>
    <w:sectPr>
      <w:pgSz w:w="11900" w:h="16838" w:orient="portrait"/>
      <w:cols w:equalWidth="0" w:num="1">
        <w:col w:w="11120"/>
      </w:cols>
      <w:pgMar w:left="44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2"/>
    </w:lvl>
    <w:lvl w:ilvl="1">
      <w:lvlJc w:val="left"/>
      <w:lvlText w:val="%2."/>
      <w:numFmt w:val="lowerRoman"/>
      <w:start w:val="1"/>
    </w:lvl>
  </w:abstractNum>
  <w:abstractNum w:abstractNumId="17">
    <w:nsid w:val="333AB105"/>
    <w:multiLevelType w:val="hybridMultilevel"/>
    <w:lvl w:ilvl="0">
      <w:lvlJc w:val="left"/>
      <w:lvlText w:val="(%1)"/>
      <w:numFmt w:val="lowerLetter"/>
      <w:start w:val="8"/>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3"/>
    </w:lvl>
  </w:abstractNum>
  <w:abstractNum w:abstractNumId="23">
    <w:nsid w:val="8EDBDAB"/>
    <w:multiLevelType w:val="hybridMultilevel"/>
    <w:lvl w:ilvl="0">
      <w:lvlJc w:val="left"/>
      <w:lvlText w:val="%1."/>
      <w:numFmt w:val="decimal"/>
      <w:start w:val="2"/>
    </w:lvl>
  </w:abstractNum>
  <w:abstractNum w:abstractNumId="24">
    <w:nsid w:val="79838CB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2025-04-11T06:36:38Z</dcterms:created>
  <dcterms:modified xsi:type="dcterms:W3CDTF">2025-04-11T06:36:38Z</dcterms:modified>
</cp:coreProperties>
</file>