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-12700</wp:posOffset>
            </wp:positionV>
            <wp:extent cx="105410" cy="105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" cy="105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00" w:right="160" w:hanging="7"/>
        <w:spacing w:after="0" w:line="265" w:lineRule="auto"/>
        <w:tabs>
          <w:tab w:leader="none" w:pos="456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40" w:type="dxa"/>
            <w:vAlign w:val="bottom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4936490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3627120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-2004060</wp:posOffset>
            </wp:positionH>
            <wp:positionV relativeFrom="paragraph">
              <wp:posOffset>19685</wp:posOffset>
            </wp:positionV>
            <wp:extent cx="7019290" cy="33483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348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20" w:space="720"/>
            <w:col w:w="7880"/>
          </w:cols>
          <w:pgMar w:left="440" w:top="202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Ram Ranjana</w:t>
        </w:r>
      </w:hyperlink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PRIORITY TECHNOLOGY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2001 WESTSIDE PARKWAY, SUITE 155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ALPHARETTA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30004</w:t>
            </w: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4" w:lineRule="exact"/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3"/>
                  <w:szCs w:val="13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04/19/2024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Head of M&amp;A Strategic Initiati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Rule 10b5-1(c) Transaction Indication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ind w:left="260" w:right="62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80" w:space="80"/>
            <w:col w:w="7160"/>
          </w:cols>
          <w:pgMar w:left="440" w:top="202" w:right="4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7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04/19/2024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83,333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0"/>
              <w:spacing w:after="0" w:line="2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380,769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04/19/2024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83,333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right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75"/>
              </w:rPr>
              <w:t>(2)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83,333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4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Each restricted stock unit represents a contingent right to receive one share of the Issuer's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22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On April 19,2021, the Reporting Person was granted 250,000 restricted stock units. 250,000 vest subject to the Reporting Person's continued service as an employee of the Issuer as follows: 83,334 on April 19, 2022; 83,333 on April 19, 2023; and 83,333 on April 19, 2024.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Bradley J. Miller (Attorney-In-Fact)  04/24/2024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791335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33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20"/>
        <w:spacing w:after="0"/>
        <w:tabs>
          <w:tab w:leader="none" w:pos="8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6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828071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2024-04-24T14:02:48Z</dcterms:created>
  <dcterms:modified xsi:type="dcterms:W3CDTF">2024-04-24T14:02:48Z</dcterms:modified>
</cp:coreProperties>
</file>