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9, 2018</w:t>
      </w:r>
    </w:p>
    <w:p>
      <w:pPr>
        <w:spacing w:after="0" w:line="27" w:lineRule="exact"/>
        <w:rPr>
          <w:sz w:val="24"/>
          <w:szCs w:val="24"/>
          <w:color w:val="auto"/>
        </w:rPr>
      </w:pPr>
    </w:p>
    <w:p>
      <w:pPr>
        <w:ind w:left="91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S-3</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Priority Technology Holdings,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5160" w:type="dxa"/>
            <w:vAlign w:val="bottom"/>
          </w:tcPr>
          <w:p>
            <w:pPr>
              <w:jc w:val="center"/>
              <w:ind w:right="2670"/>
              <w:spacing w:after="0"/>
              <w:rPr>
                <w:sz w:val="20"/>
                <w:szCs w:val="20"/>
                <w:color w:val="auto"/>
              </w:rPr>
            </w:pPr>
            <w:r>
              <w:rPr>
                <w:rFonts w:ascii="Arial" w:cs="Arial" w:eastAsia="Arial" w:hAnsi="Arial"/>
                <w:sz w:val="18"/>
                <w:szCs w:val="18"/>
                <w:b w:val="1"/>
                <w:bCs w:val="1"/>
                <w:color w:val="auto"/>
                <w:w w:val="91"/>
              </w:rPr>
              <w:t>Delaware</w:t>
            </w:r>
          </w:p>
        </w:tc>
        <w:tc>
          <w:tcPr>
            <w:tcW w:w="4560" w:type="dxa"/>
            <w:vAlign w:val="bottom"/>
          </w:tcPr>
          <w:p>
            <w:pPr>
              <w:jc w:val="right"/>
              <w:ind w:right="330"/>
              <w:spacing w:after="0"/>
              <w:rPr>
                <w:sz w:val="20"/>
                <w:szCs w:val="20"/>
                <w:color w:val="auto"/>
              </w:rPr>
            </w:pPr>
            <w:r>
              <w:rPr>
                <w:rFonts w:ascii="Arial" w:cs="Arial" w:eastAsia="Arial" w:hAnsi="Arial"/>
                <w:sz w:val="18"/>
                <w:szCs w:val="18"/>
                <w:b w:val="1"/>
                <w:bCs w:val="1"/>
                <w:color w:val="auto"/>
              </w:rPr>
              <w:t>47-4257046</w:t>
            </w:r>
          </w:p>
        </w:tc>
      </w:tr>
      <w:tr>
        <w:trPr>
          <w:trHeight w:val="216"/>
        </w:trPr>
        <w:tc>
          <w:tcPr>
            <w:tcW w:w="5160" w:type="dxa"/>
            <w:vAlign w:val="bottom"/>
          </w:tcPr>
          <w:p>
            <w:pPr>
              <w:jc w:val="center"/>
              <w:ind w:right="2650"/>
              <w:spacing w:after="0"/>
              <w:rPr>
                <w:sz w:val="20"/>
                <w:szCs w:val="20"/>
                <w:color w:val="auto"/>
              </w:rPr>
            </w:pPr>
            <w:r>
              <w:rPr>
                <w:rFonts w:ascii="Arial" w:cs="Arial" w:eastAsia="Arial" w:hAnsi="Arial"/>
                <w:sz w:val="18"/>
                <w:szCs w:val="18"/>
                <w:b w:val="1"/>
                <w:bCs w:val="1"/>
                <w:color w:val="auto"/>
                <w:w w:val="91"/>
              </w:rPr>
              <w:t>(State or other jurisdiction of</w:t>
            </w:r>
          </w:p>
        </w:tc>
        <w:tc>
          <w:tcPr>
            <w:tcW w:w="4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160" w:type="dxa"/>
            <w:vAlign w:val="bottom"/>
          </w:tcPr>
          <w:p>
            <w:pPr>
              <w:jc w:val="center"/>
              <w:ind w:right="2710"/>
              <w:spacing w:after="0"/>
              <w:rPr>
                <w:sz w:val="20"/>
                <w:szCs w:val="20"/>
                <w:color w:val="auto"/>
              </w:rPr>
            </w:pPr>
            <w:r>
              <w:rPr>
                <w:rFonts w:ascii="Arial" w:cs="Arial" w:eastAsia="Arial" w:hAnsi="Arial"/>
                <w:sz w:val="18"/>
                <w:szCs w:val="18"/>
                <w:b w:val="1"/>
                <w:bCs w:val="1"/>
                <w:color w:val="auto"/>
                <w:w w:val="91"/>
              </w:rPr>
              <w:t>incorporation or organization)</w:t>
            </w:r>
          </w:p>
        </w:tc>
        <w:tc>
          <w:tcPr>
            <w:tcW w:w="4560" w:type="dxa"/>
            <w:vAlign w:val="bottom"/>
          </w:tcPr>
          <w:p>
            <w:pPr>
              <w:ind w:left="2780"/>
              <w:spacing w:after="0"/>
              <w:rPr>
                <w:sz w:val="20"/>
                <w:szCs w:val="20"/>
                <w:color w:val="auto"/>
              </w:rPr>
            </w:pPr>
            <w:r>
              <w:rPr>
                <w:rFonts w:ascii="Arial" w:cs="Arial" w:eastAsia="Arial" w:hAnsi="Arial"/>
                <w:sz w:val="18"/>
                <w:szCs w:val="18"/>
                <w:b w:val="1"/>
                <w:bCs w:val="1"/>
                <w:color w:val="auto"/>
                <w:w w:val="92"/>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2001 Westside Parkway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Alpharetta, GA 30004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935-5961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Christopher Prince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2001 Westside Parkway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Alpharetta, GA 30004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935-5961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Mahon,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Schulte Roth &amp; Zabel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919 Third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Phone: (212) 756-2000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(212) 593-5955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the effective date of this registration statement.</w:t>
      </w:r>
    </w:p>
    <w:p>
      <w:pPr>
        <w:spacing w:after="0" w:line="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6"/>
          <w:szCs w:val="16"/>
          <w:color w:val="auto"/>
        </w:rPr>
        <w:t>☐</w:t>
      </w:r>
    </w:p>
    <w:p>
      <w:pPr>
        <w:spacing w:after="0" w:line="239"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7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6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3"/>
              </w:rPr>
              <w:t>Large accelerated filer</w:t>
            </w:r>
          </w:p>
        </w:tc>
        <w:tc>
          <w:tcPr>
            <w:tcW w:w="55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940"/>
              <w:spacing w:after="0"/>
              <w:rPr>
                <w:sz w:val="20"/>
                <w:szCs w:val="20"/>
                <w:color w:val="auto"/>
              </w:rPr>
            </w:pPr>
            <w:r>
              <w:rPr>
                <w:rFonts w:ascii="Arial" w:cs="Arial" w:eastAsia="Arial" w:hAnsi="Arial"/>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9"/>
              </w:rPr>
              <w:t>Non-accelerated filer</w:t>
            </w:r>
          </w:p>
        </w:tc>
        <w:tc>
          <w:tcPr>
            <w:tcW w:w="556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960" w:type="dxa"/>
            <w:vAlign w:val="bottom"/>
          </w:tcPr>
          <w:p>
            <w:pPr>
              <w:ind w:left="1940"/>
              <w:spacing w:after="0"/>
              <w:rPr>
                <w:sz w:val="20"/>
                <w:szCs w:val="20"/>
                <w:color w:val="auto"/>
              </w:rPr>
            </w:pPr>
            <w:r>
              <w:rPr>
                <w:rFonts w:ascii="Arial" w:cs="Arial" w:eastAsia="Arial" w:hAnsi="Arial"/>
                <w:sz w:val="18"/>
                <w:szCs w:val="18"/>
                <w:color w:val="auto"/>
                <w:w w:val="92"/>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960" w:type="dxa"/>
            <w:vAlign w:val="bottom"/>
          </w:tcPr>
          <w:p>
            <w:pPr>
              <w:ind w:left="1940"/>
              <w:spacing w:after="0"/>
              <w:rPr>
                <w:sz w:val="20"/>
                <w:szCs w:val="20"/>
                <w:color w:val="auto"/>
              </w:rPr>
            </w:pPr>
            <w:r>
              <w:rPr>
                <w:rFonts w:ascii="Arial" w:cs="Arial" w:eastAsia="Arial" w:hAnsi="Arial"/>
                <w:sz w:val="18"/>
                <w:szCs w:val="18"/>
                <w:color w:val="auto"/>
                <w:w w:val="93"/>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580" w:type="dxa"/>
            <w:vAlign w:val="bottom"/>
            <w:tcBorders>
              <w:top w:val="single" w:sz="8" w:color="auto"/>
              <w:right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68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Title of Each Class of</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be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Price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168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20" w:type="dxa"/>
            <w:vAlign w:val="bottom"/>
          </w:tcPr>
          <w:p>
            <w:pPr>
              <w:spacing w:after="0"/>
              <w:rPr>
                <w:sz w:val="20"/>
                <w:szCs w:val="20"/>
                <w:color w:val="auto"/>
              </w:rPr>
            </w:pP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Securities to be Registered</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 Unit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Price</w:t>
            </w:r>
          </w:p>
        </w:tc>
        <w:tc>
          <w:tcPr>
            <w:tcW w:w="16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Registration Fee</w:t>
            </w:r>
          </w:p>
        </w:tc>
      </w:tr>
      <w:tr>
        <w:trPr>
          <w:trHeight w:val="210"/>
        </w:trPr>
        <w:tc>
          <w:tcPr>
            <w:tcW w:w="20" w:type="dxa"/>
            <w:vAlign w:val="bottom"/>
            <w:tcBorders>
              <w:bottom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1,500,000(1)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$11.10(2)</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$16,650,000</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$2,072.94</w:t>
            </w:r>
          </w:p>
        </w:tc>
      </w:tr>
      <w:tr>
        <w:trPr>
          <w:trHeight w:val="21"/>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ind w:left="340" w:right="160" w:hanging="332"/>
        <w:spacing w:after="0" w:line="265"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the event of a stock split, reverse stock split, stock dividend or similar transaction involving our common stock, the number of shares registered shall automatically be adjusted to cover the additional shares of our common stock issuable pursuant to Rule 416 under the Securities Act.</w:t>
      </w:r>
    </w:p>
    <w:p>
      <w:pPr>
        <w:ind w:left="340" w:right="180" w:hanging="332"/>
        <w:spacing w:after="0" w:line="25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457(c) under the Securities Act, based on the average of the high and low prices of the common stock on August 7, 2018, as reported on the Nasdaq. The proposed maximum offering price per share of common stock will be determined from time to time by the selling stockholders in connection with, and at the time of, the sale of the securities registered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601345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both"/>
        <w:spacing w:after="0" w:line="289" w:lineRule="auto"/>
        <w:rPr>
          <w:sz w:val="20"/>
          <w:szCs w:val="20"/>
          <w:color w:val="auto"/>
        </w:rPr>
      </w:pPr>
      <w:r>
        <w:rPr>
          <w:rFonts w:ascii="Arial" w:cs="Arial" w:eastAsia="Arial" w:hAnsi="Arial"/>
          <w:sz w:val="17"/>
          <w:szCs w:val="17"/>
          <w:b w:val="1"/>
          <w:bCs w:val="1"/>
          <w:color w:val="FF0000"/>
        </w:rPr>
        <w:t>The information in this prospectus is not complete and may be changed. We may not sell these securities until the registration statement relating to these securities that has been filed with the Securities and Exchange Commission is effective. This prospectus is not an offer to sell these securities and it is not soliciting an offer to buy these securities in any state where the offer or sale is not permitted.</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FF0000"/>
        </w:rPr>
        <w:t>(Subject to Completion, Dated August 9,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154940</wp:posOffset>
            </wp:positionV>
            <wp:extent cx="3001645" cy="805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164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Priority Technology Holdings, Inc.</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1,500,000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selling stockholders identified herein may offer to sell shares of our common stock, par value $0.001 per share, from time to time in amounts, at prices and on terms that will be determined at the time of any such offering as described under “Plan of Distribution”.</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This prospectus describes some of the general terms that may apply to these securities. Each time that the selling stockholders offer any securities using this prospectus, we will provide a prospectus supplement and attach it to this prospectus. The prospectus supplement or a free writing prospectus will contain more specific information about the offering and the securities being offered, including identifying the selling stockholders as well as the specific amounts, prices and terms of the securities being offered. The prospectus supplement or free writing prospectus may also add, update or change information contained in this prospectus. This prospectus may not be used to sell securities unless accompanied by a prospectus supplement identifying the selling stockholders and describing the method and terms of the offering.</w:t>
      </w:r>
    </w:p>
    <w:p>
      <w:pPr>
        <w:spacing w:after="0" w:line="17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selling stockholders may sell the shares of common stock described in this prospectus in a number of different ways and at varying prices. We provide more information about how the selling stockholders may sell their shares of common stock in the section entitled “Plan of Distribution” on page 8. The selling stockholders will bear all commissions and discounts, if any, attributable to the sale or disposition of the shares, or interests therein.</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will bear all costs, expenses and fees in connection with the registration of the shares other than any underwriting discounts or commissions. We will not receive any of the proceeds from the sale of shares by the selling stockholders.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common stock is listed and traded on the NASDAQ Capital Market (“NASDAQ”) under the symbol “PRTH.” On August 8, 2018, the last reported sales price for our common stock was $11.05 per share.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You should carefully read this prospectus and any applicable prospectus supplement and free writing prospectus, together with any documents we incorporate by reference,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 w:name="page4"/>
    <w:bookmarkEnd w:id="3"/>
    <w:p>
      <w:pPr>
        <w:ind w:right="20"/>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carefully consider the risk factors referred to in the section titled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5 of this prospectus, in any prospectus supplement and free writing prospectus, together with the documents incorporated or deemed incorporated by reference before you make your investment decision.</w:t>
      </w:r>
    </w:p>
    <w:p>
      <w:pPr>
        <w:spacing w:after="0" w:line="176" w:lineRule="exact"/>
        <w:rPr>
          <w:sz w:val="20"/>
          <w:szCs w:val="20"/>
          <w:color w:val="auto"/>
        </w:rPr>
      </w:pPr>
    </w:p>
    <w:p>
      <w:pPr>
        <w:ind w:right="220"/>
        <w:spacing w:after="0" w:line="313" w:lineRule="auto"/>
        <w:rPr>
          <w:sz w:val="20"/>
          <w:szCs w:val="20"/>
          <w:color w:val="auto"/>
        </w:rPr>
      </w:pPr>
      <w:r>
        <w:rPr>
          <w:rFonts w:ascii="Arial" w:cs="Arial" w:eastAsia="Arial" w:hAnsi="Arial"/>
          <w:sz w:val="17"/>
          <w:szCs w:val="17"/>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ind w:left="4100"/>
              <w:spacing w:after="0"/>
              <w:rPr>
                <w:sz w:val="20"/>
                <w:szCs w:val="20"/>
                <w:color w:val="auto"/>
              </w:rPr>
            </w:pPr>
            <w:r>
              <w:rPr>
                <w:rFonts w:ascii="Arial" w:cs="Arial" w:eastAsia="Arial" w:hAnsi="Arial"/>
                <w:sz w:val="18"/>
                <w:szCs w:val="18"/>
                <w:b w:val="1"/>
                <w:bCs w:val="1"/>
                <w:color w:val="auto"/>
                <w:w w:val="96"/>
              </w:rPr>
              <w:t>The date of this prospectus is</w:t>
            </w:r>
          </w:p>
        </w:tc>
        <w:tc>
          <w:tcPr>
            <w:tcW w:w="4840" w:type="dxa"/>
            <w:vAlign w:val="bottom"/>
          </w:tcPr>
          <w:p>
            <w:pPr>
              <w:jc w:val="right"/>
              <w:ind w:right="4010"/>
              <w:spacing w:after="0"/>
              <w:rPr>
                <w:sz w:val="20"/>
                <w:szCs w:val="20"/>
                <w:color w:val="auto"/>
              </w:rPr>
            </w:pPr>
            <w:r>
              <w:rPr>
                <w:rFonts w:ascii="Arial" w:cs="Arial" w:eastAsia="Arial" w:hAnsi="Arial"/>
                <w:sz w:val="18"/>
                <w:szCs w:val="18"/>
                <w:b w:val="1"/>
                <w:bCs w:val="1"/>
                <w:color w:val="auto"/>
              </w:rPr>
              <w:t>, 2018.</w:t>
            </w:r>
          </w:p>
        </w:tc>
      </w:tr>
      <w:tr>
        <w:trPr>
          <w:trHeight w:val="554"/>
        </w:trPr>
        <w:tc>
          <w:tcPr>
            <w:tcW w:w="65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0" w:type="dxa"/>
            <w:vAlign w:val="bottom"/>
            <w:gridSpan w:val="2"/>
          </w:tcPr>
          <w:p>
            <w:pPr>
              <w:jc w:val="right"/>
              <w:ind w:right="45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0" w:type="dxa"/>
            <w:vAlign w:val="bottom"/>
            <w:gridSpan w:val="2"/>
          </w:tcPr>
          <w:p>
            <w:pPr>
              <w:jc w:val="right"/>
              <w:ind w:right="510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432"/>
        </w:trPr>
        <w:tc>
          <w:tcPr>
            <w:tcW w:w="4320" w:type="dxa"/>
            <w:vAlign w:val="bottom"/>
            <w:gridSpan w:val="12"/>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70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4320" w:type="dxa"/>
            <w:vAlign w:val="bottom"/>
            <w:gridSpan w:val="12"/>
            <w:vMerge w:val="continue"/>
          </w:tcPr>
          <w:p>
            <w:pPr>
              <w:spacing w:after="0"/>
              <w:rPr>
                <w:sz w:val="13"/>
                <w:szCs w:val="13"/>
                <w:color w:val="auto"/>
              </w:rPr>
            </w:pPr>
          </w:p>
        </w:tc>
        <w:tc>
          <w:tcPr>
            <w:tcW w:w="6620" w:type="dxa"/>
            <w:vAlign w:val="bottom"/>
          </w:tcPr>
          <w:p>
            <w:pPr>
              <w:spacing w:after="0"/>
              <w:rPr>
                <w:sz w:val="13"/>
                <w:szCs w:val="13"/>
                <w:color w:val="auto"/>
              </w:rPr>
            </w:pPr>
          </w:p>
        </w:tc>
        <w:tc>
          <w:tcPr>
            <w:tcW w:w="38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Special Note Regarding Forward-Looking Statements</w:t>
              </w:r>
            </w:hyperlink>
          </w:p>
        </w:tc>
        <w:tc>
          <w:tcPr>
            <w:tcW w:w="7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Our Company</w:t>
              </w:r>
            </w:hyperlink>
          </w:p>
        </w:tc>
        <w:tc>
          <w:tcPr>
            <w:tcW w:w="2840" w:type="dxa"/>
            <w:vAlign w:val="bottom"/>
            <w:tcBorders>
              <w:top w:val="single" w:sz="8" w:color="0000EE"/>
            </w:tcBorders>
            <w:gridSpan w:val="7"/>
          </w:tcPr>
          <w:p>
            <w:pPr>
              <w:spacing w:after="0"/>
              <w:rPr>
                <w:sz w:val="17"/>
                <w:szCs w:val="17"/>
                <w:color w:val="auto"/>
              </w:rPr>
            </w:pPr>
          </w:p>
        </w:tc>
        <w:tc>
          <w:tcPr>
            <w:tcW w:w="440" w:type="dxa"/>
            <w:vAlign w:val="bottom"/>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Risk Factors</w:t>
              </w:r>
            </w:hyperlink>
          </w:p>
        </w:tc>
        <w:tc>
          <w:tcPr>
            <w:tcW w:w="3400" w:type="dxa"/>
            <w:vAlign w:val="bottom"/>
            <w:gridSpan w:val="10"/>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Use of Proceeds</w:t>
              </w:r>
            </w:hyperlink>
          </w:p>
        </w:tc>
        <w:tc>
          <w:tcPr>
            <w:tcW w:w="3140" w:type="dxa"/>
            <w:vAlign w:val="bottom"/>
            <w:gridSpan w:val="7"/>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320" w:type="dxa"/>
            <w:vAlign w:val="bottom"/>
            <w:gridSpan w:val="1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Selling Stockholders</w:t>
              </w:r>
            </w:hyperlink>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1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Capital Stock</w:t>
              </w:r>
            </w:hyperlink>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Plan of Distribution</w:t>
              </w:r>
            </w:hyperlink>
          </w:p>
        </w:tc>
        <w:tc>
          <w:tcPr>
            <w:tcW w:w="560" w:type="dxa"/>
            <w:vAlign w:val="bottom"/>
            <w:tcBorders>
              <w:top w:val="single" w:sz="8" w:color="0000EE"/>
            </w:tcBorders>
            <w:gridSpan w:val="2"/>
          </w:tcPr>
          <w:p>
            <w:pPr>
              <w:spacing w:after="0"/>
              <w:rPr>
                <w:sz w:val="17"/>
                <w:szCs w:val="17"/>
                <w:color w:val="auto"/>
              </w:rPr>
            </w:pPr>
          </w:p>
        </w:tc>
        <w:tc>
          <w:tcPr>
            <w:tcW w:w="2260" w:type="dxa"/>
            <w:vAlign w:val="bottom"/>
            <w:gridSpan w:val="4"/>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Legal Matters</w:t>
              </w:r>
            </w:hyperlink>
          </w:p>
        </w:tc>
        <w:tc>
          <w:tcPr>
            <w:tcW w:w="3300" w:type="dxa"/>
            <w:vAlign w:val="bottom"/>
            <w:gridSpan w:val="9"/>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Experts</w:t>
              </w:r>
            </w:hyperlink>
          </w:p>
        </w:tc>
        <w:tc>
          <w:tcPr>
            <w:tcW w:w="3760" w:type="dxa"/>
            <w:vAlign w:val="bottom"/>
            <w:gridSpan w:val="11"/>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Where You Can Find More Information</w:t>
              </w:r>
            </w:hyperlink>
          </w:p>
        </w:tc>
        <w:tc>
          <w:tcPr>
            <w:tcW w:w="1440" w:type="dxa"/>
            <w:vAlign w:val="bottom"/>
            <w:gridSpan w:val="2"/>
          </w:tcPr>
          <w:p>
            <w:pPr>
              <w:spacing w:after="0"/>
              <w:rPr>
                <w:sz w:val="17"/>
                <w:szCs w:val="17"/>
                <w:color w:val="auto"/>
              </w:rPr>
            </w:pPr>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320" w:type="dxa"/>
            <w:vAlign w:val="bottom"/>
            <w:gridSpan w:val="1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Information Incorporated By Reference</w:t>
              </w:r>
            </w:hyperlink>
          </w:p>
        </w:tc>
        <w:tc>
          <w:tcPr>
            <w:tcW w:w="7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
        <w:spacing w:after="0" w:line="290"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under the Securities Act of 1933, as amended (the “Securities Act”), using a “shelf” registration process. Under this shelf registration process, one or more selling stockholders may, from time to time, offer up to 1,500,000 shares of our common stock in one or more offerings. This prospectus provides you with a general description of the securities that the selling stockholders may offer. Any prospectus supplement and any free writing prospectus may contain more specific information about the offering, including the specific amounts, prices and terms of the securities being offered. A prospectus supplement may also add, update, change or clarify information contained in or incorporated by reference into this prospectus. Any statement that we make in this prospectus will be modified or superseded by any inconsistent statement made by us in a prospectus supplement. If there is any inconsistency between the information in this prospectus and the information in the prospectus supplement, you should rely on the information in the prospectus supplement.</w:t>
      </w:r>
    </w:p>
    <w:p>
      <w:pPr>
        <w:spacing w:after="0" w:line="166" w:lineRule="exact"/>
        <w:rPr>
          <w:sz w:val="20"/>
          <w:szCs w:val="20"/>
          <w:color w:val="auto"/>
        </w:rPr>
      </w:pPr>
    </w:p>
    <w:p>
      <w:pPr>
        <w:ind w:left="20"/>
        <w:spacing w:after="0" w:line="270" w:lineRule="auto"/>
        <w:rPr>
          <w:sz w:val="20"/>
          <w:szCs w:val="20"/>
          <w:color w:val="auto"/>
        </w:rPr>
      </w:pPr>
      <w:r>
        <w:rPr>
          <w:rFonts w:ascii="Arial" w:cs="Arial" w:eastAsia="Arial" w:hAnsi="Arial"/>
          <w:sz w:val="17"/>
          <w:szCs w:val="17"/>
          <w:color w:val="auto"/>
        </w:rPr>
        <w:t>The rules of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You should carefully read both this prospectus and the applicable prospectus supplement together with the additional information that is incorporated or deemed incorporated by reference in this prospectus as described under the heading “Information Incorporated by Reference” and any additional information described under the heading “Where You Can Find More Information” before making an investment in our securities. 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described herein have been filed, or will be filed or incorporated by reference, as exhibits to the registration statement of which this prospectus is a part. The registration statement, including the exhibits and documents incorporated or deemed incorporated by reference in this prospectus can be read on the SEC website or at the SEC offices mentioned under the heading “Where You Can Find More Information.”</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5" w:name="page6"/>
    <w:bookmarkEnd w:id="5"/>
    <w:p>
      <w:pPr>
        <w:ind w:right="160"/>
        <w:spacing w:after="0" w:line="274" w:lineRule="auto"/>
        <w:rPr>
          <w:sz w:val="20"/>
          <w:szCs w:val="20"/>
          <w:color w:val="auto"/>
        </w:rPr>
      </w:pPr>
      <w:r>
        <w:rPr>
          <w:rFonts w:ascii="Arial" w:cs="Arial" w:eastAsia="Arial" w:hAnsi="Arial"/>
          <w:sz w:val="17"/>
          <w:szCs w:val="17"/>
          <w:b w:val="1"/>
          <w:bCs w:val="1"/>
          <w:color w:val="auto"/>
        </w:rPr>
        <w:t>Neither the delivery of this prospectus or any applicable prospectus supplement nor any sale made using this prospectus or any applicable prospectus supplement implies that there has been no change in our affairs or that the information contained in, or incorporated by reference in, this prospectus or in any applicable prospectus supplement is correct as of any date after their respective dates. You should not assume that the information contained in, or incorporated by reference in, this prospectus or any applicable prospectus supplement or any free writing prospectus prepared by us is accurate as of any date other than the respective dates thereof. Our business, financial condition, results of operations and prospects may have changed since those dates.</w:t>
      </w:r>
    </w:p>
    <w:p>
      <w:pPr>
        <w:spacing w:after="0" w:line="17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color w:val="auto"/>
        </w:rPr>
        <w:t>You should rely only on the information contained in or incorporated by reference in this prospectus or a prospectus supplement. We have not authorized anyone to give you different information, and if you are given any information or representation about these matters that is not contained or incorporated by reference in this prospectus or a prospectus supplement, you must not rely on that information. This prospectus and any accompanying prospectus supplement do not constitute an offer to sell or the solicitation of an offer to buy any securities other than the registered securities to which they relate, nor do this prospectus and any accompanying prospectus supplement constitute an offer to sell or the solicitation of an offer to buy securities in any jurisdiction to any person to whom it is unlawful to make such offer or solicitation in such jurisdiction.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used in this prospectus, unless the context otherwise requires, (i) references to the terms “Company,” “we,” “us” and “our” refer to Priority Technology Holdings, Inc. and, where applicable, our wholly-owned subsidiaries; (ii) the term “Business Combination” refers to the Company’s acquisition of Priority Holdings, LLC on July 25, 2018 and related transactions; (iii) the term “Priority” refers to Priority Holdings, LLC and its subsidiaries for all periods prior to the Business Combination and refers to the Company for all periods following the Business Combination; (iv) the term “2017 10-K” refers to our Annual Report on Form 10-K for the fiscal year ended December 31, 2017, filed with the SEC on March 27, 2018, incorporated by reference herein; and (v) the term “Business Combination Form 8-K” refers to our Current Report on Form 8-K, filed with the SEC on July 31, 2018, incorporated by reference herein.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 and Trade Names</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This prospectus and the documents incorporated by reference herein contain trademarks, service marks and trade names of third parties, which are the property of their respective owners. Our use or display of third parties’ trademarks, service marks, trade names or products in this prospectus and the documents incorporated by reference herein is not intended to, and does not imply, a relationship with, or endorsement or sponsorship by us. Solely for convenience, the trademarks, service marks and trade names referred to in this prospectus and the documents incorporated by reference herein may appear</w:t>
      </w:r>
    </w:p>
    <w:p>
      <w:pPr>
        <w:spacing w:after="0" w:line="2" w:lineRule="exact"/>
        <w:rPr>
          <w:sz w:val="20"/>
          <w:szCs w:val="20"/>
          <w:color w:val="auto"/>
        </w:rPr>
      </w:pPr>
    </w:p>
    <w:p>
      <w:pPr>
        <w:ind w:right="260"/>
        <w:spacing w:after="0" w:line="205" w:lineRule="auto"/>
        <w:rPr>
          <w:sz w:val="20"/>
          <w:szCs w:val="20"/>
          <w:color w:val="auto"/>
        </w:rPr>
      </w:pPr>
      <w:r>
        <w:rPr>
          <w:rFonts w:ascii="Arial" w:cs="Arial" w:eastAsia="Arial" w:hAnsi="Arial"/>
          <w:sz w:val="18"/>
          <w:szCs w:val="18"/>
          <w:color w:val="auto"/>
        </w:rPr>
        <w:t xml:space="preserve">without the ®, ™ or </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 of the applicable licensor to these trademarks, service marks and trade names.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prospectus and the documents incorporated by reference herein contain forward-looking statements within the meaning of Section 27A of the Securities Act and Section 21E of the Securities Exchange Act of 1934, as amended (the “Exchange Act”). All statements other than statements of historical facts contained or incorporated by reference in this prospectus, including statements regarding our future operating results and financial position, business strategy, and plans and objectives of management for future operations, are forward-looking statements. Our forward-looking statements are generally accompanied by words such as “may,” “should,” “expect,” “believe,” “plan,” “anticipate,” “could,” “intend,” “target,” “goal,” “project,” “contemplate,” “believe,” “estimate,” “predict,” “potential,” or “continue” or the negative of these terms or other similar expressions. Any forward-looking statements contained or incorporated by reference in this prospectus speak only as of the date on which we make them and are based upon our historical performance and on current plans, estimates and expectations.</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60" w:top="796" w:right="279" w:bottom="1440" w:gutter="0" w:footer="0" w:header="0"/>
        </w:sectPr>
      </w:pPr>
    </w:p>
    <w:bookmarkStart w:id="6" w:name="page7"/>
    <w:bookmarkEnd w:id="6"/>
    <w:p>
      <w:pPr>
        <w:ind w:right="80"/>
        <w:spacing w:after="0" w:line="270"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or incorporated by reference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entitled “Risk Factors” in our Business Combination 8-K and elsewhere in this prospectus and the documents incorporated by reference, as such factors may be updated from time to time in other documents and reports that we file with the SEC that are incorporated or deemed to be incorporated by reference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or incorporated by reference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forward-looking statements made or incorporated by reference in this prospectus relate only to events as of the date on which the statements are made. We undertake no obligation to update any forward-looking statements made or incorporated by reference in this prospectus to reflect events or circumstances after the date of this prospectus or to reflect new information or the occurrence of unanticipated events, except as required by law. We claim the protection of the safe harbor for forward-looking statements contained in the Private Securities Litigation Reform Act of 1995 for all forward-looking statements.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was incorporated on April 23, 2015 under the laws of the state of Delaware. On July 25, 2018, the Company completed its acquisition of 100% of the issued and outstanding equity securities of Priority Holdings, LLC, which resulted in Priority Holdings, LLC becoming a wholly-owned subsidiary of the Company. On July 25, 2018, the Company changed its name to Priority Technology Holdings, Inc.</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Priority is a leading provider of merchant acquiring and commercial payment solutions, offering unique product capabilities to small and mid-sized businesses (“SMBs”), enterprises and distribution partners (Retail Independent Sales Organizations (“ISOs”), Financial Institutions, Wholesale ISO’s and Independent Software Vendors (“ISVs”)) in the United States. The Company was founded in 2005 with a mission to build a merchant inspired payments platform that would advance the goals of its SMB and enterprise clients and distribution partners. Since 2013, Priority has grown from the 38th largest U.S. merchant acquirer to become the 13th largest as of the end of 2017, measured by Visa and MasterCard purchase volume according to The Nilson Report. Priority is</w:t>
      </w:r>
    </w:p>
    <w:p>
      <w:pPr>
        <w:spacing w:after="0" w:line="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currently the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largest non-bank merchant acquirer in the United States. In 2017, the Company processed over 439 million transactions and over $34 billion in bankcard payment volume across approximately 174,000 merchants. In the three months ended March 31, 2018, Priority processed over 110 million transactions and over $9 billion in bankcard payment volume across approximately the same number of merchants. Headquartered in Alpharetta, GA, Priority has approximately 480 employees and is led by an experienced group of payments executives.</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Priority’s growth has been underpinned by three key strengths: (1) a cost-efficient, agile payment and business processing infrastructure, known internally as Vortex.Cloud and Vortex.OS, (2) two proprietary product platforms: the MX product suite targeting the consumer payments market and the CPX product suite targeting the Commercial payments market and (3) focused distribution engines dedicated to selling into business-to-consumer (“B2C”) and commercial payments (“B2B”) markets.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 w:name="page8"/>
    <w:bookmarkEnd w:id="7"/>
    <w:p>
      <w:pPr>
        <w:ind w:right="40"/>
        <w:spacing w:after="0" w:line="268" w:lineRule="auto"/>
        <w:rPr>
          <w:sz w:val="20"/>
          <w:szCs w:val="20"/>
          <w:color w:val="auto"/>
        </w:rPr>
      </w:pPr>
      <w:r>
        <w:rPr>
          <w:rFonts w:ascii="Arial" w:cs="Arial" w:eastAsia="Arial" w:hAnsi="Arial"/>
          <w:sz w:val="17"/>
          <w:szCs w:val="17"/>
          <w:color w:val="auto"/>
        </w:rPr>
        <w:t>The MX Product line, provides technology-enabled payment acceptance and business management capabilities to merchants, enterprises and its distribution partners (“Resellers”). The MX product line includes: Priority’s MX ISO/Agent and VIMAS reseller technology systems (collectively referred to as “MX Connect”) and MX Merchant products, which together provide resellers and merchant clients, a flexible and customizable set of business applications that help better manage critical business work functions and revenue performance using core payment processing as its leverage point. MX Connect provides Priority’s consumer payments reselling partners with automated tools that support low friction merchant on-boarding, underwriting and risk management, client service, and commission processing through a single mobile-enabled, web-based interface. The result is a smooth merchant activation onto Priority’s flagship consumer payments offering, MX Merchant, which provides core processing and business solutions to SMB clients. In addition to payment processing, the MX Merchant product line encompasses a variety of proprietary and third-party product applications (“Apps”) that merchants can adopt such as MX Insights, MX Storefront, MX Retail, MX Invoice, MX B2B and ACH.com, among others. This comprehensive suite of solutions enables merchants to identify key consumer trends in their business, quickly implement e-commerce or retail POS solutions, and even handle ACH payments. By empowering resellers to adopt a consultative selling approach and embedding its technology into the critical day-to-day workflows and operations of both merchants and resellers, Priority has established and maintained “sticky” relationships. Strong retention, coupled with consistent merchant boarding, have resulted in strong processing volume and revenue growth.</w:t>
      </w:r>
    </w:p>
    <w:p>
      <w:pPr>
        <w:spacing w:after="0" w:line="188"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The Commercial Payments Exchange (“CPX”) platform, like the MX Product line, provides a complete solution suite designed to monetize all types of B2B payments by maximizing automation for buyers and suppliers. CPX supports virtual card, purchase card, electronic fund transfer, ACH and check payments, intelligently routing each transaction via the optimal payment method. Underlying its MX and CPX platforms is the Company’s Vortex.Cloud and Vortex.OS enterprise infrastructure, a curated cloud and application programming interface (“API”) driven operating system built for scale and agility.</w:t>
      </w:r>
    </w:p>
    <w:p>
      <w:pPr>
        <w:spacing w:after="0" w:line="15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Priority developed an entirely virtual computing infrastructure in 2012. This infrastructure, known as Vortex. Cloud, is a highly-available, redundant, and audited (PCI, HIPAA, NACHA, and SOC) computing platform with centralized security and technical operations. Priority strives to enable Vortex.Cloud to maintain 99.999 uptime. All computational and IP assets of Priority’s operating companies are hosted and managed on Vortex.Cloud infrastructure. Upon Vortex.Cloud, Priority has constructed a uniform set of API’s, called Vortex.OS (operating system), that provide critical functionality to Priority’s payment divisions. The Vortex OS APIs provide electronic payments, security/crypto, data persistence, time series data (events), and artificial intelligence (AI). The MX and CPX product platforms leverage Vortex.OS and Vortex.Cloud for maximum scalability, high-availability, security, and access to advanced feature sets. The combined result is a purpose build infrastructure and product offering that produces solid organic growth and profit margin results. Furthermore, in addition to supporting a modern product stack, Vortex.Cloud and Vortex.OS enable the rapid inclusion of data and systems of acquisition targets for smooth consolidation to the Priority operating infrastructure and accelerate achievement of revenue and cost synergies.</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Priority sells its B2C merchant acquiring solutions primarily to SMBs through a growing and diverse reseller network, including ISOs, Financial Institutions (“FIs”), ISVs, Value-Added Resellers (“VARs”) and other referral partners. The Company maintains stable, long-term relationships with its resellers, bolstered by the integration of MX Connect, a powerful customer relationship management (“CRM”) and business operating system. MX Connect is used by Priority’s resellers and internal teams to manage their merchant base and accelerate the growth of their businesses through various value-added tools and resources which include marketing resources, automated onboarding, merchant underwriting, merchant activity monitoring and reporting. In addition, Priority offers ISVs and VARs a technology “agnostic” and feature rich API, providing developers with the ability to integrate electronic payment acceptance into their software and improve boarding efficiency for their merchant base. For the end user, MX Merchant provides a customizable, virtual terminal with proprietary business management tools and add-on applications (“apps”) that create an integrated merchant experience. MX Merchant’s add-on apps include invoicing, website builder, inventory management and customer engagement and data analytics focused on targeted marketing among others. These proprietary business management tools and add-on applications, coupled with its omni-channel payment solutions, enable Priority to achieve attrition rates that, Priority believes, are well below industry average. MX Merchant can be deployed on hardware from a variety of vendors and operated either as a standalone product or integrated with third-party software. Through MX Merchant, Priority is well-positioned to capitalize on the trend towards integrated payments solutions, new technology adoption, and value-added service utilization in the SMB market. Priority’s broad go-to-market strategy has resulted in a merchant base that is both industry and geographically diversified in the United States, resulting in low industry and merchant concentration.</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8" w:name="page9"/>
    <w:bookmarkEnd w:id="8"/>
    <w:p>
      <w:pPr>
        <w:ind w:right="140"/>
        <w:spacing w:after="0" w:line="288" w:lineRule="auto"/>
        <w:rPr>
          <w:sz w:val="20"/>
          <w:szCs w:val="20"/>
          <w:color w:val="auto"/>
        </w:rPr>
      </w:pPr>
      <w:r>
        <w:rPr>
          <w:rFonts w:ascii="Arial" w:cs="Arial" w:eastAsia="Arial" w:hAnsi="Arial"/>
          <w:sz w:val="16"/>
          <w:szCs w:val="16"/>
          <w:color w:val="auto"/>
        </w:rPr>
        <w:t>In addition to Priority’s B2C offering, Priority has diversified its source of revenues through its growing presence in the B2B market. Priority works with enterprise clients and leading financial institutions seeking to automate their accounts payable processes. Priority provides curated managed services and a robust suite of integrated accounts payable automation solutions to industry leading financial institutions and card networks such as Citibank, MasterCard, Visa and American Express, among others. Unlike the consumer payments business which advocates a variable cost indirect sales strategy, Priority Commercial Payments supports a direct sales model that provides turnkey merchant development, product sales, and supplier enablement programs. CPX offers clients a seamless bridge for buyer to supplier (payor to provider) payments by integrating directly to “buyers” payment instruction file and parsing it for payment to their suppliers via virtual card, purchase card, ACH +, dynamic discounting, or check. Successful implementation of its accounts payable (“AP”) automation solutions provides suppliers with the benefits of cash acceleration, buyers with valuable rebate/discount revenue, and Priority with stable sources of payment processing and other revenue. Considering that the commercial payments volume in the United States is over twice the size of consumer payments and substantially less penetrated for electronic payments, this market represents a high growth opportunity for Priority.</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Priority generates revenue primarily from fees charged for processing payment transactions, and to a lesser extent, from monthly subscription services and other solutions provided to merchants. Processing fees are generated from the ongoing sales of Priority’s merchants under multi-year merchant contracts, and thus are highly recurring in nature. Due to the nature of Priority’s strong reseller-centric distribution model and differentiated technology offering, Priority can drive efficient scale and operating leverage, generating robust margins and profitability.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left="20" w:right="40"/>
        <w:spacing w:after="0" w:line="259" w:lineRule="auto"/>
        <w:rPr>
          <w:sz w:val="20"/>
          <w:szCs w:val="20"/>
          <w:color w:val="auto"/>
        </w:rPr>
      </w:pPr>
      <w:r>
        <w:rPr>
          <w:rFonts w:ascii="Arial" w:cs="Arial" w:eastAsia="Arial" w:hAnsi="Arial"/>
          <w:sz w:val="18"/>
          <w:szCs w:val="18"/>
          <w:color w:val="auto"/>
        </w:rPr>
        <w:t xml:space="preserve">Priority Technology Holdings, Inc. is incorporated under the laws of the State of Delaware. Our principal executive offices are located at 2001 Westside Parkway, Alpharetta, GA 30004. Our telephone number is (800) 935-5961 and our internet address is prth.com. </w:t>
      </w:r>
      <w:r>
        <w:rPr>
          <w:rFonts w:ascii="Arial" w:cs="Arial" w:eastAsia="Arial" w:hAnsi="Arial"/>
          <w:sz w:val="18"/>
          <w:szCs w:val="18"/>
          <w:b w:val="1"/>
          <w:bCs w:val="1"/>
          <w:color w:val="auto"/>
        </w:rPr>
        <w:t>Our website and the information</w:t>
      </w:r>
      <w:r>
        <w:rPr>
          <w:rFonts w:ascii="Arial" w:cs="Arial" w:eastAsia="Arial" w:hAnsi="Arial"/>
          <w:sz w:val="18"/>
          <w:szCs w:val="18"/>
          <w:color w:val="auto"/>
        </w:rPr>
        <w:t xml:space="preserve"> </w:t>
      </w:r>
      <w:r>
        <w:rPr>
          <w:rFonts w:ascii="Arial" w:cs="Arial" w:eastAsia="Arial" w:hAnsi="Arial"/>
          <w:sz w:val="18"/>
          <w:szCs w:val="18"/>
          <w:b w:val="1"/>
          <w:bCs w:val="1"/>
          <w:color w:val="auto"/>
        </w:rPr>
        <w:t>contained thereon and accessible therefrom are not part of this prospectus and should not be relied upon by prospective investors in connection with any decision to purchase our common shares.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 investment in our securities involves a high degree of risk. You should carefully consider the matters discussed under “Risk Factors” in our 2017 10-K and our Business Combination 8-K, as supplemented and updated by subsequent quarterly reports on Form 10-Q and current reports on Form 8-K that we have filed or will file with the SEC, which are incorporated by reference in this prospectus. You should also carefully consider the matters discussed under “Risk Factors” or any similar caption in other documents or reports that we file with the SEC after the date of this prospectus that are incorporated or deemed to be incorporated by reference in this prospectus as well as any risks described in any applicable prospectus supplement or free writing prospectus that we provide you in connection with an offering of securities pursuant to this prospectus. See “Where You Can Find More Information” and “Information Incorporated by Reference.” Additionally, the risks and uncertainties discussed in this prospectus or in any document incorporated by reference into this prospectus are not the only risks and uncertainties that we face, and our business, financial condition, prospects, results of operations, cash flow and the market price of our securities could be materially adversely affected by other matters that are not known to us or that we currently do not consider to be material.</w:t>
      </w:r>
    </w:p>
    <w:p>
      <w:pPr>
        <w:spacing w:after="0" w:line="163"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proceeds from sales of our common stock by selling stockholders.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table sets forth information as of August 8, 2018, with respect to the selling stockholders and the shares of our common stock beneficially owned by the selling stockholders that may from time to time be offered or sold pursuant to this prospectus. Beneficial ownership is determined in accordance with the rules of the SEC. The selling stockholders may offer all, some or none of their shares of common stock. We cannot advise you as to whether the selling stockholders will in fact sell any or all of such shares of common stock. Information concerning the selling stockholders may change from time to time and any such changed information will, if required, be set forth in supplements to this prospectus or post-effective amendments to the registration statement of which this prospectus is a part, as may be appropriate.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Shares of Common Stock</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Beneficially Owned After the</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4"/>
          </w:tcPr>
          <w:p>
            <w:pPr>
              <w:ind w:left="340"/>
              <w:spacing w:after="0"/>
              <w:rPr>
                <w:sz w:val="20"/>
                <w:szCs w:val="20"/>
                <w:color w:val="auto"/>
              </w:rPr>
            </w:pPr>
            <w:r>
              <w:rPr>
                <w:rFonts w:ascii="Arial" w:cs="Arial" w:eastAsia="Arial" w:hAnsi="Arial"/>
                <w:sz w:val="18"/>
                <w:szCs w:val="18"/>
                <w:b w:val="1"/>
                <w:bCs w:val="1"/>
                <w:color w:val="auto"/>
              </w:rPr>
              <w:t>Shares of Common Stock</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Sale of the Maximum Number</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Beneficially Owned</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28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of Shares of Common Stock</w:t>
            </w:r>
          </w:p>
        </w:tc>
        <w:tc>
          <w:tcPr>
            <w:tcW w:w="0" w:type="dxa"/>
            <w:vAlign w:val="bottom"/>
          </w:tcPr>
          <w:p>
            <w:pPr>
              <w:spacing w:after="0"/>
              <w:rPr>
                <w:sz w:val="1"/>
                <w:szCs w:val="1"/>
                <w:color w:val="auto"/>
              </w:rPr>
            </w:pPr>
          </w:p>
        </w:tc>
      </w:tr>
      <w:tr>
        <w:trPr>
          <w:trHeight w:val="191"/>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 of Beneficial</w:t>
            </w:r>
          </w:p>
        </w:tc>
        <w:tc>
          <w:tcPr>
            <w:tcW w:w="1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80" w:type="dxa"/>
            <w:vAlign w:val="bottom"/>
          </w:tcPr>
          <w:p>
            <w:pPr>
              <w:spacing w:after="0"/>
              <w:rPr>
                <w:sz w:val="16"/>
                <w:szCs w:val="16"/>
                <w:color w:val="auto"/>
              </w:rPr>
            </w:pPr>
          </w:p>
        </w:tc>
        <w:tc>
          <w:tcPr>
            <w:tcW w:w="16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Common Stock</w:t>
            </w: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80" w:type="dxa"/>
            <w:vAlign w:val="bottom"/>
            <w:gridSpan w:val="2"/>
            <w:vMerge w:val="continue"/>
          </w:tcPr>
          <w:p>
            <w:pPr>
              <w:spacing w:after="0"/>
              <w:rPr>
                <w:sz w:val="15"/>
                <w:szCs w:val="15"/>
                <w:color w:val="auto"/>
              </w:rPr>
            </w:pPr>
          </w:p>
        </w:tc>
        <w:tc>
          <w:tcPr>
            <w:tcW w:w="1440" w:type="dxa"/>
            <w:vAlign w:val="bottom"/>
            <w:gridSpan w:val="2"/>
          </w:tcPr>
          <w:p>
            <w:pPr>
              <w:jc w:val="right"/>
              <w:ind w:right="440"/>
              <w:spacing w:after="0" w:line="181" w:lineRule="exact"/>
              <w:rPr>
                <w:sz w:val="20"/>
                <w:szCs w:val="20"/>
                <w:color w:val="auto"/>
              </w:rPr>
            </w:pPr>
            <w:r>
              <w:rPr>
                <w:rFonts w:ascii="Arial" w:cs="Arial" w:eastAsia="Arial" w:hAnsi="Arial"/>
                <w:sz w:val="18"/>
                <w:szCs w:val="18"/>
                <w:b w:val="1"/>
                <w:bCs w:val="1"/>
                <w:color w:val="auto"/>
              </w:rPr>
              <w:t>Number of</w:t>
            </w:r>
          </w:p>
        </w:tc>
        <w:tc>
          <w:tcPr>
            <w:tcW w:w="152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89"/>
              </w:rPr>
              <w:t>Common Stock</w:t>
            </w:r>
          </w:p>
        </w:tc>
        <w:tc>
          <w:tcPr>
            <w:tcW w:w="162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2"/>
              </w:rPr>
              <w:t>that May be</w:t>
            </w:r>
          </w:p>
        </w:tc>
        <w:tc>
          <w:tcPr>
            <w:tcW w:w="146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89"/>
              </w:rPr>
              <w:t>Common Stock</w:t>
            </w:r>
          </w:p>
        </w:tc>
        <w:tc>
          <w:tcPr>
            <w:tcW w:w="0" w:type="dxa"/>
            <w:vAlign w:val="bottom"/>
          </w:tcPr>
          <w:p>
            <w:pPr>
              <w:spacing w:after="0"/>
              <w:rPr>
                <w:sz w:val="1"/>
                <w:szCs w:val="1"/>
                <w:color w:val="auto"/>
              </w:rPr>
            </w:pPr>
          </w:p>
        </w:tc>
      </w:tr>
      <w:tr>
        <w:trPr>
          <w:trHeight w:val="270"/>
        </w:trPr>
        <w:tc>
          <w:tcPr>
            <w:tcW w:w="3880" w:type="dxa"/>
            <w:vAlign w:val="bottom"/>
          </w:tcPr>
          <w:p>
            <w:pPr>
              <w:spacing w:after="0" w:line="269" w:lineRule="exact"/>
              <w:rPr>
                <w:sz w:val="20"/>
                <w:szCs w:val="20"/>
                <w:color w:val="auto"/>
              </w:rPr>
            </w:pPr>
            <w:r>
              <w:rPr>
                <w:rFonts w:ascii="Arial" w:cs="Arial" w:eastAsia="Arial" w:hAnsi="Arial"/>
                <w:sz w:val="18"/>
                <w:szCs w:val="18"/>
                <w:b w:val="1"/>
                <w:bCs w:val="1"/>
                <w:color w:val="auto"/>
              </w:rPr>
              <w:t>Owner</w:t>
            </w:r>
            <w:r>
              <w:rPr>
                <w:rFonts w:ascii="Arial" w:cs="Arial" w:eastAsia="Arial" w:hAnsi="Arial"/>
                <w:sz w:val="30"/>
                <w:szCs w:val="30"/>
                <w:b w:val="1"/>
                <w:bCs w:val="1"/>
                <w:color w:val="auto"/>
                <w:vertAlign w:val="superscript"/>
              </w:rPr>
              <w:t>(1)</w:t>
            </w:r>
          </w:p>
        </w:tc>
        <w:tc>
          <w:tcPr>
            <w:tcW w:w="100" w:type="dxa"/>
            <w:vAlign w:val="bottom"/>
          </w:tcPr>
          <w:p>
            <w:pPr>
              <w:spacing w:after="0"/>
              <w:rPr>
                <w:sz w:val="23"/>
                <w:szCs w:val="23"/>
                <w:color w:val="auto"/>
              </w:rPr>
            </w:pPr>
          </w:p>
        </w:tc>
        <w:tc>
          <w:tcPr>
            <w:tcW w:w="1220" w:type="dxa"/>
            <w:vAlign w:val="bottom"/>
          </w:tcPr>
          <w:p>
            <w:pPr>
              <w:ind w:left="36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80" w:type="dxa"/>
            <w:vAlign w:val="bottom"/>
          </w:tcPr>
          <w:p>
            <w:pPr>
              <w:spacing w:after="0"/>
              <w:rPr>
                <w:sz w:val="23"/>
                <w:szCs w:val="23"/>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Offered for Resale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0"/>
        </w:trPr>
        <w:tc>
          <w:tcPr>
            <w:tcW w:w="3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Thomas Priore</w:t>
            </w:r>
            <w:r>
              <w:rPr>
                <w:rFonts w:ascii="Arial" w:cs="Arial" w:eastAsia="Arial" w:hAnsi="Arial"/>
                <w:sz w:val="28"/>
                <w:szCs w:val="28"/>
                <w:color w:val="auto"/>
                <w:vertAlign w:val="superscript"/>
              </w:rPr>
              <w:t>(2)</w:t>
            </w:r>
          </w:p>
        </w:tc>
        <w:tc>
          <w:tcPr>
            <w:tcW w:w="100" w:type="dxa"/>
            <w:vAlign w:val="bottom"/>
            <w:vMerge w:val="continue"/>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49,434,170</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73.6%</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49,184,170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57"/>
        </w:trPr>
        <w:tc>
          <w:tcPr>
            <w:tcW w:w="3980" w:type="dxa"/>
            <w:vAlign w:val="bottom"/>
            <w:gridSpan w:val="2"/>
          </w:tcPr>
          <w:p>
            <w:pPr>
              <w:spacing w:after="0" w:line="256" w:lineRule="exact"/>
              <w:rPr>
                <w:sz w:val="20"/>
                <w:szCs w:val="20"/>
                <w:color w:val="auto"/>
              </w:rPr>
            </w:pPr>
            <w:r>
              <w:rPr>
                <w:rFonts w:ascii="Arial" w:cs="Arial" w:eastAsia="Arial" w:hAnsi="Arial"/>
                <w:sz w:val="18"/>
                <w:szCs w:val="18"/>
                <w:color w:val="auto"/>
              </w:rPr>
              <w:t>John Priore</w:t>
            </w:r>
            <w:r>
              <w:rPr>
                <w:rFonts w:ascii="Arial" w:cs="Arial" w:eastAsia="Arial" w:hAnsi="Arial"/>
                <w:sz w:val="29"/>
                <w:szCs w:val="29"/>
                <w:color w:val="auto"/>
                <w:vertAlign w:val="superscript"/>
              </w:rPr>
              <w:t>(3)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9,347,591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650,000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8,697,591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Kiewiet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1,760,638</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1,510,638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Bruce Mattox</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313,340</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63,340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McMiller</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320,555</w:t>
            </w:r>
          </w:p>
        </w:tc>
        <w:tc>
          <w:tcPr>
            <w:tcW w:w="15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270,555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340" w:right="40" w:hanging="332"/>
        <w:spacing w:after="0" w:line="25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Priority Technology Holdings, Inc., 2001 Westside Parkway, Alpharetta, GA 30004.</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3,063,097 shares of the Company’s common stock and warrants directly held by Priority Incentive Equity Holdings, LLC. Following the Business Combination, Thomas Priore became the managing member of Priority Investment Holdings LLC, which is the non-member manager of Priority Incentive Equity Holdings, LLC. Thomas Priore may be deemed to beneficially own such shares and warrants directly or indirectly controlled by him. The address of Thomas Priore and each of the other entities listed in this footnote is c/o Priority Technology Holdings, Inc., 2001 Westside Parkway, Alpharetta, GA 30004.</w:t>
      </w:r>
    </w:p>
    <w:p>
      <w:pPr>
        <w:spacing w:after="0" w:line="2" w:lineRule="exact"/>
        <w:rPr>
          <w:rFonts w:ascii="Arial" w:cs="Arial" w:eastAsia="Arial" w:hAnsi="Arial"/>
          <w:sz w:val="18"/>
          <w:szCs w:val="18"/>
          <w:color w:val="auto"/>
        </w:rPr>
      </w:pPr>
    </w:p>
    <w:p>
      <w:pPr>
        <w:ind w:left="340" w:right="38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9,347,591 shares of the Company’s common stock directly held by AESV Credit Card Consulting LLC, which is controlled by John Priore. John Priore may be deemed to beneficially own such shares directly or indirectly controlled by him.</w:t>
      </w:r>
    </w:p>
    <w:p>
      <w:pPr>
        <w:sectPr>
          <w:pgSz w:w="11900" w:h="16838" w:orient="portrait"/>
          <w:cols w:equalWidth="0" w:num="1">
            <w:col w:w="11420"/>
          </w:cols>
          <w:pgMar w:left="240" w:top="800" w:right="239" w:bottom="0" w:gutter="0" w:footer="0" w:header="0"/>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summarizes the most important terms of our common stock and related provisions of the certificate of incorporation and our bylaws. This description also summarizes the principal agreements relating to our common stock. Because it is only a summary, it does not contain all the information that may be important to you. For a complete description, you should refer to our certificate of incorporation and bylaws and the agreements referred to below, copies of which are filed as exhibits to the registration statement of which this prospectus forms a part.</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authorized capital stock consists of 1,000,000,000 shares of common stock, par value $0.001, and 100,000,000 shares of preferred stock, par value</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$0.001. As of the date of this prospectus, 66,856,966 shares of common stock are outstanding, held by 33 stockholders of record. No shares of preferred stock are currently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holder of record of common stock, as such, shall have one vote for each share of common stock which is outstanding in his, her or its name on the books of the Company on all matters on which stockholders are entitled to vote generally. Except as otherwise required by law, holders of common stock shall not be entitled to vote on any amendment to the Second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Second Amended and Restated Certificate of Incorporation (including any certificate of designation relating to any series of preferred stock) or pursuant to the Delaware General Corporation Law (“DGCL”).</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Company which are legally available for this purpose at such times and in such amounts as the board of directors in its discretion shall determine.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Upon the dissolution, liquidation or winding up of the Company, after payment or provision for payment of the debts and other liabilities of the Company and subject to the rights, if any, of the holders of any outstanding series of preferred stock or any class or series of stock having a preference over or the right to participate with the common stock with respect to the distribution of assets of the Company upon such dissolution, liquidation or winding up of the Company, the holders of common stock shall be entitled to receive the remaining assets of the Company available for distribution to its stockholders ratably in proportion to the number of shares held by them.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Second Amended and Restated Certificate of Incorporation authorizes the issuance of 100,000,000 shares of preferred stock with such designation, rights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preferences as may be determined from time to time by our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directors. There are no shares of preferred stock outstanding.</w:t>
      </w:r>
    </w:p>
    <w:p>
      <w:pPr>
        <w:spacing w:after="0" w:line="21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Accordingly, our board of directors is empowered, without stockholder approval, to issue preferred shares with dividend, liquidation, redemption, voting or other rights which could adversely affect the voting power or other rights of the holders of common stock. In addition, the preferred shares could be utilized as a method of discouraging, delaying or preventing a change in control of us. Although we do not currently intend to issue any preferred shares, we cannot assure you that we will not do so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not paid any cash dividends on its common stock to date. The payment of cash dividends in the future will be dependent upon our revenues and earnings, if any, capital requirements and general financial condition. The payment of any dividends will be within the discretion of its then board of directors. It is the present intention of our board of directors to retain all earnings, if any, for use in its business operations and, accordingly, our board does not anticipate declaring any dividends in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not subject to Section 203 of the DGCL, an anti-takeover law. Section 203 is a default provision of the DGCL that prohibits a publicly held Delaware corporation from engaging in a business combination, such as a merger, with “interested stockholders” (a person or group owning fifteen percent (15%) or more of the corporation’s voting stock) for three years following the date that a person becomes an interested stockholder, unless (i) before such stockholder becomes an “interested stockholder,” the board of directors approves the business combination or the transaction that resulted in the stockholder becoming an interested stockholder, (ii) upon consummation of the transaction which resulted in the stockholder becoming an interested stockholder, the interested stockholder owned at least eighty-five percent (85%) of the outstanding stock of the corporation at the time of the transaction (excluding stock owned by certain persons), or (iii) at the time or after the stockholder became an interested stockholder, the board of directors and at least two-thirds (66 2/3%) of the disinterested outstanding voting stock of the corporation approves the transaction. While Section 203 is the default provision under the DGCL, the DGCL allows companies to opt out of Section 203 of the DGCL by including a provision in their certificate of incorporation expressly electing not to be governed by Section 203 of the DGCL.</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 w:name="page12"/>
    <w:bookmarkEnd w:id="11"/>
    <w:p>
      <w:pPr>
        <w:spacing w:after="0" w:line="271" w:lineRule="auto"/>
        <w:rPr>
          <w:sz w:val="20"/>
          <w:szCs w:val="20"/>
          <w:color w:val="auto"/>
        </w:rPr>
      </w:pPr>
      <w:r>
        <w:rPr>
          <w:rFonts w:ascii="Arial" w:cs="Arial" w:eastAsia="Arial" w:hAnsi="Arial"/>
          <w:sz w:val="17"/>
          <w:szCs w:val="17"/>
          <w:color w:val="auto"/>
        </w:rPr>
        <w:t>The board of directors has elected to opt out of Section 203, but the board of directors believes that it is in the best interests of stockholders to have protections similar to those afforded by Section 203. These provisions will encourage any potential acquirer to negotiate with the board of directors and therefore provides an opportunity to possibly obtain a higher purchase price than would otherwise be offered in connection with a proposed acquisition of the post-combination company. Such provisions may make it more difficult for an acquirer to consummate certain types of unfriendly or hostile corporate takeovers or other transactions involving the Company that have not been approved by the board of directors. The board of directors believes that while such provisions will provide some measure of protection against an interested stockholder that is proposing a two-tiered transaction structure that is unduly coercive, it would not ultimately prevent a potential takeover that enjoys the support of stockholders and will also help to prevent a third-party from acquiring “creeping control” of the Company without paying a fair premium to all stockholders.</w:t>
      </w:r>
    </w:p>
    <w:p>
      <w:pPr>
        <w:spacing w:after="0" w:line="17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Second Amended and Restated Certificate of Incorporation contains provisions that have the same effect as Section 203, except that they provide that Priority Investment Holdings, LLC and Priority Incentive Equity Holdings, LLC (collectively, the “Sellers”) and certain of their respective affiliates and transferees will not be deemed to be “interested stockholders,” regardless of the percentage of our voting stock owned by them, and accordingly will not be subject to such restrictions. The board of directors has determined to exclude the Sellers and certain of their respective affiliates and transferees from the definition of “interested stockholder,” because these parties currently hold voting power in excess of the 15% threshold under Section 203, such that “creeping control” without paying a fair premium to all stockholders, which Section 203 of the DGCL is intended to prevent, would not be applicable to the Sellers and certain of their respective affiliates and transferees.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Directors’ Liability</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certificate of incorporation and bylaws will indemnify our directors to the fullest extent permitted by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Second Amended and Restated Certificate of Incorporation provides that, unless we consent in writing to the selection of an alternative forum, the Court of Chancery of the State of Delaware will be the exclusive forum for: (a) any derivative action or proceeding brought on our behalf; (b) any action asserting a breach of a fiduciary duty owed by any of our directors, officers, employees or agents to us or our stockholders; (c) any action asserting a claim pursuant to any provision of the DGCL, our certificate of incorporation or our bylaws; or (d) any action asserting a claim governed by the internal affairs doctrine. However, it is possible that a court could find our forum selection provision to be inapplicable or unenforceable.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NASDAQ under the symbol “PRTH.”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securities is American Stock Transfer &amp; Trust Company, LLC, 6201 15th Avenue, Brooklyn, NY 11219.</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selling stockholders may sell the securities described in this prospectus from time to time in one or more transactions:</w:t>
      </w:r>
    </w:p>
    <w:p>
      <w:pPr>
        <w:spacing w:after="0" w:line="225" w:lineRule="exact"/>
        <w:rPr>
          <w:sz w:val="20"/>
          <w:szCs w:val="20"/>
          <w:color w:val="auto"/>
        </w:rPr>
      </w:pPr>
    </w:p>
    <w:p>
      <w:pPr>
        <w:ind w:left="820" w:hanging="23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purchasers directly;</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underwriters for public offering and sale by them;</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a combination of any of the foregoing methods of sale; and/or</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One or more selling stockholders may sell the securities directly to institutional investors or others who may be deemed to be underwriters within the meaning of the Securities Act, with respect to any resale of the securities. A prospectus supplement will describe the terms of any sale of securities we are offering hereunder. Direct sales may be arranged by a securities broker-dealer or other financial intermediary.</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Underwriters may offer and sell securities at a fixed price or prices, which may be changed, or from time to time at market prices or at negotiated prices. Underwriters may be deemed to have received compensation from us from sales of securities in the form of underwriting discounts or commissions and may also receive commissions from purchasers of securities for whom they may act as agent. Underwriters may be involved in any “at the market” offering of securities by or on our behalf. Any such underwriters will be named in a prospectus supplement.</w:t>
      </w:r>
    </w:p>
    <w:p>
      <w:pPr>
        <w:spacing w:after="0" w:line="17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Underwriters may sell securities to or through dealers, and such dealers may receive compensation in the form of discounts, concessions or commissions from the underwriters and/or commissions (which may be changed from time to time) from the purchasers for whom they may act as agent.</w:t>
      </w:r>
    </w:p>
    <w:p>
      <w:pPr>
        <w:spacing w:after="0" w:line="12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Unless we state otherwise in an applicable prospectus supplement, the obligations of any underwriters to purchase securities will be subject to certain conditions precedent, and the underwriters will be obligated to purchase all the securities if any are purchased.</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applicable prospectus supplement will set forth whether or not underwriters may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8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We will name any agent involved in a sale of securities, as well as any commissions payable to such agent, in a prospectus supplement. Unless we state otherwise in the applicable prospectus supplement, any such agent will be acting on a reasonable efforts basis for the period of its appointment.</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a dealer is utilized in the sale of the securities being offered pursuant to this prospectus, we will sell the securities to the dealer, as principal. The dealer may then resell the securities to the public at varying prices to be determined by the dealer at the time of resale.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 w:name="page14"/>
    <w:bookmarkEnd w:id="13"/>
    <w:p>
      <w:pPr>
        <w:ind w:right="40"/>
        <w:spacing w:after="0" w:line="259" w:lineRule="auto"/>
        <w:rPr>
          <w:sz w:val="20"/>
          <w:szCs w:val="20"/>
          <w:color w:val="auto"/>
        </w:rPr>
      </w:pPr>
      <w:r>
        <w:rPr>
          <w:rFonts w:ascii="Arial" w:cs="Arial" w:eastAsia="Arial" w:hAnsi="Arial"/>
          <w:sz w:val="18"/>
          <w:szCs w:val="18"/>
          <w:color w:val="auto"/>
        </w:rPr>
        <w:t>Underwriters, dealers and agents participating in a sale of the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have agreements with underwriters, dealers and agents to indemnify them against certain civil liabilities, including liabilities under the Securities Act, and to reimburse them for certain expenses.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Unless we state otherwise in the applicable prospectus supplement, the validity of any securities that may be offered by this prospectus will be passed upon for us by Schulte Roth &amp; Zabel, LLP, New York, New York. Additional legal matters may be passed on for us, or any underwriters, dealers or agents, by counsel that we will name in the applicable prospectus supplement.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consolidated financial statements of the Company as of December 31, 2017 and 2016 and for each of the years in the two-year period ended December 31, 2017 have been incorporated by reference in this registration statement, and have been included herein in reliance upon the report of Marcum LLP, independent registered public accounting firm, incorporated by reference and appearing elsewhere herein, and upon the authority of said firm as experts in accounting and auditing.</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consolidated financial statements of Priority Holdings, LLC and Subsidiaries as of December 31, 2017 and 2016 and for each of the years in the three-year period ended December 31, 2017 incorporated in this prospectus by reference from the Business Combination Form 8-K have been audited by RSM US LLP, an independent registered public accounting firm, as stated in their report thereon, and have been incorporated in this prospectus and registration statement in reliance upon such report and upon the authority of such firm as experts in accounting and auditing.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filed with the SEC a registration statement on Form S-3 under the Securities Act with respect to the securities covered by this prospectus. This prospectus is a part of the registration statement and does not contain all of the information set forth in the registration statement, portions of which have been omitted as permitted by the rules and regulations of the SEC. For further information about us and the securities covered by this prospectus, you should refer to the registration statement and to its exhibits and schedules. Our descriptions in this prospectus of the provisions of documents filed as exhibits to the registration statement or otherwise filed with the SEC are only summaries of the terms of those documents that we consider material. If you want a complete description of the content of such documents, you should obtain the documents yourself by following the procedures described above.</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file annual, quarterly and current reports and other information with the SEC. Our filings with the SEC are available to the public on the SEC’s website at http://www.sec.gov. Those filings are also available to the public on, or accessible through, our corporate website at http://www.prth.com. The information contained on our corporate website or any other website that we may maintain is not part of this prospectus, any prospectus supplement or the registration statement of which this prospectus is a part. You may also read and copy, at SEC prescribed rates, any document we file with the SEC, including the registration statement (and its exhibits) of which this prospectus is a part, at the SEC’s Public Reference Room located at 100 F Street, N.E., Washington D.C. 20549. You can call the SEC at 1-800-SEC-0330 to obtain information on the operation of the Public Reference Room.</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“incorporate by reference” certain documents we have filed with the SEC, which means that we are disclosing important information to you by referring you to those documents. The information incorporated by reference is an important part of this prospectus, and any information contained in this prospectus or in any document incorporated by reference in this prospectus will be deemed to be modified or superseded to the extent that a statement contained in this prospectus or free writing prospectus provided to you in connection with this offering modifies or supersedes the original statement. Any statement so modified or superseded will not be deemed, except as so modified or superseded, to be a part of this prospectus. The following documents filed with the SEC are hereby incorporated by reference in this prospectus:</w:t>
      </w:r>
    </w:p>
    <w:p>
      <w:pPr>
        <w:spacing w:after="0" w:line="193" w:lineRule="exact"/>
        <w:rPr>
          <w:sz w:val="20"/>
          <w:szCs w:val="20"/>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with the SEC on March 27, 2018;</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Report on Form 10-Q for the quarterly period ended March 31, 2018, filed with the SEC on May 14, 2018;</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Report on Form 10-Q for the quarterly period ended June 30, 2018, filed with the SEC on July 18, 2018;</w:t>
      </w:r>
    </w:p>
    <w:p>
      <w:pPr>
        <w:spacing w:after="0" w:line="252" w:lineRule="exact"/>
        <w:rPr>
          <w:rFonts w:ascii="Arial" w:cs="Arial" w:eastAsia="Arial" w:hAnsi="Arial"/>
          <w:sz w:val="18"/>
          <w:szCs w:val="18"/>
          <w:color w:val="auto"/>
        </w:rPr>
      </w:pPr>
    </w:p>
    <w:p>
      <w:pPr>
        <w:ind w:left="800" w:hanging="225"/>
        <w:spacing w:after="0" w:line="264"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Reports on Form 8-K and 8-K/A, filed with the SEC on January 8, 2018; February 27, 2018; March 2, 2018; March 14, 2018; April 13, 2018; April 23, 2018; May 2, 2018; May 17, 2018; May 22, 2018; June 20, 2018; June 26, 2018; July 24, 2018; and July 31, 2018 (two filings); and</w:t>
      </w:r>
    </w:p>
    <w:p>
      <w:pPr>
        <w:spacing w:after="0" w:line="208" w:lineRule="exact"/>
        <w:rPr>
          <w:rFonts w:ascii="Arial" w:cs="Arial" w:eastAsia="Arial" w:hAnsi="Arial"/>
          <w:sz w:val="18"/>
          <w:szCs w:val="18"/>
          <w:color w:val="auto"/>
        </w:rPr>
      </w:pPr>
    </w:p>
    <w:p>
      <w:pPr>
        <w:ind w:left="800" w:right="60" w:hanging="225"/>
        <w:spacing w:after="0" w:line="264"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our common stock as set forth in our registration statement on Form 8-A (File No. 001-37872), filed with the SEC on September 12, 2016, pursuant to Section 12(b) of the Exchange Act, including any subsequent amendments or reports filed for the purpose of updating such description.</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hereby undertake to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thereto. Requests for such copies should be directed to our Investor Relations department, at the following address: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Priority Technology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2001 Westside Parkway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Alpharetta, GA 30004</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2266950</wp:posOffset>
            </wp:positionH>
            <wp:positionV relativeFrom="page">
              <wp:posOffset>1066800</wp:posOffset>
            </wp:positionV>
            <wp:extent cx="3001645" cy="805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300164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58"/>
          <w:szCs w:val="58"/>
          <w:b w:val="1"/>
          <w:bCs w:val="1"/>
          <w:color w:val="auto"/>
        </w:rPr>
        <w:t>Priority Technology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255905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182880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20"/>
        <w:spacing w:after="0"/>
        <w:rPr>
          <w:sz w:val="20"/>
          <w:szCs w:val="20"/>
          <w:color w:val="auto"/>
        </w:rPr>
      </w:pPr>
      <w:r>
        <w:rPr>
          <w:rFonts w:ascii="Arial" w:cs="Arial" w:eastAsia="Arial" w:hAnsi="Arial"/>
          <w:sz w:val="43"/>
          <w:szCs w:val="43"/>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339725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365125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785495</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520"/>
          </w:cols>
          <w:pgMar w:left="1200" w:top="1440" w:right="11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following table shows the costs and expenses, other than underwriting discounts and commissions, payable in connection with the sale and distribution of the securities being registered. Except as otherwise noted, we will pay all of these amounts. All amounts are estimates except the SEC registration fee.</w:t>
      </w:r>
    </w:p>
    <w:p>
      <w:pPr>
        <w:spacing w:after="0" w:line="13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2,072.94</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FINRA Filing Fee</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applicable prospectus supplement will set forth the estimated aggregate amount of expenses payable in respect of any offering of securities.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Subsection (a) of Section 145 of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 w:name="page18"/>
    <w:bookmarkEnd w:id="17"/>
    <w:p>
      <w:pPr>
        <w:ind w:right="80"/>
        <w:spacing w:after="0" w:line="255" w:lineRule="auto"/>
        <w:rPr>
          <w:sz w:val="20"/>
          <w:szCs w:val="20"/>
          <w:color w:val="auto"/>
        </w:rPr>
      </w:pPr>
      <w:r>
        <w:rPr>
          <w:rFonts w:ascii="Arial" w:cs="Arial" w:eastAsia="Arial" w:hAnsi="Arial"/>
          <w:sz w:val="18"/>
          <w:szCs w:val="18"/>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Reference is also made to Section 102(b)(7) of the DGCL, which enables a corporation in its certificate of incorporation to eliminate or limit the personal liability of a director for monetary damages for violations of a director’s fiduciary duty, except for liability (i) for any breach of the director’s duty of loyalty to the corporation or its stockholders, (ii) for acts or omissions not in good faith or which involve intentional misconduct or a knowing violation of law, (iii) under Section 174 of the DGCL (providing for liability of directors for unlawful payment of dividends or unlawful stock purchases or redemptions) or (iv) for any transaction from which the director derived an improper personal benefit. Pursuant to Delaware law, this includes elimination of liability for monetary damages for breach of the directors’ fiduciary duty of care to the Company and its stockholders. However, our directors may be personally liable for liability:</w:t>
      </w:r>
    </w:p>
    <w:p>
      <w:pPr>
        <w:spacing w:after="0" w:line="165" w:lineRule="exact"/>
        <w:rPr>
          <w:sz w:val="20"/>
          <w:szCs w:val="20"/>
          <w:color w:val="auto"/>
        </w:rPr>
      </w:pPr>
    </w:p>
    <w:p>
      <w:pPr>
        <w:ind w:left="580" w:hanging="34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any breach of duty of loyalty to us or to our stockholders;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unlawful payment of dividends or unlawful stock repurchases or redemptions; or</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attached hereto, which is incorporated herein by reference as if fully set forth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The undersigned registrant hereby undertakes:</w:t>
      </w:r>
    </w:p>
    <w:p>
      <w:pPr>
        <w:spacing w:after="0" w:line="225"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225" w:lineRule="exact"/>
        <w:rPr>
          <w:sz w:val="20"/>
          <w:szCs w:val="20"/>
          <w:color w:val="auto"/>
        </w:rPr>
      </w:pPr>
    </w:p>
    <w:p>
      <w:pPr>
        <w:ind w:right="20" w:firstLine="8"/>
        <w:spacing w:after="0" w:line="273" w:lineRule="auto"/>
        <w:tabs>
          <w:tab w:leader="none" w:pos="262"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right="160" w:firstLine="8"/>
        <w:spacing w:after="0" w:line="277" w:lineRule="auto"/>
        <w:tabs>
          <w:tab w:leader="none" w:pos="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(1)(A)(i), (1)(A)(ii) and (1)(A)(iii) do not apply if the information required to be included in a post-effective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8" w:name="page19"/>
    <w:bookmarkEnd w:id="18"/>
    <w:p>
      <w:pPr>
        <w:ind w:left="-8" w:right="420" w:firstLine="8"/>
        <w:spacing w:after="0" w:line="264" w:lineRule="auto"/>
        <w:tabs>
          <w:tab w:leader="none" w:pos="274"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8" w:right="100" w:firstLine="8"/>
        <w:spacing w:after="0" w:line="277" w:lineRule="auto"/>
        <w:tabs>
          <w:tab w:leader="none" w:pos="274"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292" w:hanging="292"/>
        <w:spacing w:after="0"/>
        <w:tabs>
          <w:tab w:leader="none" w:pos="29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ind w:left="-8" w:firstLine="8"/>
        <w:spacing w:after="0" w:line="277" w:lineRule="auto"/>
        <w:tabs>
          <w:tab w:leader="none" w:pos="2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8" w:right="60" w:firstLine="8"/>
        <w:spacing w:after="0" w:line="288" w:lineRule="auto"/>
        <w:tabs>
          <w:tab w:leader="none" w:pos="257"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9" w:lineRule="exact"/>
        <w:rPr>
          <w:sz w:val="20"/>
          <w:szCs w:val="20"/>
          <w:color w:val="auto"/>
        </w:rPr>
      </w:pPr>
    </w:p>
    <w:p>
      <w:pPr>
        <w:jc w:val="both"/>
        <w:ind w:left="-8" w:right="40" w:firstLine="8"/>
        <w:spacing w:after="0" w:line="302" w:lineRule="auto"/>
        <w:tabs>
          <w:tab w:leader="none" w:pos="2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4" w:lineRule="exact"/>
        <w:rPr>
          <w:sz w:val="20"/>
          <w:szCs w:val="20"/>
          <w:color w:val="auto"/>
        </w:rPr>
      </w:pPr>
    </w:p>
    <w:p>
      <w:pPr>
        <w:ind w:left="212" w:hanging="212"/>
        <w:spacing w:after="0"/>
        <w:tabs>
          <w:tab w:leader="none" w:pos="2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25" w:lineRule="exact"/>
        <w:rPr>
          <w:rFonts w:ascii="Arial" w:cs="Arial" w:eastAsia="Arial" w:hAnsi="Arial"/>
          <w:sz w:val="18"/>
          <w:szCs w:val="18"/>
          <w:color w:val="auto"/>
        </w:rPr>
      </w:pPr>
    </w:p>
    <w:p>
      <w:pPr>
        <w:ind w:left="-8" w:right="560" w:firstLine="8"/>
        <w:spacing w:after="0" w:line="277" w:lineRule="auto"/>
        <w:tabs>
          <w:tab w:leader="none" w:pos="2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8" w:right="120" w:firstLine="8"/>
        <w:spacing w:after="0" w:line="277" w:lineRule="auto"/>
        <w:tabs>
          <w:tab w:leader="none" w:pos="3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292" w:hanging="292"/>
        <w:spacing w:after="0"/>
        <w:tabs>
          <w:tab w:leader="none" w:pos="2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8" w:firstLine="8"/>
        <w:spacing w:after="0" w:line="257" w:lineRule="auto"/>
        <w:tabs>
          <w:tab w:leader="none" w:pos="2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left="-8" w:right="100" w:firstLine="8"/>
        <w:spacing w:after="0" w:line="291" w:lineRule="auto"/>
        <w:tabs>
          <w:tab w:leader="none" w:pos="247"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92"/>
          </w:cols>
          <w:pgMar w:left="248" w:top="800" w:right="2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5700" w:type="dxa"/>
            <w:vAlign w:val="bottom"/>
            <w:gridSpan w:val="2"/>
          </w:tcPr>
          <w:p>
            <w:pPr>
              <w:ind w:left="3460"/>
              <w:spacing w:after="0"/>
              <w:rPr>
                <w:sz w:val="20"/>
                <w:szCs w:val="20"/>
                <w:color w:val="auto"/>
              </w:rPr>
            </w:pPr>
            <w:r>
              <w:rPr>
                <w:rFonts w:ascii="Arial" w:cs="Arial" w:eastAsia="Arial" w:hAnsi="Arial"/>
                <w:sz w:val="18"/>
                <w:szCs w:val="18"/>
                <w:b w:val="1"/>
                <w:bCs w:val="1"/>
                <w:color w:val="auto"/>
              </w:rPr>
              <w:t>Exhibit Index</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17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gridSpan w:val="6"/>
          </w:tcPr>
          <w:p>
            <w:pPr>
              <w:ind w:left="260"/>
              <w:spacing w:after="0"/>
              <w:rPr>
                <w:sz w:val="20"/>
                <w:szCs w:val="20"/>
                <w:color w:val="auto"/>
              </w:rPr>
            </w:pPr>
            <w:r>
              <w:rPr>
                <w:rFonts w:ascii="Arial" w:cs="Arial" w:eastAsia="Arial" w:hAnsi="Arial"/>
                <w:sz w:val="18"/>
                <w:szCs w:val="18"/>
                <w:b w:val="1"/>
                <w:bCs w:val="1"/>
                <w:color w:val="auto"/>
              </w:rPr>
              <w:t>Incorporated by Reference</w:t>
            </w:r>
          </w:p>
        </w:tc>
      </w:tr>
      <w:tr>
        <w:trPr>
          <w:trHeight w:val="210"/>
        </w:trPr>
        <w:tc>
          <w:tcPr>
            <w:tcW w:w="1700" w:type="dxa"/>
            <w:vAlign w:val="bottom"/>
          </w:tcPr>
          <w:p>
            <w:pPr>
              <w:spacing w:after="0"/>
              <w:rPr>
                <w:sz w:val="20"/>
                <w:szCs w:val="20"/>
                <w:color w:val="auto"/>
              </w:rPr>
            </w:pPr>
            <w:r>
              <w:rPr>
                <w:rFonts w:ascii="Arial" w:cs="Arial" w:eastAsia="Arial" w:hAnsi="Arial"/>
                <w:sz w:val="18"/>
                <w:szCs w:val="18"/>
                <w:b w:val="1"/>
                <w:bCs w:val="1"/>
                <w:color w:val="auto"/>
              </w:rPr>
              <w:t>Exhibit Number</w:t>
            </w:r>
          </w:p>
        </w:tc>
        <w:tc>
          <w:tcPr>
            <w:tcW w:w="5480" w:type="dxa"/>
            <w:vAlign w:val="bottom"/>
          </w:tcPr>
          <w:p>
            <w:pPr>
              <w:ind w:left="1980"/>
              <w:spacing w:after="0"/>
              <w:rPr>
                <w:sz w:val="20"/>
                <w:szCs w:val="20"/>
                <w:color w:val="auto"/>
              </w:rPr>
            </w:pPr>
            <w:r>
              <w:rPr>
                <w:rFonts w:ascii="Arial" w:cs="Arial" w:eastAsia="Arial" w:hAnsi="Arial"/>
                <w:sz w:val="18"/>
                <w:szCs w:val="18"/>
                <w:b w:val="1"/>
                <w:bCs w:val="1"/>
                <w:color w:val="auto"/>
              </w:rPr>
              <w:t>Exhibit Description</w:t>
            </w:r>
          </w:p>
        </w:tc>
        <w:tc>
          <w:tcPr>
            <w:tcW w:w="220" w:type="dxa"/>
            <w:vAlign w:val="bottom"/>
          </w:tcPr>
          <w:p>
            <w:pPr>
              <w:spacing w:after="0"/>
              <w:rPr>
                <w:sz w:val="18"/>
                <w:szCs w:val="18"/>
                <w:color w:val="auto"/>
              </w:rPr>
            </w:pPr>
          </w:p>
        </w:tc>
        <w:tc>
          <w:tcPr>
            <w:tcW w:w="58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Form</w:t>
            </w: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Exhibit   Filing Date</w:t>
            </w:r>
          </w:p>
        </w:tc>
        <w:tc>
          <w:tcPr>
            <w:tcW w:w="1420" w:type="dxa"/>
            <w:vAlign w:val="bottom"/>
          </w:tcPr>
          <w:p>
            <w:pPr>
              <w:ind w:left="280"/>
              <w:spacing w:after="0"/>
              <w:rPr>
                <w:sz w:val="20"/>
                <w:szCs w:val="20"/>
                <w:color w:val="auto"/>
              </w:rPr>
            </w:pPr>
            <w:r>
              <w:rPr>
                <w:rFonts w:ascii="Arial" w:cs="Arial" w:eastAsia="Arial" w:hAnsi="Arial"/>
                <w:sz w:val="18"/>
                <w:szCs w:val="18"/>
                <w:b w:val="1"/>
                <w:bCs w:val="1"/>
                <w:color w:val="auto"/>
                <w:w w:val="90"/>
              </w:rPr>
              <w:t>Filed Herewith</w:t>
            </w:r>
          </w:p>
        </w:tc>
      </w:tr>
      <w:tr>
        <w:trPr>
          <w:trHeight w:val="20"/>
        </w:trPr>
        <w:tc>
          <w:tcPr>
            <w:tcW w:w="1700" w:type="dxa"/>
            <w:vAlign w:val="bottom"/>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11400"/>
          </w:cols>
          <w:pgMar w:left="240" w:top="796" w:right="259" w:bottom="1440" w:gutter="0" w:footer="0" w:header="0"/>
        </w:sect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rFonts w:ascii="Arial" w:cs="Arial" w:eastAsia="Arial" w:hAnsi="Arial"/>
                <w:sz w:val="18"/>
                <w:szCs w:val="18"/>
                <w:color w:val="0000EE"/>
                <w:w w:val="87"/>
              </w:rPr>
            </w:pPr>
            <w:hyperlink r:id="rId4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680" w:type="dxa"/>
            <w:vAlign w:val="bottom"/>
            <w:gridSpan w:val="10"/>
          </w:tcPr>
          <w:p>
            <w:pPr>
              <w:spacing w:after="0"/>
              <w:rPr>
                <w:rFonts w:ascii="Arial" w:cs="Arial" w:eastAsia="Arial" w:hAnsi="Arial"/>
                <w:sz w:val="18"/>
                <w:szCs w:val="18"/>
                <w:color w:val="0000EE"/>
              </w:rPr>
            </w:pPr>
            <w:hyperlink r:id="rId45">
              <w:r>
                <w:rPr>
                  <w:rFonts w:ascii="Arial" w:cs="Arial" w:eastAsia="Arial" w:hAnsi="Arial"/>
                  <w:sz w:val="18"/>
                  <w:szCs w:val="18"/>
                  <w:color w:val="0000EE"/>
                </w:rPr>
                <w:t>Second Amended and Restated Certificate of Incorporation</w:t>
              </w:r>
            </w:hyperlink>
          </w:p>
        </w:tc>
        <w:tc>
          <w:tcPr>
            <w:tcW w:w="920" w:type="dxa"/>
            <w:vAlign w:val="bottom"/>
          </w:tcPr>
          <w:p>
            <w:pPr>
              <w:ind w:left="320"/>
              <w:spacing w:after="0"/>
              <w:rPr>
                <w:sz w:val="20"/>
                <w:szCs w:val="20"/>
                <w:color w:val="auto"/>
              </w:rPr>
            </w:pPr>
            <w:r>
              <w:rPr>
                <w:rFonts w:ascii="Arial" w:cs="Arial" w:eastAsia="Arial" w:hAnsi="Arial"/>
                <w:sz w:val="18"/>
                <w:szCs w:val="18"/>
                <w:color w:val="auto"/>
              </w:rPr>
              <w:t>8-K</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840" w:type="dxa"/>
            <w:vAlign w:val="bottom"/>
          </w:tcPr>
          <w:p>
            <w:pPr>
              <w:jc w:val="right"/>
              <w:spacing w:after="0"/>
              <w:rPr>
                <w:sz w:val="20"/>
                <w:szCs w:val="20"/>
                <w:color w:val="auto"/>
              </w:rPr>
            </w:pPr>
            <w:r>
              <w:rPr>
                <w:rFonts w:ascii="Arial" w:cs="Arial" w:eastAsia="Arial" w:hAnsi="Arial"/>
                <w:sz w:val="18"/>
                <w:szCs w:val="18"/>
                <w:color w:val="auto"/>
              </w:rPr>
              <w:t>7/31/18</w:t>
            </w:r>
          </w:p>
        </w:tc>
      </w:tr>
      <w:tr>
        <w:trPr>
          <w:trHeight w:val="412"/>
        </w:trPr>
        <w:tc>
          <w:tcPr>
            <w:tcW w:w="24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r:id="rId4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r:id="rId46">
              <w:r>
                <w:rPr>
                  <w:rFonts w:ascii="Arial" w:cs="Arial" w:eastAsia="Arial" w:hAnsi="Arial"/>
                  <w:sz w:val="18"/>
                  <w:szCs w:val="18"/>
                  <w:color w:val="0000EE"/>
                  <w:w w:val="89"/>
                </w:rPr>
                <w:t>Amended and Restated Bylaws</w:t>
              </w:r>
            </w:hyperlink>
          </w:p>
        </w:tc>
        <w:tc>
          <w:tcPr>
            <w:tcW w:w="2000" w:type="dxa"/>
            <w:vAlign w:val="bottom"/>
            <w:tcBorders>
              <w:top w:val="single" w:sz="8" w:color="0000EE"/>
            </w:tcBorders>
            <w:gridSpan w:val="2"/>
          </w:tcPr>
          <w:p>
            <w:pPr>
              <w:spacing w:after="0"/>
              <w:rPr>
                <w:sz w:val="24"/>
                <w:szCs w:val="24"/>
                <w:color w:val="auto"/>
              </w:rPr>
            </w:pPr>
          </w:p>
        </w:tc>
        <w:tc>
          <w:tcPr>
            <w:tcW w:w="1420" w:type="dxa"/>
            <w:vAlign w:val="bottom"/>
            <w:gridSpan w:val="5"/>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8-K</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840" w:type="dxa"/>
            <w:vAlign w:val="bottom"/>
          </w:tcPr>
          <w:p>
            <w:pPr>
              <w:jc w:val="right"/>
              <w:spacing w:after="0"/>
              <w:rPr>
                <w:sz w:val="20"/>
                <w:szCs w:val="20"/>
                <w:color w:val="auto"/>
              </w:rPr>
            </w:pPr>
            <w:r>
              <w:rPr>
                <w:rFonts w:ascii="Arial" w:cs="Arial" w:eastAsia="Arial" w:hAnsi="Arial"/>
                <w:sz w:val="18"/>
                <w:szCs w:val="18"/>
                <w:color w:val="auto"/>
              </w:rPr>
              <w:t>7/31/18</w:t>
            </w:r>
          </w:p>
        </w:tc>
      </w:tr>
      <w:tr>
        <w:trPr>
          <w:trHeight w:val="412"/>
        </w:trPr>
        <w:tc>
          <w:tcPr>
            <w:tcW w:w="240" w:type="dxa"/>
            <w:vAlign w:val="bottom"/>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80" w:type="dxa"/>
            <w:vAlign w:val="bottom"/>
            <w:gridSpan w:val="1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Opinion of Schulte Roth &amp; Zabel LLP</w:t>
              </w:r>
            </w:hyperlink>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22">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1380" w:type="dxa"/>
            <w:vAlign w:val="bottom"/>
          </w:tcPr>
          <w:p>
            <w:pPr>
              <w:spacing w:after="0"/>
              <w:rPr>
                <w:sz w:val="24"/>
                <w:szCs w:val="24"/>
                <w:color w:val="auto"/>
              </w:rPr>
            </w:pPr>
          </w:p>
        </w:tc>
        <w:tc>
          <w:tcPr>
            <w:tcW w:w="5680" w:type="dxa"/>
            <w:vAlign w:val="bottom"/>
            <w:gridSpan w:val="1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Consent of Schulte Roth &amp; Zabel LLP (included in Exhibit 5.1)</w:t>
              </w:r>
            </w:hyperlink>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1380" w:type="dxa"/>
            <w:vAlign w:val="bottom"/>
          </w:tcPr>
          <w:p>
            <w:pPr>
              <w:spacing w:after="0"/>
              <w:rPr>
                <w:sz w:val="24"/>
                <w:szCs w:val="24"/>
                <w:color w:val="auto"/>
              </w:rPr>
            </w:pPr>
          </w:p>
        </w:tc>
        <w:tc>
          <w:tcPr>
            <w:tcW w:w="5680" w:type="dxa"/>
            <w:vAlign w:val="bottom"/>
            <w:gridSpan w:val="10"/>
          </w:tcPr>
          <w:p>
            <w:pPr>
              <w:spacing w:after="0"/>
              <w:rPr>
                <w:rFonts w:ascii="Arial" w:cs="Arial" w:eastAsia="Arial" w:hAnsi="Arial"/>
                <w:sz w:val="18"/>
                <w:szCs w:val="18"/>
                <w:color w:val="0000EE"/>
                <w:w w:val="96"/>
              </w:rPr>
            </w:pPr>
            <w:hyperlink w:anchor="page24">
              <w:r>
                <w:rPr>
                  <w:rFonts w:ascii="Arial" w:cs="Arial" w:eastAsia="Arial" w:hAnsi="Arial"/>
                  <w:sz w:val="18"/>
                  <w:szCs w:val="18"/>
                  <w:color w:val="0000EE"/>
                  <w:w w:val="96"/>
                </w:rPr>
                <w:t>Consent of Marcum LLP, Independent Registered Public Accounting Firm</w:t>
              </w:r>
            </w:hyperlink>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3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3</w:t>
              </w:r>
            </w:hyperlink>
          </w:p>
        </w:tc>
        <w:tc>
          <w:tcPr>
            <w:tcW w:w="1380" w:type="dxa"/>
            <w:vAlign w:val="bottom"/>
          </w:tcPr>
          <w:p>
            <w:pPr>
              <w:spacing w:after="0"/>
              <w:rPr>
                <w:sz w:val="24"/>
                <w:szCs w:val="24"/>
                <w:color w:val="auto"/>
              </w:rPr>
            </w:pPr>
          </w:p>
        </w:tc>
        <w:tc>
          <w:tcPr>
            <w:tcW w:w="50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Consent of RSM US LLP, Independent Registered Public Accounting</w:t>
              </w:r>
            </w:hyperlink>
          </w:p>
        </w:tc>
        <w:tc>
          <w:tcPr>
            <w:tcW w:w="3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680" w:type="dxa"/>
            <w:vAlign w:val="bottom"/>
            <w:gridSpan w:val="1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Firm</w:t>
              </w:r>
            </w:hyperlink>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21">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1380" w:type="dxa"/>
            <w:vAlign w:val="bottom"/>
          </w:tcPr>
          <w:p>
            <w:pPr>
              <w:spacing w:after="0"/>
              <w:rPr>
                <w:sz w:val="24"/>
                <w:szCs w:val="24"/>
                <w:color w:val="auto"/>
              </w:rPr>
            </w:pPr>
          </w:p>
        </w:tc>
        <w:tc>
          <w:tcPr>
            <w:tcW w:w="5680" w:type="dxa"/>
            <w:vAlign w:val="bottom"/>
            <w:gridSpan w:val="1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Powers of Attorney (included on signature pages of this Registration</w:t>
              </w:r>
            </w:hyperlink>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21">
              <w:r>
                <w:rPr>
                  <w:rFonts w:ascii="Arial" w:cs="Arial" w:eastAsia="Arial" w:hAnsi="Arial"/>
                  <w:sz w:val="18"/>
                  <w:szCs w:val="18"/>
                  <w:color w:val="0000EE"/>
                  <w:w w:val="86"/>
                </w:rPr>
                <w:t>Statement)</w:t>
              </w:r>
            </w:hyperlink>
          </w:p>
        </w:tc>
        <w:tc>
          <w:tcPr>
            <w:tcW w:w="4160" w:type="dxa"/>
            <w:vAlign w:val="bottom"/>
            <w:tcBorders>
              <w:top w:val="single" w:sz="8" w:color="0000EE"/>
            </w:tcBorders>
            <w:gridSpan w:val="5"/>
          </w:tcPr>
          <w:p>
            <w:pPr>
              <w:spacing w:after="0"/>
              <w:rPr>
                <w:sz w:val="17"/>
                <w:szCs w:val="17"/>
                <w:color w:val="auto"/>
              </w:rPr>
            </w:pPr>
          </w:p>
        </w:tc>
        <w:tc>
          <w:tcPr>
            <w:tcW w:w="74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-2040255</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-1765935</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-1491615</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-1217295</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-942975</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24662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9980" w:space="720"/>
            <w:col w:w="700"/>
          </w:cols>
          <w:pgMar w:left="240" w:top="796" w:right="25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August 9, 2018.</w:t>
      </w:r>
    </w:p>
    <w:p>
      <w:pPr>
        <w:spacing w:after="0" w:line="18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Priority Technology Holdings, Inc.</w:t>
      </w:r>
    </w:p>
    <w:p>
      <w:pPr>
        <w:spacing w:after="0" w:line="225"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Priore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Thomas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Chairman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Each person whose signature appears below hereby constitute and appoint Thomas Priore and Bruce Mattox, or any one of them, his or her true and lawful attorneys-in-fact and agents, with full power of substitution and resubstitution, for him or her and in his or her name, place, and stead, in any and all capacities, to sign any and all amendments to the Registration Statement, including post-effective amendments thereto and any registration statements filed pursuant to Rule 462 under the Securities Act of 1933, as amended, and to file the same, with all exhibits hereto, and other documents in connection therewith, with the Securities and Exchange Commission, and does hereby grant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1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August 9,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ind w:left="2200"/>
              <w:spacing w:after="0"/>
              <w:rPr>
                <w:sz w:val="20"/>
                <w:szCs w:val="20"/>
                <w:color w:val="auto"/>
              </w:rPr>
            </w:pPr>
            <w:r>
              <w:rPr>
                <w:rFonts w:ascii="Arial" w:cs="Arial" w:eastAsia="Arial" w:hAnsi="Arial"/>
                <w:sz w:val="18"/>
                <w:szCs w:val="18"/>
                <w:b w:val="1"/>
                <w:bCs w:val="1"/>
                <w:color w:val="auto"/>
              </w:rPr>
              <w:t>Signature</w:t>
            </w:r>
          </w:p>
        </w:tc>
        <w:tc>
          <w:tcPr>
            <w:tcW w:w="6260" w:type="dxa"/>
            <w:vAlign w:val="bottom"/>
          </w:tcPr>
          <w:p>
            <w:pPr>
              <w:jc w:val="center"/>
              <w:ind w:left="130"/>
              <w:spacing w:after="0"/>
              <w:rPr>
                <w:sz w:val="20"/>
                <w:szCs w:val="20"/>
                <w:color w:val="auto"/>
              </w:rPr>
            </w:pPr>
            <w:r>
              <w:rPr>
                <w:rFonts w:ascii="Arial" w:cs="Arial" w:eastAsia="Arial" w:hAnsi="Arial"/>
                <w:sz w:val="18"/>
                <w:szCs w:val="18"/>
                <w:b w:val="1"/>
                <w:bCs w:val="1"/>
                <w:color w:val="auto"/>
                <w:w w:val="97"/>
              </w:rPr>
              <w:t>Title</w:t>
            </w:r>
          </w:p>
        </w:tc>
      </w:tr>
      <w:tr>
        <w:trPr>
          <w:trHeight w:val="432"/>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Priore</w:t>
            </w:r>
          </w:p>
        </w:tc>
        <w:tc>
          <w:tcPr>
            <w:tcW w:w="6260" w:type="dxa"/>
            <w:vAlign w:val="bottom"/>
          </w:tcPr>
          <w:p>
            <w:pPr>
              <w:jc w:val="center"/>
              <w:ind w:left="130"/>
              <w:spacing w:after="0"/>
              <w:rPr>
                <w:sz w:val="20"/>
                <w:szCs w:val="20"/>
                <w:color w:val="auto"/>
              </w:rPr>
            </w:pPr>
            <w:r>
              <w:rPr>
                <w:rFonts w:ascii="Arial" w:cs="Arial" w:eastAsia="Arial" w:hAnsi="Arial"/>
                <w:sz w:val="18"/>
                <w:szCs w:val="18"/>
                <w:color w:val="auto"/>
                <w:w w:val="93"/>
              </w:rPr>
              <w:t>Chief Executive Officer and 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John Priore</w:t>
            </w:r>
          </w:p>
        </w:tc>
        <w:tc>
          <w:tcPr>
            <w:tcW w:w="6260" w:type="dxa"/>
            <w:vAlign w:val="bottom"/>
          </w:tcPr>
          <w:p>
            <w:pPr>
              <w:jc w:val="center"/>
              <w:ind w:left="90"/>
              <w:spacing w:after="0"/>
              <w:rPr>
                <w:sz w:val="20"/>
                <w:szCs w:val="20"/>
                <w:color w:val="auto"/>
              </w:rPr>
            </w:pPr>
            <w:r>
              <w:rPr>
                <w:rFonts w:ascii="Arial" w:cs="Arial" w:eastAsia="Arial" w:hAnsi="Arial"/>
                <w:sz w:val="18"/>
                <w:szCs w:val="18"/>
                <w:color w:val="auto"/>
                <w:w w:val="93"/>
              </w:rPr>
              <w:t>(Principal Executive Officer)</w:t>
            </w:r>
          </w:p>
        </w:tc>
      </w:tr>
      <w:tr>
        <w:trPr>
          <w:trHeight w:val="418"/>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Mattox</w:t>
            </w:r>
          </w:p>
        </w:tc>
        <w:tc>
          <w:tcPr>
            <w:tcW w:w="6260" w:type="dxa"/>
            <w:vAlign w:val="bottom"/>
          </w:tcPr>
          <w:p>
            <w:pPr>
              <w:jc w:val="center"/>
              <w:ind w:left="130"/>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Bruce Mattox</w:t>
            </w:r>
          </w:p>
        </w:tc>
        <w:tc>
          <w:tcPr>
            <w:tcW w:w="6260" w:type="dxa"/>
            <w:vAlign w:val="bottom"/>
          </w:tcPr>
          <w:p>
            <w:pPr>
              <w:jc w:val="center"/>
              <w:ind w:left="90"/>
              <w:spacing w:after="0"/>
              <w:rPr>
                <w:sz w:val="20"/>
                <w:szCs w:val="20"/>
                <w:color w:val="auto"/>
              </w:rPr>
            </w:pPr>
            <w:r>
              <w:rPr>
                <w:rFonts w:ascii="Arial" w:cs="Arial" w:eastAsia="Arial" w:hAnsi="Arial"/>
                <w:sz w:val="18"/>
                <w:szCs w:val="18"/>
                <w:color w:val="auto"/>
                <w:w w:val="93"/>
              </w:rPr>
              <w:t>(Principal Accounting and Financial Officer)</w:t>
            </w:r>
          </w:p>
        </w:tc>
      </w:tr>
      <w:tr>
        <w:trPr>
          <w:trHeight w:val="418"/>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Priore</w:t>
            </w:r>
          </w:p>
        </w:tc>
        <w:tc>
          <w:tcPr>
            <w:tcW w:w="6260" w:type="dxa"/>
            <w:vAlign w:val="bottom"/>
          </w:tcPr>
          <w:p>
            <w:pPr>
              <w:jc w:val="center"/>
              <w:ind w:left="130"/>
              <w:spacing w:after="0"/>
              <w:rPr>
                <w:sz w:val="20"/>
                <w:szCs w:val="20"/>
                <w:color w:val="auto"/>
              </w:rPr>
            </w:pPr>
            <w:r>
              <w:rPr>
                <w:rFonts w:ascii="Arial" w:cs="Arial" w:eastAsia="Arial" w:hAnsi="Arial"/>
                <w:sz w:val="18"/>
                <w:szCs w:val="18"/>
                <w:color w:val="auto"/>
                <w:w w:val="92"/>
              </w:rPr>
              <w:t>Executive Director and Chairman</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Thomas Priore</w:t>
            </w:r>
          </w:p>
        </w:tc>
        <w:tc>
          <w:tcPr>
            <w:tcW w:w="626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Manuel</w:t>
            </w:r>
          </w:p>
        </w:tc>
        <w:tc>
          <w:tcPr>
            <w:tcW w:w="6260" w:type="dxa"/>
            <w:vAlign w:val="bottom"/>
          </w:tcPr>
          <w:p>
            <w:pPr>
              <w:jc w:val="center"/>
              <w:ind w:left="130"/>
              <w:spacing w:after="0"/>
              <w:rPr>
                <w:sz w:val="20"/>
                <w:szCs w:val="20"/>
                <w:color w:val="auto"/>
              </w:rPr>
            </w:pPr>
            <w:r>
              <w:rPr>
                <w:rFonts w:ascii="Arial" w:cs="Arial" w:eastAsia="Arial" w:hAnsi="Arial"/>
                <w:sz w:val="18"/>
                <w:szCs w:val="18"/>
                <w:color w:val="auto"/>
                <w:w w:val="95"/>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Marc Manuel</w:t>
            </w:r>
          </w:p>
        </w:tc>
        <w:tc>
          <w:tcPr>
            <w:tcW w:w="626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Gahan</w:t>
            </w:r>
          </w:p>
        </w:tc>
        <w:tc>
          <w:tcPr>
            <w:tcW w:w="6260" w:type="dxa"/>
            <w:vAlign w:val="bottom"/>
          </w:tcPr>
          <w:p>
            <w:pPr>
              <w:jc w:val="center"/>
              <w:ind w:left="130"/>
              <w:spacing w:after="0"/>
              <w:rPr>
                <w:sz w:val="20"/>
                <w:szCs w:val="20"/>
                <w:color w:val="auto"/>
              </w:rPr>
            </w:pPr>
            <w:r>
              <w:rPr>
                <w:rFonts w:ascii="Arial" w:cs="Arial" w:eastAsia="Arial" w:hAnsi="Arial"/>
                <w:sz w:val="18"/>
                <w:szCs w:val="18"/>
                <w:color w:val="auto"/>
                <w:w w:val="95"/>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William Gahan</w:t>
            </w:r>
          </w:p>
        </w:tc>
        <w:tc>
          <w:tcPr>
            <w:tcW w:w="626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Kearney</w:t>
            </w:r>
          </w:p>
        </w:tc>
        <w:tc>
          <w:tcPr>
            <w:tcW w:w="6260" w:type="dxa"/>
            <w:vAlign w:val="bottom"/>
          </w:tcPr>
          <w:p>
            <w:pPr>
              <w:jc w:val="center"/>
              <w:ind w:left="130"/>
              <w:spacing w:after="0"/>
              <w:rPr>
                <w:sz w:val="20"/>
                <w:szCs w:val="20"/>
                <w:color w:val="auto"/>
              </w:rPr>
            </w:pPr>
            <w:r>
              <w:rPr>
                <w:rFonts w:ascii="Arial" w:cs="Arial" w:eastAsia="Arial" w:hAnsi="Arial"/>
                <w:sz w:val="18"/>
                <w:szCs w:val="18"/>
                <w:color w:val="auto"/>
                <w:w w:val="95"/>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Matthew Kearney</w:t>
            </w:r>
          </w:p>
        </w:tc>
        <w:tc>
          <w:tcPr>
            <w:tcW w:w="6260" w:type="dxa"/>
            <w:vAlign w:val="bottom"/>
          </w:tcPr>
          <w:p>
            <w:pPr>
              <w:spacing w:after="0"/>
              <w:rPr>
                <w:sz w:val="19"/>
                <w:szCs w:val="19"/>
                <w:color w:val="auto"/>
              </w:rPr>
            </w:pPr>
          </w:p>
        </w:tc>
      </w:tr>
      <w:tr>
        <w:trPr>
          <w:trHeight w:val="546"/>
        </w:trPr>
        <w:tc>
          <w:tcPr>
            <w:tcW w:w="51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Priority Technology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2001 Westside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Alpharetta, GA 30004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We have acted as special counsel to Priority Technology Holdings, Inc., a Delaware corporation (the “Company”), in connection with the preparation and filing by the Company, with the Securities and Exchange Commission (the “Commission”) of a Registration Statement on Form S-3 (the “Registration Statement”), under the Securities Act of 1933, as amended (the “Securities Act”), relating to the resale by selling stockholders of up to 1,500,000 shares of common stock of the Company, par value $0.001 per share (the “Securities”). The Securities may be issued and sold or delivered from time to time as set forth in the Registration Statement, any amendment thereto, the prospectus contained therein (the “Prospectus”) and supplements to the Prospectus pursuant to Rule 415 under the Securities Act.</w:t>
      </w:r>
    </w:p>
    <w:p>
      <w:pPr>
        <w:spacing w:after="0" w:line="193" w:lineRule="exact"/>
        <w:rPr>
          <w:sz w:val="20"/>
          <w:szCs w:val="20"/>
          <w:color w:val="auto"/>
        </w:rPr>
      </w:pPr>
    </w:p>
    <w:p>
      <w:pPr>
        <w:jc w:val="both"/>
        <w:ind w:right="220" w:firstLine="441"/>
        <w:spacing w:after="0" w:line="312" w:lineRule="auto"/>
        <w:rPr>
          <w:sz w:val="20"/>
          <w:szCs w:val="20"/>
          <w:color w:val="auto"/>
        </w:rPr>
      </w:pPr>
      <w:r>
        <w:rPr>
          <w:rFonts w:ascii="Arial" w:cs="Arial" w:eastAsia="Arial" w:hAnsi="Arial"/>
          <w:sz w:val="16"/>
          <w:szCs w:val="16"/>
          <w:color w:val="auto"/>
        </w:rPr>
        <w:t>In connection with the opinions expressed below, we have examined originals or copies, certified or otherwise identified to our satisfaction, of (i) the Registration Statement and the Prospectus, (ii) the Certificate of Incorporation and bylaws of the Company, and (iii) such other agreements, certificates and documents of public officials, officers and other representatives of the Company as we have deemed necessary as a basis for our opinions set forth below.</w:t>
      </w:r>
    </w:p>
    <w:p>
      <w:pPr>
        <w:spacing w:after="0" w:line="14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In our examination, we have assumed (a) the legal capacity of all natural persons executing the Registration Statement, and such other agreements, certificates and documents, (b) the genuineness of all signatures thereon, (c) the authority of all persons signing the Registration Statement and such other agreements, certificates and documents on behalf of the parties thereto, (d) the authenticity of all documents submitted to us as originals, (e) the conformity to original documents of all documents submitted to us as certified or photostatic copies and (f) the authenticity of the originals of such latter documents. As to any facts material to this opinion that were not independently established or verified, we have relied upon statements and representations of officers and other representatives of the Company and others.</w:t>
      </w:r>
    </w:p>
    <w:p>
      <w:pPr>
        <w:spacing w:after="0" w:line="193"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We have assumed further that, at the time of issuance of the applicable Securities, (1) there shall not have occurred any change in law affecting the validity of any Security; (2) the Registration Statement shall have become effective and such effectiveness shall not have been terminated or rescinded; and (3) the Company will remain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right="100" w:firstLine="441"/>
        <w:spacing w:after="0" w:line="277" w:lineRule="auto"/>
        <w:rPr>
          <w:sz w:val="20"/>
          <w:szCs w:val="20"/>
          <w:color w:val="auto"/>
        </w:rPr>
      </w:pPr>
      <w:r>
        <w:rPr>
          <w:rFonts w:ascii="Arial" w:cs="Arial" w:eastAsia="Arial" w:hAnsi="Arial"/>
          <w:sz w:val="18"/>
          <w:szCs w:val="18"/>
          <w:color w:val="auto"/>
        </w:rPr>
        <w:t>Based upon the foregoing, and such other investigations as we have deemed necessary and subject to the qualifications included in this letter, we are of the opinion that the Securities have been duly authorized and validly issued and are fully paid and non-assessable.</w:t>
      </w:r>
    </w:p>
    <w:p>
      <w:pPr>
        <w:spacing w:after="0" w:line="170"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Members of this firm are admitted to the bar in the State of New York and the opinions set forth above are limited to the General Corporation Law of the State of Delaware.</w:t>
      </w:r>
    </w:p>
    <w:p>
      <w:pPr>
        <w:spacing w:after="0" w:line="170"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This opinion is given on the basis of the law and the facts existing as of the date hereof and delivered in accordance with the requirements of Item 601(b)(5) of Regulation S-K under the Act.</w:t>
      </w:r>
    </w:p>
    <w:p>
      <w:pPr>
        <w:spacing w:after="0" w:line="170"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We hereby consent to the filing of this opinion as an exhibit to the Registration Statement and to the reference to this firm under the heading “Legal Matters” in the prospectus which forms a part thereof. In giving such consent, we do not thereby admit that we are in the category of persons whose consent is required under Section 7 of the Securities Act or the rules and regulations of the Commission promulgated thereunder.</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Schulte Roth &amp; Zabel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consent to the incorporation by reference in this Registration Statement of Priority Technology Holdings, Inc. (formerly M I Acquisitions, Inc.) on Form S-3 of our report dated March 27, 2018, which includes an explanatory paragraph as to the M I Acquisitions, Inc. ability to continue as a going concern, with respect to our audits of the financial statements of M I Acquisitions, Inc. (now known as Priority Technology Holdings, Inc.) as of December 31, 2017 and 2016 and for the two years in the period ended December 31, 2017 appearing in the Annual Report on Form 10-K of M I Acquisitions, Inc. for the year ended December 31, 2017. We also consent to the reference to our firm under the heading “Experts” in the Prospectus, which is part of this Registration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23.3</w:t>
      </w:r>
    </w:p>
    <w:p>
      <w:pPr>
        <w:spacing w:after="0" w:line="21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on Form S-3 and related Prospectus of Priority Technology Holdings, Inc. of our report dated April 18, 2018, relating to the consolidated financial statements of Priority Holdings, LLC, appearing in the Current Report on Form 8-K of Priority Technology Holdings, Inc. dated July 25, 2018.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heading "Experts" in such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upperLetter"/>
      <w:start w:val="1"/>
    </w:lvl>
  </w:abstractNum>
  <w:abstractNum w:abstractNumId="7">
    <w:nsid w:val="216231B"/>
    <w:multiLevelType w:val="hybridMultilevel"/>
    <w:lvl w:ilvl="0">
      <w:lvlJc w:val="left"/>
      <w:lvlText w:val="(%1)"/>
      <w:numFmt w:val="lowerRoman"/>
      <w:start w:val="2"/>
    </w:lvl>
  </w:abstractNum>
  <w:abstractNum w:abstractNumId="8">
    <w:nsid w:val="1F16E9E8"/>
    <w:multiLevelType w:val="hybridMultilevel"/>
    <w:lvl w:ilvl="0">
      <w:lvlJc w:val="left"/>
      <w:lvlText w:val="(%1)"/>
      <w:numFmt w:val="upperLetter"/>
      <w:start w:val="2"/>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1)"/>
      <w:numFmt w:val="upperLetter"/>
      <w:start w:val="5"/>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45" Type="http://schemas.openxmlformats.org/officeDocument/2006/relationships/hyperlink" Target="http://www.sec.gov/Archives/edgar/data/1653558/000161577418007231/s111606_ex3-1.htm" TargetMode="External"/><Relationship Id="rId46" Type="http://schemas.openxmlformats.org/officeDocument/2006/relationships/hyperlink" Target="http://www.sec.gov/Archives/edgar/data/1653558/000161577418007231/s11160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2020-01-13T07:07:06Z</dcterms:created>
  <dcterms:modified xsi:type="dcterms:W3CDTF">2020-01-13T07:07:06Z</dcterms:modified>
</cp:coreProperties>
</file>