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13G/A</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 I Acquisition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55304A104</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2/28/18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tabs>
          <w:tab w:leader="none" w:pos="940" w:val="left"/>
        </w:tabs>
        <w:rPr>
          <w:sz w:val="20"/>
          <w:szCs w:val="20"/>
          <w:color w:val="auto"/>
        </w:rPr>
      </w:pPr>
      <w:r>
        <w:rPr>
          <w:rFonts w:ascii="Courier New" w:cs="Courier New" w:eastAsia="Courier New" w:hAnsi="Courier New"/>
          <w:sz w:val="18"/>
          <w:szCs w:val="18"/>
          <w:color w:val="auto"/>
        </w:rPr>
        <w:t>_X_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__</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5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__</w:t>
            </w:r>
          </w:p>
        </w:tc>
        <w:tc>
          <w:tcPr>
            <w:tcW w:w="860" w:type="dxa"/>
            <w:vAlign w:val="bottom"/>
          </w:tcPr>
          <w:p>
            <w:pPr>
              <w:ind w:left="380"/>
              <w:spacing w:after="0"/>
              <w:rPr>
                <w:sz w:val="20"/>
                <w:szCs w:val="20"/>
                <w:color w:val="auto"/>
              </w:rPr>
            </w:pPr>
            <w:r>
              <w:rPr>
                <w:rFonts w:ascii="Courier New" w:cs="Courier New" w:eastAsia="Courier New" w:hAnsi="Courier New"/>
                <w:sz w:val="18"/>
                <w:szCs w:val="18"/>
                <w:color w:val="auto"/>
              </w:rPr>
              <w:t>Rule</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55304A104</w:t>
      </w:r>
    </w:p>
    <w:p>
      <w:pPr>
        <w:spacing w:after="0" w:line="207" w:lineRule="exact"/>
        <w:rPr>
          <w:sz w:val="24"/>
          <w:szCs w:val="24"/>
          <w:color w:val="auto"/>
        </w:rPr>
      </w:pPr>
    </w:p>
    <w:p>
      <w:pPr>
        <w:ind w:right="38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Bulldog Investors LLC,</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4"/>
          <w:szCs w:val="24"/>
          <w:color w:val="auto"/>
        </w:rPr>
      </w:pPr>
    </w:p>
    <w:p>
      <w:pPr>
        <w:ind w:right="80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101,858</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151,577</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101,858</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151,577</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3.59%</w:t>
      </w:r>
    </w:p>
    <w:p>
      <w:pPr>
        <w:spacing w:after="0" w:line="202"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7" w:lineRule="exact"/>
        <w:rPr>
          <w:sz w:val="24"/>
          <w:szCs w:val="24"/>
          <w:color w:val="auto"/>
        </w:rPr>
      </w:pPr>
    </w:p>
    <w:p>
      <w:pPr>
        <w:ind w:right="389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Phillip Goldstein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0"/>
          <w:szCs w:val="20"/>
          <w:color w:val="auto"/>
        </w:rPr>
      </w:pPr>
    </w:p>
    <w:p>
      <w:pPr>
        <w:ind w:right="80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101,858</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151,577</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101,858</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151,577</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3.59%</w:t>
      </w:r>
    </w:p>
    <w:p>
      <w:pPr>
        <w:spacing w:after="0" w:line="202"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right="389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Andrew Dakos</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6" w:lineRule="exact"/>
        <w:rPr>
          <w:sz w:val="20"/>
          <w:szCs w:val="20"/>
          <w:color w:val="auto"/>
        </w:rPr>
      </w:pPr>
    </w:p>
    <w:p>
      <w:pPr>
        <w:ind w:right="80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101,858</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151,577</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101,858</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151,577</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3.59%</w:t>
      </w:r>
    </w:p>
    <w:p>
      <w:pPr>
        <w:spacing w:after="0" w:line="202"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ind w:right="389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Samuels</w:t>
      </w:r>
    </w:p>
    <w:p>
      <w:pPr>
        <w:spacing w:after="0" w:line="207" w:lineRule="exact"/>
        <w:rPr>
          <w:rFonts w:ascii="Courier New" w:cs="Courier New" w:eastAsia="Courier New" w:hAnsi="Courier New"/>
          <w:sz w:val="18"/>
          <w:szCs w:val="18"/>
          <w:color w:val="auto"/>
        </w:rPr>
      </w:pPr>
    </w:p>
    <w:p>
      <w:pPr>
        <w:ind w:right="4319" w:firstLine="8"/>
        <w:spacing w:after="0" w:line="235"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With:</w:t>
      </w:r>
    </w:p>
    <w:p>
      <w:pPr>
        <w:spacing w:after="0" w:line="4" w:lineRule="exact"/>
        <w:rPr>
          <w:sz w:val="20"/>
          <w:szCs w:val="20"/>
          <w:color w:val="auto"/>
        </w:rPr>
      </w:pPr>
    </w:p>
    <w:p>
      <w:pPr>
        <w:ind w:right="809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101,858</w:t>
      </w:r>
    </w:p>
    <w:p>
      <w:pPr>
        <w:spacing w:after="0" w:line="5" w:lineRule="exact"/>
        <w:rPr>
          <w:rFonts w:ascii="Courier New" w:cs="Courier New" w:eastAsia="Courier New" w:hAnsi="Courier New"/>
          <w:sz w:val="18"/>
          <w:szCs w:val="18"/>
          <w:color w:val="auto"/>
        </w:rPr>
      </w:pPr>
    </w:p>
    <w:p>
      <w:pPr>
        <w:ind w:right="789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151,577</w:t>
      </w:r>
    </w:p>
    <w:p>
      <w:pPr>
        <w:spacing w:after="0" w:line="5" w:lineRule="exact"/>
        <w:rPr>
          <w:rFonts w:ascii="Courier New" w:cs="Courier New" w:eastAsia="Courier New" w:hAnsi="Courier New"/>
          <w:sz w:val="18"/>
          <w:szCs w:val="18"/>
          <w:color w:val="auto"/>
        </w:rPr>
      </w:pPr>
    </w:p>
    <w:p>
      <w:pPr>
        <w:ind w:right="757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101,858</w:t>
      </w:r>
    </w:p>
    <w:p>
      <w:pPr>
        <w:spacing w:after="0" w:line="5" w:lineRule="exact"/>
        <w:rPr>
          <w:rFonts w:ascii="Courier New" w:cs="Courier New" w:eastAsia="Courier New" w:hAnsi="Courier New"/>
          <w:sz w:val="18"/>
          <w:szCs w:val="18"/>
          <w:color w:val="auto"/>
        </w:rPr>
      </w:pPr>
    </w:p>
    <w:p>
      <w:pPr>
        <w:ind w:right="735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151,577</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253,435 - (footnote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3579" w:firstLine="8"/>
        <w:spacing w:after="0" w:line="235"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( 9 ) Excludes Certain Shares (See Instructions)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( 9 )</w:t>
      </w:r>
    </w:p>
    <w:p>
      <w:pPr>
        <w:spacing w:after="0" w:line="238" w:lineRule="auto"/>
        <w:rPr>
          <w:sz w:val="20"/>
          <w:szCs w:val="20"/>
          <w:color w:val="auto"/>
        </w:rPr>
      </w:pPr>
      <w:r>
        <w:rPr>
          <w:rFonts w:ascii="Courier New" w:cs="Courier New" w:eastAsia="Courier New" w:hAnsi="Courier New"/>
          <w:sz w:val="18"/>
          <w:szCs w:val="18"/>
          <w:color w:val="auto"/>
        </w:rPr>
        <w:t>3.59%</w:t>
      </w:r>
    </w:p>
    <w:p>
      <w:pPr>
        <w:spacing w:after="0" w:line="202" w:lineRule="exact"/>
        <w:rPr>
          <w:sz w:val="20"/>
          <w:szCs w:val="20"/>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right="705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Issuer is: M I Acquisition Inc.</w:t>
      </w:r>
    </w:p>
    <w:p>
      <w:pPr>
        <w:spacing w:after="0" w:line="208" w:lineRule="exact"/>
        <w:rPr>
          <w:rFonts w:ascii="Courier New" w:cs="Courier New" w:eastAsia="Courier New" w:hAnsi="Courier New"/>
          <w:sz w:val="18"/>
          <w:szCs w:val="18"/>
          <w:color w:val="auto"/>
        </w:rPr>
      </w:pPr>
    </w:p>
    <w:p>
      <w:pPr>
        <w:ind w:right="3679" w:firstLine="8"/>
        <w:spacing w:after="0" w:line="235"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Issuer's Principal Executive Office is: C/O Magna Management LLC</w:t>
      </w:r>
    </w:p>
    <w:p>
      <w:pPr>
        <w:spacing w:after="0" w:line="5" w:lineRule="exact"/>
        <w:rPr>
          <w:rFonts w:ascii="Courier New" w:cs="Courier New" w:eastAsia="Courier New" w:hAnsi="Courier New"/>
          <w:sz w:val="18"/>
          <w:szCs w:val="18"/>
          <w:color w:val="auto"/>
        </w:rPr>
      </w:pPr>
    </w:p>
    <w:p>
      <w:pPr>
        <w:ind w:right="831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 Hanover Square New York, NY 10004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38" w:lineRule="auto"/>
        <w:rPr>
          <w:sz w:val="20"/>
          <w:szCs w:val="20"/>
          <w:color w:val="auto"/>
        </w:rPr>
      </w:pPr>
      <w:r>
        <w:rPr>
          <w:rFonts w:ascii="Courier New" w:cs="Courier New" w:eastAsia="Courier New" w:hAnsi="Courier New"/>
          <w:sz w:val="18"/>
          <w:szCs w:val="18"/>
          <w:color w:val="auto"/>
        </w:rPr>
        <w:t>(a) The names of the Persons Filing are:</w:t>
      </w:r>
    </w:p>
    <w:p>
      <w:pPr>
        <w:spacing w:after="0" w:line="5"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Bulldog Investors LLC, Phillip Goldstein, Andrew Dakos and Steven Samuels</w:t>
      </w:r>
    </w:p>
    <w:p>
      <w:pPr>
        <w:spacing w:after="0" w:line="208" w:lineRule="exact"/>
        <w:rPr>
          <w:sz w:val="20"/>
          <w:szCs w:val="20"/>
          <w:color w:val="auto"/>
        </w:rPr>
      </w:pPr>
    </w:p>
    <w:p>
      <w:pPr>
        <w:ind w:right="4839" w:firstLine="8"/>
        <w:spacing w:after="0" w:line="235"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principal place of business and principal office is:</w:t>
      </w:r>
    </w:p>
    <w:p>
      <w:pPr>
        <w:spacing w:after="0" w:line="5"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Park 80 West, 250 Pehle Ave. Suite 708 Saddle Brook, NJ 07663</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55304A104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statement is filed pursuant to 240.13d-1(b). The person filing is: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An investment adviser in accordance with 240.13d-1(b)(1)(ii)(E).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253,435</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3.59%</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101,858</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151,577</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101,858</w:t>
      </w:r>
    </w:p>
    <w:p>
      <w:pPr>
        <w:spacing w:after="0" w:line="5" w:lineRule="exact"/>
        <w:rPr>
          <w:rFonts w:ascii="Courier New" w:cs="Courier New" w:eastAsia="Courier New" w:hAnsi="Courier New"/>
          <w:sz w:val="18"/>
          <w:szCs w:val="18"/>
          <w:color w:val="auto"/>
        </w:rPr>
      </w:pPr>
    </w:p>
    <w:p>
      <w:pPr>
        <w:ind w:right="419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151,577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_X_.</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6"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Clients of Bulldog Investors, LLC are entitled to receive dividends and sales proceeds.</w:t>
      </w:r>
    </w:p>
    <w:p>
      <w:pPr>
        <w:spacing w:after="0" w:line="208"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As per the 10-Q filing on 11/14/17, there were 7,058,743 shares of common stock outstanding as of 11/13/17. The percentages set forth herein were derived using such number. Phillip Goldstein, Andrew Dakos and Steven Samuels own Bulldog Investors, LLC, a registered investment adviser. As of March 1, 2018, Bulldog Investors, LLC is deemed to be the beneficial owner of 253,435 shares of MACQ by virtue of Bulldog Investors, LLC's power to direct the vote of, and dispose of, these shares. These 253,435 shares of MACQ include 101,858 shares (representing 1.44% of MACQ's outstanding shares) that are beneficially owned by Messrs. Goldstein, Dakos, and Samuels and the following entities over which Messrs. Goldstein, Dakos and Samuels exercise control: Opportunity Partners LP, Calapasas West Partners LP, Full Value Special Situations Fund LP, Full Value Partners LP, Opportunity Income Plus Fund LP, and MCM Opportunity Partners LP (collectively, Bulldog Investors Funds). Bulldog Investors Funds and Messrs. Goldstein, Dakos and Samuels may be deemed to constitute a group. All other shares included in the aforementioned 253,435 shares of MACQ owned by Bulldog Investors, LLC (solely by virtue of its power to sell or direct the vote of these shares) are also beneficially owned by clients of Bulldog Investors, LLC who are not members of any group. The total number of these "non-group" shares is 151,577 shares (representing 2.15% of MACQ's outstanding shares).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431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Phillip Goldstein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 2018</w:t>
      </w:r>
    </w:p>
    <w:p>
      <w:pPr>
        <w:spacing w:after="0" w:line="238" w:lineRule="auto"/>
        <w:rPr>
          <w:sz w:val="20"/>
          <w:szCs w:val="20"/>
          <w:color w:val="auto"/>
        </w:rPr>
      </w:pPr>
      <w:r>
        <w:rPr>
          <w:rFonts w:ascii="Courier New" w:cs="Courier New" w:eastAsia="Courier New" w:hAnsi="Courier New"/>
          <w:sz w:val="18"/>
          <w:szCs w:val="18"/>
          <w:color w:val="auto"/>
        </w:rPr>
        <w:t>/s/</w:t>
      </w:r>
    </w:p>
    <w:p>
      <w:pPr>
        <w:spacing w:after="0"/>
        <w:rPr>
          <w:sz w:val="20"/>
          <w:szCs w:val="20"/>
          <w:color w:val="auto"/>
        </w:rPr>
      </w:pPr>
      <w:r>
        <w:rPr>
          <w:rFonts w:ascii="Courier New" w:cs="Courier New" w:eastAsia="Courier New" w:hAnsi="Courier New"/>
          <w:sz w:val="18"/>
          <w:szCs w:val="18"/>
          <w:color w:val="auto"/>
        </w:rPr>
        <w:t>Andrew Dakos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 2018</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w:t>
      </w:r>
    </w:p>
    <w:p>
      <w:pPr>
        <w:spacing w:after="0" w:line="238" w:lineRule="auto"/>
        <w:rPr>
          <w:sz w:val="20"/>
          <w:szCs w:val="20"/>
          <w:color w:val="auto"/>
        </w:rPr>
      </w:pPr>
      <w:r>
        <w:rPr>
          <w:rFonts w:ascii="Courier New" w:cs="Courier New" w:eastAsia="Courier New" w:hAnsi="Courier New"/>
          <w:sz w:val="18"/>
          <w:szCs w:val="18"/>
          <w:color w:val="auto"/>
        </w:rPr>
        <w:t>Steven Samuels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Bulldog Investors LLC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 2018</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Bulldog Investors, LLC</w:t>
      </w:r>
    </w:p>
    <w:p>
      <w:pPr>
        <w:spacing w:after="0" w:line="238" w:lineRule="auto"/>
        <w:rPr>
          <w:sz w:val="20"/>
          <w:szCs w:val="20"/>
          <w:color w:val="auto"/>
        </w:rPr>
      </w:pPr>
      <w:r>
        <w:rPr>
          <w:rFonts w:ascii="Courier New" w:cs="Courier New" w:eastAsia="Courier New" w:hAnsi="Courier New"/>
          <w:sz w:val="18"/>
          <w:szCs w:val="18"/>
          <w:color w:val="auto"/>
        </w:rPr>
        <w:t>By: /s/ Andrew Dakos</w:t>
      </w:r>
    </w:p>
    <w:p>
      <w:pPr>
        <w:spacing w:after="0"/>
        <w:rPr>
          <w:sz w:val="20"/>
          <w:szCs w:val="20"/>
          <w:color w:val="auto"/>
        </w:rPr>
      </w:pPr>
      <w:r>
        <w:rPr>
          <w:rFonts w:ascii="Courier New" w:cs="Courier New" w:eastAsia="Courier New" w:hAnsi="Courier New"/>
          <w:sz w:val="18"/>
          <w:szCs w:val="18"/>
          <w:color w:val="auto"/>
        </w:rPr>
        <w:t>Andrew Dakos, Member</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 2018</w:t>
      </w:r>
    </w:p>
    <w:p>
      <w:pPr>
        <w:spacing w:after="0" w:line="207" w:lineRule="exact"/>
        <w:rPr>
          <w:sz w:val="20"/>
          <w:szCs w:val="20"/>
          <w:color w:val="auto"/>
        </w:rPr>
      </w:pPr>
    </w:p>
    <w:p>
      <w:pPr>
        <w:ind w:left="1280" w:right="3159" w:hanging="1263"/>
        <w:spacing w:after="0" w:line="290" w:lineRule="auto"/>
        <w:rPr>
          <w:sz w:val="20"/>
          <w:szCs w:val="20"/>
          <w:color w:val="auto"/>
        </w:rPr>
      </w:pPr>
      <w:r>
        <w:rPr>
          <w:rFonts w:ascii="Courier New" w:cs="Courier New" w:eastAsia="Courier New" w:hAnsi="Courier New"/>
          <w:sz w:val="16"/>
          <w:szCs w:val="16"/>
          <w:color w:val="auto"/>
        </w:rPr>
        <w:t>Footnote 1: The reporting persons disclaim beneficial ownership except to the extent of any pecuniary interest therein.</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5"/>
    </w:lvl>
  </w:abstractNum>
  <w:abstractNum w:abstractNumId="2">
    <w:nsid w:val="12200854"/>
    <w:multiLevelType w:val="hybridMultilevel"/>
    <w:lvl w:ilvl="0">
      <w:lvlJc w:val="left"/>
      <w:lvlText w:val="%1."/>
      <w:numFmt w:val="decimal"/>
      <w:start w:val="1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5"/>
    </w:lvl>
  </w:abstractNum>
  <w:abstractNum w:abstractNumId="8">
    <w:nsid w:val="140E0F76"/>
    <w:multiLevelType w:val="hybridMultilevel"/>
    <w:lvl w:ilvl="0">
      <w:lvlJc w:val="left"/>
      <w:lvlText w:val="%1."/>
      <w:numFmt w:val="decimal"/>
      <w:start w:val="12"/>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5"/>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2020-01-14T14:26:11Z</dcterms:created>
  <dcterms:modified xsi:type="dcterms:W3CDTF">2020-01-14T14:26:11Z</dcterms:modified>
</cp:coreProperties>
</file>