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160" w:hanging="571"/>
        <w:spacing w:after="0" w:line="250"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0"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28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behalf of the Board of Directors of M I Acquisitions, Inc. (the “Company” or “we”), I invite you to attend our Annual Meeting of Stockholders (the “Annual Meeting”). We hope you can join us. The Annual Meeting will be held:</w:t>
      </w:r>
    </w:p>
    <w:p>
      <w:pPr>
        <w:sectPr>
          <w:pgSz w:w="11900" w:h="16838" w:orient="portrait"/>
          <w:cols w:equalWidth="0" w:num="1">
            <w:col w:w="11420"/>
          </w:cols>
          <w:pgMar w:left="240" w:top="337" w:right="2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a.m. local time</w:t>
      </w:r>
    </w:p>
    <w:p>
      <w:pPr>
        <w:spacing w:after="0" w:line="200" w:lineRule="exact"/>
        <w:rPr>
          <w:sz w:val="20"/>
          <w:szCs w:val="20"/>
          <w:color w:val="auto"/>
        </w:rPr>
      </w:pPr>
    </w:p>
    <w:p>
      <w:pPr>
        <w:sectPr>
          <w:pgSz w:w="11900" w:h="16838" w:orient="portrait"/>
          <w:cols w:equalWidth="0" w:num="2">
            <w:col w:w="1080" w:space="220"/>
            <w:col w:w="10120"/>
          </w:cols>
          <w:pgMar w:left="240" w:top="337" w:right="239" w:bottom="1440" w:gutter="0" w:footer="0" w:header="0"/>
          <w:type w:val="continuous"/>
        </w:sectPr>
      </w:pPr>
    </w:p>
    <w:p>
      <w:pPr>
        <w:spacing w:after="0" w:line="1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Notice of Annual Meeting of Stockholders, the Proxy Statement and the proxy card accompany this letter and are also available, together with our Annual Report for the fiscal year ended December 31, 2017, at http://www. [_______________]. We are first mailing these materials to our stockholders</w:t>
      </w:r>
    </w:p>
    <w:p>
      <w:pPr>
        <w:spacing w:after="0"/>
        <w:rPr>
          <w:sz w:val="20"/>
          <w:szCs w:val="20"/>
          <w:color w:val="auto"/>
        </w:rPr>
      </w:pPr>
      <w:r>
        <w:rPr>
          <w:rFonts w:ascii="Arial" w:cs="Arial" w:eastAsia="Arial" w:hAnsi="Arial"/>
          <w:sz w:val="18"/>
          <w:szCs w:val="18"/>
          <w:color w:val="auto"/>
        </w:rPr>
        <w:t>on or about May [____], 2018.</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discussed in the enclosed Proxy Statement, the Annual Meeting will be devoted to (i) the election of certain directors (ii) 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 (iii) 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 (iv) to ratify the appointment of Marcum LLP as the Company’s independent registered public accounting firm for the fiscal year ending December 31, 2018 (the “Auditor Proposal”) and (v) consideration of any other business matters properly brought before the Annual Meeting.</w:t>
      </w:r>
    </w:p>
    <w:p>
      <w:pPr>
        <w:spacing w:after="0" w:line="18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The purpose of the Charter Amendment and the Trust Amendment is to allow the Company more time to complete its proposed business combination (the “Transaction”) pursuant to the Second Amended and Restated Contribution Agreement, dated as of April 17, 2018 (as it may be amended, the “Purchase Agreement”), by and among the Company, Priority Investment Holdings, LLC, a Delaware limited liability company (“PIH”), Priority Incentive Equity Holdings, LLC, a Delaware limited liability company (PIEH, and together with PIH, the “Sellers”). The Company’s IPO prospectus and charter provide that the Company initially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Following the completion of our IPO in September 2016, our representatives engaged in extensive discussions with investment bankers and business owners with respect to potential business combination opportunities. As a result, our board of directors has determined that it is in the best interests of our stockholders to extend the Current Termination Date to the Extended Termination Date and provide that the date for cessation of operations of the Company if the Company has not completed a business combination would similarly be extended to the Extended Termination Date (the “Extension”). While we have entered into the Purchase Agreement with the Sellers and have filed a preliminary proxy statement with the Securities and Exchange Commission in respect of the Transaction, our board currently believes that there will not be sufficient time before the Current Termination Date to hold an annual meeting at which to conduct a vote for stockholder approval of the Transaction and consummate the closing of the Transaction. Accordingly, our board of directors believes that in order to be able to consummate the Transaction, we will need to obtain the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 w:name="page3"/>
    <w:bookmarkEnd w:id="2"/>
    <w:p>
      <w:pPr>
        <w:ind w:right="20" w:firstLine="648"/>
        <w:spacing w:after="0" w:line="255" w:lineRule="auto"/>
        <w:rPr>
          <w:sz w:val="20"/>
          <w:szCs w:val="20"/>
          <w:color w:val="auto"/>
        </w:rPr>
      </w:pPr>
      <w:r>
        <w:rPr>
          <w:rFonts w:ascii="Arial" w:cs="Arial" w:eastAsia="Arial" w:hAnsi="Arial"/>
          <w:sz w:val="18"/>
          <w:szCs w:val="18"/>
          <w:color w:val="auto"/>
        </w:rPr>
        <w:t>We know that many of our stockholders will be unable to attend the Annual Meeting. We are soliciting proxies so that each stockholder has an opportunity to vote on all matters that are scheduled to come before the stockholders at the Annual Meeting. Whether or not you plan to attend, please take the time now to read the Proxy Statement and vote by submitting by mail a paper copy of your proxy or vote instructions, so that your shares are represented at the meeting. You may also revoke your proxy or vote instructions and change your vote at any time prior to the Annual Meeting. Regardless of the number of Company shares you own, your presence in person or by proxy is important for quorum purposes and your vote is important for proper corporate 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continuing interest in M I Acquisitions, Inc. We look forward to seeing you at the Annual Meeting.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about the Proxy Statement, please contact us at M I Acquisitions, Inc., c/o Magna Management LLC, 40 Wall Street, 58th Floor New York, NY 10005.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 I Acquisitions, Inc.:</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NOTICE IS HEREBY GIVEN that the Annual Meeting of Stockholders of M I Acquisitions, Inc. (the “Company”), a Delaware corporation, will be held at the offices of [_______________],[_______________], New York, New York [_______________] on Friday, June [15], 2018, at 10 a.m. local time, for the following purposes:</w:t>
      </w:r>
    </w:p>
    <w:p>
      <w:pPr>
        <w:spacing w:after="0" w:line="181" w:lineRule="exact"/>
        <w:rPr>
          <w:sz w:val="20"/>
          <w:szCs w:val="20"/>
          <w:color w:val="auto"/>
        </w:rPr>
      </w:pPr>
    </w:p>
    <w:p>
      <w:pPr>
        <w:jc w:val="both"/>
        <w:ind w:left="1300" w:right="44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w:t>
      </w:r>
    </w:p>
    <w:p>
      <w:pPr>
        <w:spacing w:after="0" w:line="181" w:lineRule="exact"/>
        <w:rPr>
          <w:rFonts w:ascii="Arial" w:cs="Arial" w:eastAsia="Arial" w:hAnsi="Arial"/>
          <w:sz w:val="18"/>
          <w:szCs w:val="18"/>
          <w:color w:val="auto"/>
        </w:rPr>
      </w:pPr>
    </w:p>
    <w:p>
      <w:pPr>
        <w:ind w:left="1300" w:right="100" w:hanging="644"/>
        <w:spacing w:after="0" w:line="30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w:t>
      </w:r>
    </w:p>
    <w:p>
      <w:pPr>
        <w:spacing w:after="0" w:line="154" w:lineRule="exact"/>
        <w:rPr>
          <w:rFonts w:ascii="Arial" w:cs="Arial" w:eastAsia="Arial" w:hAnsi="Arial"/>
          <w:sz w:val="16"/>
          <w:szCs w:val="16"/>
          <w:color w:val="auto"/>
        </w:rPr>
      </w:pPr>
    </w:p>
    <w:p>
      <w:pPr>
        <w:ind w:left="1300" w:right="5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registered public accounting firm for the fiscal year ending December 31, 2018 (the “Auditor Proposal”).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meeting or any adjournment or adjournments thereof.</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has fixed the close of business on May [___], 2018 as the record date for the meeting and only holders of shares of record at that time will be entitled to notice of and to vote at the Annual Meeting or any adjournment or adjournments thereof.</w:t>
      </w:r>
    </w:p>
    <w:p>
      <w:pPr>
        <w:spacing w:after="0" w:line="1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Sason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IMPORTANT</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IF YOU CANNOT PERSONALLY ATTEND THE ANNUAL MEETING, IT IS REQUESTED THAT YOU INDICATE YOUR VOTE ON THE ISSUES INCLUDED ON THE ENCLOSED PROXY AND DATE, SIGN AND MAIL IT IN THE ENCLOSED SELF-ADDRESSED ENVELOPE WHICH REQUIRES NO POSTAGE IF MAILED IN THE UNITED STATES OF AMERICA.</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JUNE [15], 2018. THIS PROXY STATEMENT TO THE STOCKHOLDERS WILL BE AVAILABLE AT HTTP://WWW. </w:t>
      </w:r>
      <w:r>
        <w:rPr>
          <w:rFonts w:ascii="Arial" w:cs="Arial" w:eastAsia="Arial" w:hAnsi="Arial"/>
          <w:sz w:val="18"/>
          <w:szCs w:val="18"/>
          <w:color w:val="auto"/>
        </w:rPr>
        <w:t>[_______________]</w:t>
      </w:r>
      <w:r>
        <w:rPr>
          <w:rFonts w:ascii="Arial" w:cs="Arial" w:eastAsia="Arial" w:hAnsi="Arial"/>
          <w:sz w:val="18"/>
          <w:szCs w:val="18"/>
          <w:b w:val="1"/>
          <w:bCs w:val="1"/>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[15],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MAILED ON OR ABOUT MAY [___],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229" w:lineRule="exact"/>
        <w:rPr>
          <w:sz w:val="20"/>
          <w:szCs w:val="20"/>
          <w:color w:val="auto"/>
        </w:rPr>
      </w:pPr>
    </w:p>
    <w:p>
      <w:pPr>
        <w:ind w:right="440" w:firstLine="648"/>
        <w:spacing w:after="0" w:line="274" w:lineRule="auto"/>
        <w:rPr>
          <w:sz w:val="20"/>
          <w:szCs w:val="20"/>
          <w:color w:val="auto"/>
        </w:rPr>
      </w:pPr>
      <w:r>
        <w:rPr>
          <w:rFonts w:ascii="Arial" w:cs="Arial" w:eastAsia="Arial" w:hAnsi="Arial"/>
          <w:sz w:val="17"/>
          <w:szCs w:val="17"/>
          <w:color w:val="auto"/>
        </w:rPr>
        <w:t>The enclosed proxy is solicited by the Board of Directors (the “Board”) of M I Acquisitions, Inc. (the “Company”), a Delaware corporation, in connection with the Annual Meeting of Stockholders to be held at the offices of [_______________],[_______________], New York, New York</w:t>
      </w:r>
    </w:p>
    <w:p>
      <w:pPr>
        <w:spacing w:after="0"/>
        <w:rPr>
          <w:sz w:val="20"/>
          <w:szCs w:val="20"/>
          <w:color w:val="auto"/>
        </w:rPr>
      </w:pPr>
      <w:r>
        <w:rPr>
          <w:rFonts w:ascii="Arial" w:cs="Arial" w:eastAsia="Arial" w:hAnsi="Arial"/>
          <w:sz w:val="16"/>
          <w:szCs w:val="16"/>
          <w:color w:val="auto"/>
        </w:rPr>
        <w:t>[_______________] on Friday, June [15], 2018, at 10 a.m. local time, and any adjournments thereof, for the purposes set forth in the accompanying Notice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principal executive office of the Company is 40 Wall Street, 58th Floor New York, NY 10005, and its telephone number, including area code, is (347) 491-4240.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you will be asked to consider and vote upon the following matters:</w:t>
      </w:r>
    </w:p>
    <w:p>
      <w:pPr>
        <w:spacing w:after="0" w:line="225" w:lineRule="exact"/>
        <w:rPr>
          <w:sz w:val="20"/>
          <w:szCs w:val="20"/>
          <w:color w:val="auto"/>
        </w:rPr>
      </w:pPr>
    </w:p>
    <w:p>
      <w:pPr>
        <w:jc w:val="both"/>
        <w:ind w:left="1300" w:right="4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w:t>
      </w:r>
    </w:p>
    <w:p>
      <w:pPr>
        <w:spacing w:after="0" w:line="181"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amend (the “Charter Amendment”) the Company’s amended and restated certificate of incorporation (the “charter”) to extend the date by which the Company has to consummate a business combination (the “extension”) for an additional [90] days, from June 19, 2018 to [September 17], 2018 (the “Extended Termination Date”).</w:t>
      </w:r>
    </w:p>
    <w:p>
      <w:pPr>
        <w:spacing w:after="0" w:line="181" w:lineRule="exact"/>
        <w:rPr>
          <w:rFonts w:ascii="Arial" w:cs="Arial" w:eastAsia="Arial" w:hAnsi="Arial"/>
          <w:sz w:val="18"/>
          <w:szCs w:val="18"/>
          <w:color w:val="auto"/>
        </w:rPr>
      </w:pPr>
    </w:p>
    <w:p>
      <w:pPr>
        <w:ind w:left="1300" w:right="80" w:hanging="644"/>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proposal to amend (the “Trust Amendment”) the Company’s investment management trust agreement (the “Trust Agreement”), dated as of September 13, 2016, by and between the Company and American Stock Transfer &amp; Trust Company (the “trustee”) to extend the date on which to commence liquidating the trust account (“trust account”) established in connection with the Company’s initial public offering (“IPO”) in the event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1300" w:right="4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Marcum LLP as the Company’s independent registered public accounting firm for the fiscal year ending December 31, 2018 (the “Auditor Proposal”).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meeting or any adjournment or adjournments thereof.</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purpose of the Charter Amendment and the Trust Amendment is to allow the Company more time to complete its proposed business combination (the “Transaction”) pursuant to the Second Amended and Restated Contribution Agreement, dated as of April 17, 2018 (as it may be amended, the “Purchase Agreement”), by and among the Company, Priority Investment Holdings, LLC, a Delaware limited liability company (“PIH”), Priority Incentive Equity Holdings, LLC, a Delaware limited liability company (PIEH, and together with PIH, the “Sellers”). The Company’s IPO prospectus and charter provide that the Company initially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Following the completion of our IPO in September 2016, our representatives engaged in extensive discussions with investment bankers and business owners with respect to potential business combination opportunities. As a result, our board of directors has determined that it is in the best interests of our stockholders to extend the Current Termination Date to the Extended Termination Date and provide that the date for cessation of operations of the Company if the Company has not completed a business combination would similarly be extended to the Extended Termination Date (the “Extension”). While we have entered into the Purchase Agreement with the Sellers and have filed a preliminary proxy statement with the Securities and Exchange Commission in respect of the Transaction, our board currently believes that there will not be sufficient time before the Current Termination Date to hold a special meeting at which to conduct a vote for stockholder approval of the Transaction and consummate the closing of the Transaction. Accordingly, our board of directors believes that in order to be able to consummate the Transaction, we will need to obtain the Extension.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Revocation of Proxies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record date with respect to this solicitation is the close of business on May [___], 2018 (the “Record Date”) and only stockholders of record at that time will be entitled to vote at the Annual Meeting and any adjournment or adjournments thereof.</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shares of the Company’s common stock (“Common Stock”) represented by all validly executed proxies received in time to be taken to the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May [___],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 of Appraisal</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Holders of shares of our Common Stock do not have appraisal rights under Delaware law or under the governing documents of the Company in connection with this solicitation.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 and Quorum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outstanding shares of Common Stock entitled to vote at the meeting is [_______________]. Each share of Common Stock is entitled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one vote. The presence in person or by proxy at the Annual Meeting of the holders of [_______________] shares, or a majority of the number of</w:t>
      </w:r>
    </w:p>
    <w:p>
      <w:pPr>
        <w:spacing w:after="0" w:line="2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outstanding shares of Common Stock, will constitute a quorum. There is no cumulative voting. Shares that abstain or for which the authority to vote is withheld on certain matters (so-called “broker non-votes”) will be treated as present for quorum purposes on all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Holders of shares of our Common Stock that are held in street name must instruct their bank or brokerage firm that holds their shares how to vote their shares. If a shareholder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1(election of directors)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2 (Charter Amendment)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3 (Trust Amendment) is a matter that we believe will be considered “non-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4 (Auditor Proposal) is a matter that we believe will be considered “ routine.”</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Banks or brokerages cannot use discretionary authority to vote shares on Proposal 1, 2 or 3 if they have not received instructions from their clients. Please submit your vote instruction form so your vote is counted.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Required Votes for Each Proposal to Pass</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Assuming the presence of a quorum at the Annual Meeting:</w:t>
            </w: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Discretionary Vote</w:t>
            </w:r>
          </w:p>
        </w:tc>
      </w:tr>
      <w:tr>
        <w:trPr>
          <w:trHeight w:val="234"/>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5"/>
              </w:rPr>
              <w:t>Proposal</w:t>
            </w:r>
          </w:p>
        </w:tc>
        <w:tc>
          <w:tcPr>
            <w:tcW w:w="120" w:type="dxa"/>
            <w:vAlign w:val="bottom"/>
          </w:tcPr>
          <w:p>
            <w:pPr>
              <w:spacing w:after="0"/>
              <w:rPr>
                <w:sz w:val="20"/>
                <w:szCs w:val="20"/>
                <w:color w:val="auto"/>
              </w:rPr>
            </w:pPr>
          </w:p>
        </w:tc>
        <w:tc>
          <w:tcPr>
            <w:tcW w:w="4200" w:type="dxa"/>
            <w:vAlign w:val="bottom"/>
            <w:gridSpan w:val="2"/>
          </w:tcPr>
          <w:p>
            <w:pPr>
              <w:ind w:left="1500"/>
              <w:spacing w:after="0"/>
              <w:rPr>
                <w:sz w:val="20"/>
                <w:szCs w:val="20"/>
                <w:color w:val="auto"/>
              </w:rPr>
            </w:pPr>
            <w:r>
              <w:rPr>
                <w:rFonts w:ascii="Arial" w:cs="Arial" w:eastAsia="Arial" w:hAnsi="Arial"/>
                <w:sz w:val="18"/>
                <w:szCs w:val="18"/>
                <w:b w:val="1"/>
                <w:bCs w:val="1"/>
                <w:color w:val="auto"/>
              </w:rPr>
              <w:t>Vote Required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Allowed</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Election of Directors</w:t>
            </w:r>
          </w:p>
        </w:tc>
        <w:tc>
          <w:tcPr>
            <w:tcW w:w="1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Plurality of the votes cast (the nominee receiving the</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most “For” votes in Class I and the two nominees</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receiving the most “For” votes in Class II)</w:t>
            </w:r>
          </w:p>
        </w:tc>
        <w:tc>
          <w:tcPr>
            <w:tcW w:w="14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Charter Amendment</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Majority of outstanding shares</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Trust Amendment</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75% of the shares of common stock sold in the IPO</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Auditor Proposal</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Majority of shares present in person or by proxy and</w:t>
            </w:r>
          </w:p>
        </w:tc>
        <w:tc>
          <w:tcPr>
            <w:tcW w:w="14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entitled to vote</w:t>
            </w: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Abstentions will have no effect on the vote for the election of directors, but will count as a vote against each of the other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Each share of our common stock that you own in your name entitles you to one vote on each of the proposals for the annual meeting. Your proxy card shows the number of shares of our common stock that you own.</w:t>
      </w:r>
    </w:p>
    <w:p>
      <w:pPr>
        <w:spacing w:after="0" w:line="170" w:lineRule="exact"/>
        <w:rPr>
          <w:sz w:val="20"/>
          <w:szCs w:val="20"/>
          <w:color w:val="auto"/>
        </w:rPr>
      </w:pPr>
    </w:p>
    <w:p>
      <w:pPr>
        <w:ind w:left="660" w:right="8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vote your shares in advance of the annual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annual meeting. If you vote by proxy card, your “proxy,” whose name is listed on the proxy card, will vote your shares as you instruct on the proxy card. If you sign and return the proxy card but do not give instructions on how to vote your shares, your shares of our common stock will be voted as recommended by our board of directors. Our board of directors recommends voting “FOR” each of the nominees named in this Proxy Statement, the Charter Amendment and the Trust Amendment and the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ind w:left="660" w:right="1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can attend the annual meeting and vote in person even if you have previously voted by submitting a proxy. You will be given a ballot when you arrive.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solicitation of proxies is made by the Company. The expenses of solicitation of proxies will be paid by the Company. We may solicit proxies by mail, and the officers and employees of the Company may solicit proxies personally or by telephone and will receive no extra compensation from such activities. The Company will reimburse brokerage houses and other nominees for their expenses incurred in sending proxies and proxy materials to the beneficial owners of shares held by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Only one copy of the Company’s 2017 Annual Report and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will deliver promptly upon written or oral request a separate copy of the 2017 Annual Report and this Proxy Statement. If you share an address with at least one other stockholder, currently receive one copy of our Annual Report and Proxy Statement at your residence, and would like to receive a separate copy of our Annual Report and Proxy Statement for future stockholder meetings of the Company, please specify such request in writing and send such written request to M I Acquisitions, Inc., c/o Magna Management LLC, 40 Wall Street, 58th Floor New York, NY 10005; Attention: Secretary, or call the Company promptly at (347) 491-4240.</w:t>
      </w:r>
    </w:p>
    <w:p>
      <w:pPr>
        <w:spacing w:after="0" w:line="18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If you share an address with at least one other stockholder and currently receive multiple copies of Annual Report and Proxy Statement, and you would like to receive a single copy of Annual Report and Proxy Statement, please specify such request in writing and send such written request to M I Acquisitions, Inc., c/o Magna Management LLC, 40 Wall Street, 58th Floor New York, NY 10005; Attention: Secretary.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our currently existing charter, any holders of our public shares may demand that such shares be converted for a pro rata share of the aggregate amount on deposit in the trust account, less taxes payable, calculated as of two business days prior to the annual meeting. If you affirmatively vote for or against the Charter Amendment and the Trust Amendment, your request is properly made and the Charter Amendment and the Trust Amendment are approved, these shares will cease to be outstanding and will represent only the right to receive a pro rata share of the aggregate amount on deposit in the trust account which holds the proceeds of our IPO (calculated as of two business days prior to the annual meeting). For illustrative purposes, based on funds in the trust account of approximately $[___] million on May [___], 2018, the estimated per share conversion price would have been approximately $10.[__].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your conversion rights, you must:</w:t>
      </w:r>
    </w:p>
    <w:p>
      <w:pPr>
        <w:spacing w:after="0" w:line="225" w:lineRule="exact"/>
        <w:rPr>
          <w:sz w:val="20"/>
          <w:szCs w:val="20"/>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box on the proxy card to elect conversion;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affirmatively vote for or against both the Charter Amendment and the Trust Amendment;</w:t>
      </w:r>
    </w:p>
    <w:p>
      <w:pPr>
        <w:spacing w:after="0" w:line="225"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request in writing prior to 5:00 p.m., Eastern time on June [__], 2018 (two business days before the annual meeting) that we convert your public shares for cash to American Stock Transfer &amp; Trust Company, our transfer agent,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3920"/>
        <w:spacing w:after="0"/>
        <w:rPr>
          <w:sz w:val="20"/>
          <w:szCs w:val="20"/>
          <w:color w:val="auto"/>
        </w:rPr>
      </w:pPr>
      <w:r>
        <w:rPr>
          <w:rFonts w:ascii="Arial" w:cs="Arial" w:eastAsia="Arial" w:hAnsi="Arial"/>
          <w:sz w:val="18"/>
          <w:szCs w:val="18"/>
          <w:color w:val="auto"/>
        </w:rPr>
        <w:t>American Stock Transfer &amp; Trust Company, LLC</w:t>
      </w:r>
    </w:p>
    <w:p>
      <w:pPr>
        <w:ind w:left="506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Relationship Management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Admin42@astfinancial.com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deliver your public shares either physically or electronically through DTC to our transfer agent at least two business days before the annual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public shares as described above, your shares will not be redeemed.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demand for conversion, once made, may be withdrawn at any time until the deadline for exercising conversion requests (and submitting shares to the transfer agent) and thereafter, with our consent, until the vote is taken with respect to the Charter Amendment or the Trust Amendment.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exercise your conversion rights, your shares of our common stock will cease to be outstanding immediately prior to the Annual Meeting (assuming the Charter Amendment and Trust Amendment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Charter Amendment and the Trust Amendment are not approved and we do not consummate an initial business combination by June 19, 2018 (assuming we have extended the time we have to complete a business combination to such date under our current certificate of incorporation and subject to the requirements of law), we will be required to dissolve and liquidate our trust account by returning the then remaining funds in such account to the public stockholders and our warrants to purchase common stock will expire worthless.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conversion rights with respect to the public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American Stock Transfer &amp; Trust Company with written instructions to separate such units into public shares and public warrants. This must be completed far enough in advance to permit the mailing of the public share certificates back to you so that you may then exercise your conversion rights with respect to the public shares upon the separation of the public shares from the units.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American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conversion rights with respect to the public shares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voting securities by (i) any person or group owning more than 5% of any class of voting securities, (ii) each director, (iii) our Chief Executive Officer and President and (iv) all executive officers and directors as a group as of May [___],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and Nature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Ownership</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Shares of</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7"/>
        </w:trPr>
        <w:tc>
          <w:tcPr>
            <w:tcW w:w="8480" w:type="dxa"/>
            <w:vAlign w:val="bottom"/>
            <w:gridSpan w:val="3"/>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30"/>
                <w:szCs w:val="30"/>
                <w:color w:val="auto"/>
                <w:vertAlign w:val="superscript"/>
              </w:rPr>
              <w:t>(1)</w:t>
            </w:r>
          </w:p>
        </w:tc>
        <w:tc>
          <w:tcPr>
            <w:tcW w:w="1540" w:type="dxa"/>
            <w:vAlign w:val="bottom"/>
            <w:gridSpan w:val="2"/>
          </w:tcPr>
          <w:p>
            <w:pPr>
              <w:jc w:val="center"/>
              <w:ind w:right="280"/>
              <w:spacing w:after="0" w:line="266" w:lineRule="exact"/>
              <w:rPr>
                <w:sz w:val="20"/>
                <w:szCs w:val="20"/>
                <w:color w:val="auto"/>
              </w:rPr>
            </w:pPr>
            <w:r>
              <w:rPr>
                <w:rFonts w:ascii="Arial" w:cs="Arial" w:eastAsia="Arial" w:hAnsi="Arial"/>
                <w:sz w:val="18"/>
                <w:szCs w:val="18"/>
                <w:color w:val="auto"/>
                <w:w w:val="83"/>
              </w:rPr>
              <w:t>Stock</w:t>
            </w:r>
            <w:r>
              <w:rPr>
                <w:rFonts w:ascii="Arial" w:cs="Arial" w:eastAsia="Arial" w:hAnsi="Arial"/>
                <w:sz w:val="30"/>
                <w:szCs w:val="30"/>
                <w:color w:val="auto"/>
                <w:w w:val="83"/>
                <w:vertAlign w:val="superscript"/>
              </w:rPr>
              <w:t>(2)</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1,079,478</w:t>
            </w:r>
            <w:r>
              <w:rPr>
                <w:rFonts w:ascii="Arial" w:cs="Arial" w:eastAsia="Arial" w:hAnsi="Arial"/>
                <w:sz w:val="15"/>
                <w:szCs w:val="15"/>
                <w:color w:val="auto"/>
              </w:rPr>
              <w:t>(4)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tcPr>
          <w:p>
            <w:pPr>
              <w:spacing w:after="0" w:line="256"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29"/>
                <w:szCs w:val="29"/>
                <w:color w:val="auto"/>
                <w:vertAlign w:val="superscript"/>
              </w:rPr>
              <w:t>(3)</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227,596</w:t>
            </w:r>
            <w:r>
              <w:rPr>
                <w:rFonts w:ascii="Arial" w:cs="Arial" w:eastAsia="Arial" w:hAnsi="Arial"/>
                <w:sz w:val="15"/>
                <w:szCs w:val="15"/>
                <w:color w:val="auto"/>
              </w:rPr>
              <w:t>(4)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345,426</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gridSpan w:val="2"/>
          </w:tcPr>
          <w:p>
            <w:pPr>
              <w:spacing w:after="0" w:line="256"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1,652,500</w:t>
            </w:r>
            <w:r>
              <w:rPr>
                <w:rFonts w:ascii="Arial" w:cs="Arial" w:eastAsia="Arial" w:hAnsi="Arial"/>
                <w:sz w:val="15"/>
                <w:szCs w:val="15"/>
                <w:color w:val="auto"/>
              </w:rPr>
              <w:t>(4)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individuals)</w:t>
            </w:r>
          </w:p>
        </w:tc>
        <w:tc>
          <w:tcPr>
            <w:tcW w:w="1260" w:type="dxa"/>
            <w:vAlign w:val="bottom"/>
          </w:tcPr>
          <w:p>
            <w:pPr>
              <w:jc w:val="right"/>
              <w:spacing w:after="0"/>
              <w:rPr>
                <w:sz w:val="20"/>
                <w:szCs w:val="20"/>
                <w:color w:val="auto"/>
              </w:rPr>
            </w:pPr>
            <w:r>
              <w:rPr>
                <w:rFonts w:ascii="Arial" w:cs="Arial" w:eastAsia="Arial" w:hAnsi="Arial"/>
                <w:sz w:val="18"/>
                <w:szCs w:val="18"/>
                <w:color w:val="auto"/>
              </w:rPr>
              <w:t>1,652,500</w:t>
            </w:r>
          </w:p>
        </w:tc>
        <w:tc>
          <w:tcPr>
            <w:tcW w:w="2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720" w:right="20" w:hanging="658"/>
        <w:spacing w:after="0" w:line="186" w:lineRule="auto"/>
        <w:tabs>
          <w:tab w:leader="none" w:pos="72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w:t>
      </w:r>
    </w:p>
    <w:p>
      <w:pPr>
        <w:spacing w:after="0" w:line="2" w:lineRule="exact"/>
        <w:rPr>
          <w:rFonts w:ascii="Arial" w:cs="Arial" w:eastAsia="Arial" w:hAnsi="Arial"/>
          <w:sz w:val="36"/>
          <w:szCs w:val="36"/>
          <w:color w:val="auto"/>
          <w:vertAlign w:val="superscript"/>
        </w:rPr>
      </w:pPr>
    </w:p>
    <w:p>
      <w:pPr>
        <w:ind w:left="720" w:hanging="64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w:t>
      </w:r>
    </w:p>
    <w:p>
      <w:pPr>
        <w:spacing w:after="0" w:line="9" w:lineRule="exact"/>
        <w:rPr>
          <w:sz w:val="20"/>
          <w:szCs w:val="20"/>
          <w:color w:val="auto"/>
        </w:rPr>
      </w:pPr>
    </w:p>
    <w:p>
      <w:pPr>
        <w:ind w:left="720" w:right="20" w:hanging="658"/>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jc w:val="both"/>
        <w:ind w:left="720" w:hanging="658"/>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259,334 shares of common stock underlying the private units purchased by M SPAC LLC simultaneously with the consummation of the IPO, the 60,000 shares of common stock underlying the private units purchased by M SPAC Holdings I LLC simultaneously with the consummation of the IPO, and the 83,166 shares of common stock underlying the private units purchased by M SPAC Holdings II LLC simultaneously with the consummation of the IPO.</w:t>
      </w:r>
    </w:p>
    <w:p>
      <w:pPr>
        <w:spacing w:after="0" w:line="1" w:lineRule="exact"/>
        <w:rPr>
          <w:rFonts w:ascii="Arial" w:cs="Arial" w:eastAsia="Arial" w:hAnsi="Arial"/>
          <w:sz w:val="18"/>
          <w:szCs w:val="18"/>
          <w:color w:val="auto"/>
        </w:rPr>
      </w:pPr>
    </w:p>
    <w:p>
      <w:pPr>
        <w:ind w:left="720" w:hanging="658"/>
        <w:spacing w:after="0" w:line="261"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Board of Directors currently consists of five members. We have a classified Board of Directors, which is divided into three classes, each with terms expiring at different times. Because we did not have an annual meeting in 2017, we are holding an election for both Class I and Class II Directors at the Annual Meeting. The three classes are currently comprised of the following directors:</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I consists of directors who are serving until the Annual Meeting (comprising Joshua Sason);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II consists of directors who are serving until the Annual Meeting (comprising Marc Manuel and Samuel Holdsworth);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III consists directors who are serving until the annual meeting of stockholders to be held in 2019 (comprising David Schulhof and Donald S. Ienner).</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At each annual meeting of stockholders, the successors to directors whose terms will then expire will be elected to serve from the time of election and qualification until the third annual meeting following election and until their successors have been duly elected and qualified. Any additional directorships resulting from an increase in the number of directors will be distributed among the three classes so that, as nearly as possible, each class will consist of an equal number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 of the three Class I and Class II directors will expire on the date of the Annual Meeting. Mr. Sason, as a Class I Director, and Mr. Manuel and Mr. Holdsworth, as Class II Directors, are standing for re-election to the Board of Directors.</w:t>
      </w:r>
    </w:p>
    <w:p>
      <w:pPr>
        <w:spacing w:after="0" w:line="170"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We are not aware of any reason that any nominee will be unable or will decline to serve as a director. The term of office of each person elected as a Class I director at the Meeting will continue until our annual meeting of stockholders held in 2020, and the term of office of each person elected as a Class II director at the Annual Meeting will continue until our annual meeting of stockholders held in 2019, and until a successor has been elected and qualified.</w:t>
      </w:r>
    </w:p>
    <w:p>
      <w:pPr>
        <w:ind w:right="20"/>
        <w:spacing w:after="0" w:line="254" w:lineRule="auto"/>
        <w:rPr>
          <w:sz w:val="20"/>
          <w:szCs w:val="20"/>
          <w:color w:val="auto"/>
        </w:rPr>
      </w:pPr>
      <w:r>
        <w:rPr>
          <w:rFonts w:ascii="Arial" w:cs="Arial" w:eastAsia="Arial" w:hAnsi="Arial"/>
          <w:sz w:val="18"/>
          <w:szCs w:val="18"/>
          <w:color w:val="auto"/>
        </w:rPr>
        <w:t>There are no arrangements or understandings between any of our directors or executive officers and any other person pursuant to which he or she is or was to be selected as one of our directors or officers. There are no family relationships among directors or executive officers of the Company. Notwithstanding their election at the Annual Meeting, these directors are expected to be replaced if the Transaction closes, as specified in the preliminary proxy statement for the Transaction filed with the SEC on April 19, 2018.</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otherwise instructed, the proxy holders will vote the proxies received by them for the three (3) nominees named above, each of whom is currently one of our directors. Each nominee has consented to be named as a nominee in this Proxy Statement and to continue to serve as a director if elected. If any nominee becomes unable or declines to serve as a director or if additional persons are nominated at the Annual Meeting, the proxy holders intend to vote all proxies received by them in such a manner as will assure the election of as many of the nominees listed above as possible (or, if new nominees have been designated by the Board of Directors, in such a manner as to elect such nominees), and the specific nominees to be voted for will be determined by the proxy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Other Members of the Board of 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positions and offices presently held with the Company by each officer, director and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Joshua Sason</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Marc Manuel</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Russell Rieger</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Strategy</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Donald S. Ienner</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David Schulhof</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Samuel S. Holdsworth</w:t>
            </w:r>
          </w:p>
        </w:tc>
        <w:tc>
          <w:tcPr>
            <w:tcW w:w="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biographical information of our director-nominees: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Joshua Sason </w:t>
      </w:r>
      <w:r>
        <w:rPr>
          <w:rFonts w:ascii="Arial" w:cs="Arial" w:eastAsia="Arial" w:hAnsi="Arial"/>
          <w:sz w:val="17"/>
          <w:szCs w:val="17"/>
          <w:color w:val="auto"/>
        </w:rPr>
        <w:t>has served as our Chief Executive Officer and a Director since our inception. Mr. Sason is the founder &amp;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Magna Management LLC, a global investment firm which invests across the worldwide public and private equity markets and the entertainment industry. In the eight years since launching the firm, Mr. Sason has grown Magna Management LLC into a leading investor in its market segment, investing over $300M into lower middle market credit and equity opportunities and positioning the firm's brand amongst the most creative and forward thinking in the investment management industry. Mr. Sason co-founded and has served as Chairman of the New York construction company Sason Builders, LLC since June 2014 and was the Founder and Chairman of the boutique talent acquisition company, Mainz, since November 2013 until it was acquired in late 2017. In addition, Mr. Sason has been the Chief Executive Officer of Magna Entertainment, LLC since 2013. Magna Entertainment has invested in and produced a number of feature films and documentaries, including the 2016 feature, “Bleed for This”.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Marc Manuel </w:t>
      </w:r>
      <w:r>
        <w:rPr>
          <w:rFonts w:ascii="Arial" w:cs="Arial" w:eastAsia="Arial" w:hAnsi="Arial"/>
          <w:sz w:val="18"/>
          <w:szCs w:val="18"/>
          <w:color w:val="auto"/>
        </w:rPr>
        <w:t>has served as our Chief Financial Officer and Director since July 12, 2016. Marc served as a Managing Director for Magna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from 2012 through 2017. At Magna, Mr. Manuel had been responsible for helping to build out Magna’s Equities strategy, making portfolio investments as both a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officers and board of directors are composed of a diverse group of leaders. Most of the current officers or directors have senior leadership experience in the entertainment and media industry. In these positions, they have also gained experience in core management skills, such as strategic and financial planning, financial reporting, compliance, risk management, and leadership development. Most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board members described below, provide us with a diverse range of perspectives and judgment necessary to facilitate our goals of consummating an acquisition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Sason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Sason is well-qualified to serve as a member of the board of directors due to his business leadership, operational experience, and experience in direct investments across the worldwide public and private equity markets and the entertainment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Manuel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Manuel is well-qualified to serve as a member of the Board due to his investment experience, merger and acquisition experience and operational experience. We believe Mr. Manuel’s strategic consulting experience and background in negotiating, structuring and consummating private equity transactions will further our purpose of consummating an acquisition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Donald S. Ienner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Ienner is well-qualified to serve as a member of the Board due to his business leadership and public company experience. We believe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Ienner’s strategic consulting experience will further our purpose of consummating an acquisition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Schulhof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Schulhof is well-qualified to serve as a member of the Board due to his business leadership, operational experience, legal background and experience in mergers and acquisitions. We believe Mr. Schulhof’s broad operational experience and background in negotiating, structuring and consummating mergers and acquisitions will further our purpose of consummating an acquisition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Samuel S. Holdsworth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Holdsworth is well-qualified to serve as a member of the Board due to his business leadership, operational experience, and experience in investment and advisory services. We believe Mr. Holdsworth’s broad consulting experience and background in negotiating, structuring and consummating mergers and acquisitions will further our purpose of consummating an acquisition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are no material proceedings to which any director and executive officers of the Company is a party adverse to the Company or has a material interest adverse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nominee for Class I director receiving a plurality of the votes cast will be elected to the Board of Directors as a Class I Director and the two nominees for Class II directors receiving a plurality of the votes cast will be elected to the Board of Directors as Class II Directors. If your shares are held in street name, your broker, bank, custodian, or other nominee holder cannot vote your shares on this proposal, unless you direct the holder how to vote, by marking your proxy card. For purposes of the election of directors, abstentions and broker non-votes will have no effect on the result of the vote.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a vote FOR the election of all the above director-nominees.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2: THE CHARTER AMENDMENT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proposed Charter Amendment would amend our existing charter to extend the date by which the Company has to consummate a business combination (the “Extension”) for an additional [90] days to September 17, 2018 (the “Extended Termination Date”). Initially, the Company had until March 19, 2018 to complete its initial business combination. Pursuant to the terms of the amended and restated certificate of incorporation, the Company has extended the date by which it must complete its initial business combination to May 19, 2018 and anticipates further extending it to June 19, 2018 (the “Current Termination Date”). The complete text of the proposed amendment is attached to this proxy statement as </w:t>
      </w:r>
      <w:r>
        <w:rPr>
          <w:rFonts w:ascii="Arial" w:cs="Arial" w:eastAsia="Arial" w:hAnsi="Arial"/>
          <w:sz w:val="16"/>
          <w:szCs w:val="16"/>
          <w:u w:val="single" w:color="auto"/>
          <w:color w:val="auto"/>
        </w:rPr>
        <w:t>Annex A</w:t>
      </w:r>
      <w:r>
        <w:rPr>
          <w:rFonts w:ascii="Arial" w:cs="Arial" w:eastAsia="Arial" w:hAnsi="Arial"/>
          <w:sz w:val="16"/>
          <w:szCs w:val="16"/>
          <w:color w:val="auto"/>
        </w:rPr>
        <w:t>. All stockholders are encouraged to read the proposed amendment in its entirety for a more complete description of its terms. If more than [_____________] shares are elected to be redeemed</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Annual Meeting, we will not effect the Charter Amendment or the Trust Amendment and we will move to liquidate the trust account and dissolve the Company promptly after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Charter 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proposing to amend its charter to extend the date by which it has to consummate a business combination from the Current Termination Date to the Extended Termination Date.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proposed Transaction with the Sellers qualifies as a “business combination” under the Company’s charter, but the Company will not be able to complete the Transaction by the Current Termination Date. The Charter Amendment is essential to allow the Company more time to obtain approval for the Transaction at a special meeting of its stockholders and consummate the closing of the Transaction prior the Extended Termination Date. Approval of the Charter Amendment is a condition to the implementation of the Extension. The Company believes that given the Company’s expenditure of time, effort and money on the proposed Transaction, circumstances warrant providing public stockholders an opportunity to consider the proposed Transaction.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Charter Amendment proposal is not approved and we have not consummated a business combination by the Current Termination Date, we will</w:t>
      </w:r>
    </w:p>
    <w:p>
      <w:pPr>
        <w:spacing w:after="0" w:line="46" w:lineRule="exact"/>
        <w:rPr>
          <w:sz w:val="20"/>
          <w:szCs w:val="20"/>
          <w:color w:val="auto"/>
        </w:rPr>
      </w:pPr>
    </w:p>
    <w:p>
      <w:pPr>
        <w:jc w:val="both"/>
        <w:ind w:firstLine="8"/>
        <w:spacing w:after="0" w:line="288" w:lineRule="auto"/>
        <w:tabs>
          <w:tab w:leader="none" w:pos="2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(b)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income, divided by the number of then outstanding public shares, which redemption will completely extinguish public stockholders’ rights as stockholders (including the right to receive further liquidation distributions, if any), subject to applicable law, and (c)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distribution from the trust account with respect to our warrants or rights which will expire worthless in the event we wind up.</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Approval of the amendment to the amended and restated certificate of incorporation requires the affirmative vote of at least a majority of the outstanding shares of common stock. If your shares are held in street name, your broker, bank, custodian, or other nominee holder cannot vote your shares on this proposal, unless you direct the holder how to vote, by marking your proxy card. Broker non-votes, abstentions or the failure to vote on the Charter Amendment will have the same effect as a vote “AGAINST” the Charter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the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3: THE TRUST AMENDMENT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proposed Trust Amendment would amend our existing Trust Agreement to change the date by which the trustee must commence liquidating the trust to the Extended Termination Date and make other conforming amendments. The complete text of the proposed amendment is attached to this proxy statement as </w:t>
      </w:r>
      <w:r>
        <w:rPr>
          <w:rFonts w:ascii="Arial" w:cs="Arial" w:eastAsia="Arial" w:hAnsi="Arial"/>
          <w:sz w:val="17"/>
          <w:szCs w:val="17"/>
          <w:u w:val="single" w:color="auto"/>
          <w:color w:val="auto"/>
        </w:rPr>
        <w:t>Annex B</w:t>
      </w:r>
      <w:r>
        <w:rPr>
          <w:rFonts w:ascii="Arial" w:cs="Arial" w:eastAsia="Arial" w:hAnsi="Arial"/>
          <w:sz w:val="17"/>
          <w:szCs w:val="17"/>
          <w:color w:val="auto"/>
        </w:rPr>
        <w:t>. All stockholders are encouraged to read the proposed amendment in its entirety for a more complete description of its terms. If more than [_____________] shares are elected to be redeemed at the Annual Meeting, we will not effect the Charter Amendment or the Trust Amendment and we will move to liquidate the trust account and dissolve the Company promptly after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Trust 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proposing to amend its Trust Agreement to extend the date on which to commence liquidating the trust account in the event the Company has not consummated a business combination by the Extended Termination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 Amendment is essential to allowing the Company more time to consummate the closing of the Transaction. Approval of the Trust Amendment is a condition to the implementation of the Extension.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Trust Amendment proposal is not approved and we have not consummated a business combination by June 19, 2018, we will (a) cease all operations except for the purpose of winding up, (b)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income, divided by the number of then outstanding public shares, which redemption will completely extinguish public stockholders’ rights as stockholders (including the right to receive further liquidation distributions, if any), subject to applicable law, and (c)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distribution from the trust account with respect to our warrants which will expire worthless in the event we wind up.</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holders of at least 75% of the outstanding public shares is required to approve the Trust Amendment. Broker non-votes, abstentions or the failure to vote on the Trust Amendment will have the same effect as a vote “AGAINST” the Trust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the Trust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Audit Committee has selected the firm of Marcum LLP (“Marcum”), an independent registered public accounting firm, as our auditors for the fiscal year ending December 31, 2018. The Company is requesting that its stockholders ratify the appointment.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ratification of this appointment of the Company’s independent registered public accounting firm is not approved by the affirmative vote of a majority of votes cast on the proposal, the appointment of the Company’s independent registered public accounting firm will be reconsidered by the Company’s Audit Committee. Unless indicated to the contrary, proxies received will be voted for ratification of the appointment of Marcum as the Company’s independent registered public accounting firm for the fiscal year ending December 31,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Representatives of Marcum LLP have been invited to but are not expected to be present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votes cast at the annual meeting is required for approval of this proposal.</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recommends a vote FOR ratification of the appointment of Marcum.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total purchase price of $4,025,000, from us. These purchases took place on a private placement basis simultaneously with the consummation of the IPO. Simultaneously with the purchase of units resulting from the exercise of the over-allotment option by the underwriter, M SPAC LLC, M SPAC Holdings I LLC and M SPAC Holdings II LLC also purchased from us at a price of $10.00 per unit 18,607 private units.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extended the time to complete an initial business combination to April 19, 2018 by having deposited $132,753 into our trust account prior to such date, and further extended the time to May 19, 2018 by having deposited an additional $132,753 into our trust account. The notes do not bear interest and are payable five business days after the date we complete a business combination.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more detailed description of the promissory notes and the related transactions can be found in our Current Reports on Form 8-K dated March 14, 2018 and April 12, 2018.</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holders of our insider shares issued and outstanding on the date of the IPO,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the IPO.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ind w:firstLine="648"/>
        <w:spacing w:after="0" w:line="254" w:lineRule="auto"/>
        <w:rPr>
          <w:sz w:val="20"/>
          <w:szCs w:val="20"/>
          <w:color w:val="auto"/>
        </w:rPr>
      </w:pPr>
      <w:r>
        <w:rPr>
          <w:rFonts w:ascii="Arial" w:cs="Arial" w:eastAsia="Arial" w:hAnsi="Arial"/>
          <w:sz w:val="18"/>
          <w:szCs w:val="18"/>
          <w:color w:val="auto"/>
        </w:rPr>
        <w:t>Magna Management LLC, a company owned by our insiders, has agreed that, commencing on the date of the IPO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(the “Administration Fee”).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Approval of Related Party Transactions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6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 a ) BENEFICIAL OWNERSHIP REPORTING COMPLIANCE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16(a) of the Securities Exchange Act of 1934 requires our officers, directors and persons who own more than ten percent of a registered class of our equity securities to file reports of ownership and changes in ownership with the Securities and Exchange Commission. Officers, directors and ten percent shareholders are required by regulation to furnish us with copies of all Section 16(a) forms they file. We believe that, during the year ended December 31, 2017, all filing requirements applicable to our officers, directors and greater than ten percent beneficial owners were complied with.</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currently has three independent directors: Samuel S. Holdsworth, Chair, David Schulhof and Donald S. Ienner. Each is independent under the Nasdaq Marketplace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Board does not have a policy on whether or not the roles of the Chief Executive Officer and Chairman should be separate. Instead, the Company’s By-Laws provide that the directors may designate a Chairman of the Board from among any of the directors. Accordingly, the Board reserves the right to vest the responsibilities of the Chief Executive Officer and Chairman in the same person or in two different individuals depending on what it believes is in the best interest of the Company. The Board has not designated a Chairman because it believes that the small size of the Board allows effective communication among all members. The Board believes that there is no single Board leadership structure that would be most effective in all circumstances and therefore retains the authority to modify this structure to best address the Company’s and the Board’s then current circumstances as and when appropriate.</w:t>
      </w:r>
    </w:p>
    <w:p>
      <w:pPr>
        <w:spacing w:after="0" w:line="165"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The Company’s management is responsible for identifying, assessing and managing the material risks facing the business. The Board and, in particular, the Audit Committee are responsible for overseeing the Company’s processes for assessing and managing risk. Each of the Chief Executive Officer and Chief Financial Officer, with input as appropriate from other appropriate management members, report and provide relevant information directly to either the Board and/or the Audit Committee on various types of identified material financial, reputational, legal, operational, environmental and business risks to which the Company is or may be subject, as well as mitigation strategies for certain salient risks. In accordance with NASDAQ Capital Market requirements and as set forth in its charter, the Audit Committee periodically reviews and discusses the Company’s business and financial risk management and risk assessment policies and procedures with senior management, the Company’s independent auditor. The Audit Committee reports its risk assessment function to the Board. The roles of the Board and the Audit Committee in the risk oversight process have not affected the Board leadership</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structure. Although the board has not formally designated a lead independent director, Mr. Holdsworth has led the executive session of the independent directors.</w:t>
      </w:r>
    </w:p>
    <w:p>
      <w:pPr>
        <w:spacing w:after="0" w:line="18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Board of Directors held seven meetings during the year ended December 31, 2017. During fiscal year ended December 31, 2017, no director attended fewer than 75% of the meetings of the Board of Directors and Board committees of which the director was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80" w:firstLine="648"/>
        <w:spacing w:after="0" w:line="277" w:lineRule="auto"/>
        <w:rPr>
          <w:sz w:val="20"/>
          <w:szCs w:val="20"/>
          <w:color w:val="auto"/>
        </w:rPr>
      </w:pPr>
      <w:r>
        <w:rPr>
          <w:rFonts w:ascii="Arial" w:cs="Arial" w:eastAsia="Arial" w:hAnsi="Arial"/>
          <w:sz w:val="18"/>
          <w:szCs w:val="18"/>
          <w:color w:val="auto"/>
        </w:rPr>
        <w:t>It is the policy of the Board of Directors that all directors should attend the annual meeting of stockholders in person or by teleconference. Last year the Company did not hold an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members of the Audit Committee are David Schulhof, Chair, Samuel S. Holdsworth and Donald S. Ienner. A copy of the audit committee’s current charter is available at our corporate website at http:// www.miacquisitions.com.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Samuel S. Holdsworth qualifies as an “audit committee financial expert,” as defined under rules and regulations of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members of the Compensation Committee are David Schulhof, Chair, Samuel S. Holdsworth and Donald S. Ienner. A copy of the compensation committee’s current charter is available at our corporate website at http://www.miacquisitions.com.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 Overseeing Director Nominations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0" w:lineRule="exact"/>
        <w:rPr>
          <w:sz w:val="20"/>
          <w:szCs w:val="20"/>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does not have a nominating committee and has no policy in place relating to the consideration of director candidates proposed by stockholders. The Company believes that not having such policies in place is appropriate due to the Company being a SPAC and only existing to acquire an operating business. For so long as the Company remains a SPAC, it does not expect to accept proposals for director candidates from its stockholders. The Company’s Board of Directors has not established specific minimum qualifications for service as a director of the Company.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Stockholders who wish to communicate with the Board or with specified members of the Board should do so by sending any communication to M I Acquisitions, Inc., c/o Magna Management LLC, 40 Wall Street, 58th Floor New York, NY 10005; Attention: Secretary.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such communication should state the number of shares beneficially owned by the shareholder making the communication. Our Secretary will forward such communication to the full Board or to any individual member or members of the Board to whom the communication is directed, unless the communication is unduly hostile, threatening, illegal or similarly inappropriate, in which case the Secretary has the authority to discard the communication or take appropriate legal action regarding the communication.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 The Code of Ethics is currently available at our corporate website at http://www.miacquisitions.com.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executive officers has received any compensation from us for services rendered to us. With respect to our executive officers:</w:t>
      </w:r>
    </w:p>
    <w:p>
      <w:pPr>
        <w:spacing w:after="0" w:line="237" w:lineRule="exact"/>
        <w:rPr>
          <w:sz w:val="20"/>
          <w:szCs w:val="20"/>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do not maintain, sponsor or contribute to, and have not had and do not have any obligation to contribute to, any benefit plans, including any qualified or nonqualified defined benefit plans, nonqualified defined contribution plans or other deferred compensation plans,</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entered into any employment, service, retention or other agreements or entered into any agreements to provide benefits upon termination of employment or other service with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granted any equity-based awards.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than the Administration Fee payable to Magna Management LLC, no compensation or fees of any kind, including finder’s fees, consulting fees and other similar fees, will be paid to our insiders or any of the members of our current management team, for services rendered prior to or in connection with the consummation of the Transaction. However, such individuals will receive reimbursement for any out-of-pocket expenses incurred by them in connection with activities on our behalf. There is no limit on the amount of out-of-pocket expenses reimbursable by us, except that to the extent such expenses exceed the available proceeds not deposited in the trust account, such expenses would not be reimbursed by us unless we consummate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Audit Committee, on behalf of the Board, serves as an independent and objective party to monitor and provide general oversight of the integrity of our financial statements, our independent registered public accounting firm’s qualifications and independence, the performance of our independent registered public accounting firm, our compliance with legal and regulatory requirements and our standards of business conduct. The Audit Committee performs these oversight responsibilities in accordance with its Audit Committee Charter.</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management is responsible for preparing our financial statements and our financial reporting process. Our independent registered public accounting firm is responsible for expressing an opinion on the conformity of our audited financial statements to generally accepted accounting principles in the United States of America. The Audit Committee met with our independent registered public accounting firm, with and without management present, to discuss the results of their examinations and the overall quality of our financial reporting.</w:t>
      </w:r>
    </w:p>
    <w:p>
      <w:pPr>
        <w:spacing w:after="0" w:line="18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this context, the Audit Committee has reviewed and discussed our audited financial statements for the year ended December 31, 2016 with management and with our independent registered public accounting firm. The Audit Committee has discussed with our independent registered public accounting firm the matters required to be discussed by Statement on Auditing Standards No. 61, as amended (Communications with Audit Committees), which includes, among other items, matters related to the conduct of the audit of our annual financial statements.</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Public Company Accounting Oversight Board regarding such independent registered public accounting firm's communications with the Audit Committee concerning independence, and has discussed with the independent registered public accounting firm its independence from us and our management. In addition, the Audit Committee has considered whether the provision of non-audit services by our independent registered public accounting firm in 2017 was compatible with maintaining our registered public accounting firm’s independence and has concluded that it was.</w:t>
      </w:r>
    </w:p>
    <w:p>
      <w:pPr>
        <w:spacing w:after="0" w:line="158" w:lineRule="exact"/>
        <w:rPr>
          <w:sz w:val="20"/>
          <w:szCs w:val="20"/>
          <w:color w:val="auto"/>
        </w:rPr>
      </w:pPr>
    </w:p>
    <w:p>
      <w:pPr>
        <w:jc w:val="both"/>
        <w:ind w:right="300" w:firstLine="648"/>
        <w:spacing w:after="0" w:line="308" w:lineRule="auto"/>
        <w:rPr>
          <w:sz w:val="20"/>
          <w:szCs w:val="20"/>
          <w:color w:val="auto"/>
        </w:rPr>
      </w:pPr>
      <w:r>
        <w:rPr>
          <w:rFonts w:ascii="Arial" w:cs="Arial" w:eastAsia="Arial" w:hAnsi="Arial"/>
          <w:sz w:val="17"/>
          <w:szCs w:val="17"/>
          <w:color w:val="auto"/>
        </w:rPr>
        <w:t>Based on its review of the audited financial statements and the various discussions noted above, the Audit Committee recommended to the Board that our audited financial statements be included in our Annual Report on Form 10-K for the year ended December 31,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Samuel S. Holdsworth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Schulhof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S. Ienner</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foregoing Audit Committee Report does not constitute soliciting material and shall not be deemed filed or incorporated by reference into any other filing of our company under the Securities Act of 1933, as amended (the “Securities Act”), or the Exchange Act, except to the extent we specifically incorporate this Audit Committee Report by reference therein.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 FEES AND SERVICES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chart sets forth public accounting fees in connection with services rendered by Marcum LLP, the Company’s independent registered public accounting firm, for the years ended December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Audit-Related Fees</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 Other Fees</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85,831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r>
      <w:tr>
        <w:trPr>
          <w:trHeight w:val="533"/>
        </w:trPr>
        <w:tc>
          <w:tcPr>
            <w:tcW w:w="1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Audit fees were for professional services rendered by Marcum LLP for the audit of our annual financial statements and the review of the financial statements included in our quarterly reports on Forms 10-Q, and services that are normally provided by Marcum LLP in connection with statutory and regulatory filings or engagements for that fiscal year, including in connection with our initial public offering. Tax fees consist of fees billed for professional services relating to tax compliance. All other fees consist of fees billed for all other services including permitted due diligence services related to a potential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Marcum LLP did not bill any other fees for services rendered to us during the fiscal years ended December 31, 2017 and 2016 for assurance and related services in connection with the audit or review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 All services subsequent to the formation of the audit committee in 2015 have been approved by the audit committee.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Stockholders who wish to present proposals for inclusion in the Company’s proxy materials for the next Annual Meeting of Stockholders may do so by following the procedures prescribed in Rule 14a-8 under the Securities Exchange Act of 1934, as amended. To be eligible, the shareholder proposals must be received by our Secretary at our principal executive office on or before [__________], 2019. Under SEC rules, you must have continuously held for at</w:t>
      </w:r>
    </w:p>
    <w:p>
      <w:pPr>
        <w:ind w:right="360"/>
        <w:spacing w:after="0" w:line="255" w:lineRule="auto"/>
        <w:rPr>
          <w:sz w:val="20"/>
          <w:szCs w:val="20"/>
          <w:color w:val="auto"/>
        </w:rPr>
      </w:pPr>
      <w:r>
        <w:rPr>
          <w:rFonts w:ascii="Arial" w:cs="Arial" w:eastAsia="Arial" w:hAnsi="Arial"/>
          <w:sz w:val="18"/>
          <w:szCs w:val="18"/>
          <w:color w:val="auto"/>
        </w:rPr>
        <w:t>least one year prior to the submission of the proposal (and continue to hold through the date of the meeting) at least $2,000 in market value, or 1%, of our outstanding stock in order to submit a proposal which you seek to have included in the Company’s proxy materials. We may, subject to SEC review and guidelines, decline to include any proposal in our proxy materials.</w:t>
      </w:r>
    </w:p>
    <w:p>
      <w:pPr>
        <w:spacing w:after="0" w:line="19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Stockholders who wish to make a proposal at the next Annual Meeting, other than one that will be included in our proxy materials, must notify us no later than [_________], 2019. If a shareholder who wishes to present a proposal fails to notify us by [________], 2019, the proxies that management solicits for the meeting will confer discretionary authority to vote on the shareholder’s proposal if it is properly brought before the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While the accompanying Notice of Annual Meeting of Stockholders provides for the transaction of such other business as may properly come before the Annual Meeting, the Company has no knowledge of any matters to be presented at the Annual Meeting other than those listed as Proposals 1, 2, 3 and 4 in the notice. However, the enclosed Proxy gives discretionary authority in the event that any other matters should be presented.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written request to Secretary, M I Acquisitions, Inc., c/o Magna Management LLC, 40 Wall Street, 58th Floor New York, NY 10005, we will provide without charge to each person requesting a copy of our 2017 Annual Report, including the financial statements filed therewith. We will furnish a requesting stockholder with any exhibit not contained therein upon specific request. In addition, this Proxy Statement, as well as our 2017 Annual Report, is available on our Internet website at http://www.miacquisitions.com.</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[___],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 I Acquisitions,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8"/>
        <w:spacing w:after="0" w:line="264" w:lineRule="auto"/>
        <w:tabs>
          <w:tab w:leader="none" w:pos="2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The original certificate of incorporation was filed with the Secretary of State of the State of Delaware on April 23, 2015 (the “Original Certificate”). The Amended and Restated Certificate of Incorporation (the “Amended and Restated Certificate”) was filed with the Secretary of State of the State of Delaware on September 13, 2016.</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w:t>
      </w:r>
    </w:p>
    <w:p>
      <w:pPr>
        <w:spacing w:after="0" w:line="225" w:lineRule="exact"/>
        <w:rPr>
          <w:rFonts w:ascii="Arial" w:cs="Arial" w:eastAsia="Arial" w:hAnsi="Arial"/>
          <w:sz w:val="18"/>
          <w:szCs w:val="18"/>
          <w:color w:val="auto"/>
        </w:rPr>
      </w:pPr>
    </w:p>
    <w:p>
      <w:pPr>
        <w:ind w:firstLine="8"/>
        <w:spacing w:after="0" w:line="277"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was duly adopted by the Board of Directors of the Corporation and the stockholders of the Corporation in accordance with Section 242 of the General Corporation Law of the State of Delaware.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text of Paragraph E of Article SIXTH is hereby amended and restated to read in full as follows:</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“E. In the event that the Corporation does not consummate a Business Combination by [September 17], 2018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M I Acquisitions, Inc. has caused this Amendment to the Amended and Restated Certificate to be duly executed in its name and on its behalf by an authorized officer as of the date first set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 MANAGEMENT TRUST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(this “Amendment”), dated as of June [___], 2018, to the Investment Management Trust Agreement (as defined below) is made by and between M I Acquisitions, Inc. (the “Company”) and American Stock Transfer &amp; Trust Company, LLC, as trustee (“Trustee”). All terms used but not defined herein shall have the meanings assigned to them in the Trust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and the Trustee entered into an Investment Management Trust Agreement dated as of September 13, 2016 (the “Trust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Section 1(i) of the Trust Agreement sets forth the terms that govern the liquidation of the Trust Account under the circumstances described therein;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WHEREAS, at a special meeting of stockholders of the Company held on June [15], 2018, the Company stockholders approved (i) a proposal to amend (the “Charter Amendment”) the Company’s amended and restated certificate of incorporation to provide that the date by which the Company shall be required to effect a Business Combination shall be on or before [September 17], 2018 (the “ Extended Date”) and (ii) a proposal to extend the date on which to commence liquidating the Trust Account in the event the Company has not consummated a business combination by the Extended Date;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on the date hereof, the Company is filing the Charter Amendment with the Secretary of State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1(i) of the Trust Agreement is hereby amended and restated to read in full as follows:</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[September 17], 2018 (the “Last Date”), the Trust Account shall be liquidated in accordance with the procedures set forth in the Termination Letter attached as Exhibit B hereto and distributed to the Public Shareholders as of the Last Date.”</w:t>
      </w:r>
    </w:p>
    <w:p>
      <w:pPr>
        <w:spacing w:after="0" w:line="179" w:lineRule="exact"/>
        <w:rPr>
          <w:sz w:val="20"/>
          <w:szCs w:val="20"/>
          <w:color w:val="auto"/>
        </w:rPr>
      </w:pPr>
    </w:p>
    <w:p>
      <w:pPr>
        <w:ind w:left="660" w:right="4520" w:hanging="652"/>
        <w:spacing w:after="0" w:line="501"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1(l) of the Trust Agreement is hereby amended and restated to read in full as follows: “(l) [intentionally omitted]”</w:t>
      </w: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1(m) of the Trust Agreement is hereby amended and restated to read in full as follows: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 Not disburse any amounts from the Trust Account in connection with a Business Combination in the event that the amount per share to be received by the redeeming Public Shareholders is less than [$10.30]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Section 2(c) of the Trust Agreement is hereby amended and restated to read in full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left="660"/>
        <w:spacing w:after="0" w:line="308" w:lineRule="auto"/>
        <w:rPr>
          <w:sz w:val="20"/>
          <w:szCs w:val="20"/>
          <w:color w:val="auto"/>
        </w:rPr>
      </w:pPr>
      <w:r>
        <w:rPr>
          <w:rFonts w:ascii="Arial" w:cs="Arial" w:eastAsia="Arial" w:hAnsi="Arial"/>
          <w:sz w:val="17"/>
          <w:szCs w:val="17"/>
          <w:color w:val="auto"/>
        </w:rPr>
        <w:t>“(c) The limited distributions referred to in Section 2(a) above shall be made only from income collected on the Property. Except as provided in Section 2(a), no other distributions from the Trust Account shall be permitted except in accordance with Section 1(i) and 2(e)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5. Section 2(e) of the Trust Agreement is hereby amended and restated to read in full as follows: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 Upon the receipt of an Amendment Notification Letter (as defined below), the Trustee shall distribute to Public Shareholders who exercised their conversion rights in connection with an Amendment (as defined below), an amount equal to the pro rata share of the Property relating to the shares of Common Stock for which such Public Shareholders have exercised conversion rights in connection with such Amendment.”</w:t>
      </w:r>
    </w:p>
    <w:p>
      <w:pPr>
        <w:spacing w:after="0" w:line="166" w:lineRule="exact"/>
        <w:rPr>
          <w:sz w:val="20"/>
          <w:szCs w:val="20"/>
          <w:color w:val="auto"/>
        </w:rPr>
      </w:pPr>
    </w:p>
    <w:p>
      <w:pPr>
        <w:ind w:left="660" w:right="4500" w:hanging="652"/>
        <w:spacing w:after="0" w:line="501" w:lineRule="auto"/>
        <w:tabs>
          <w:tab w:leader="none" w:pos="1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2(f) of the Trust Agreement is hereby amended and restated to read in full as follows: “(f) [intentionally omitted]”</w:t>
      </w: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3(g) of the Trust Agreement is hereby amended and restated to read in full as follows: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 At the request of any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concurrently with the delivery of such shares, solely if such shares are certificated. to the Trustee, send an irrevocable written instruction letter in the form of Exhibit E to the Trustee directing the Trustee to disburse no less than [$10.30] per share to such Public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8. A new Section 3(i) is hereby inserted in the Trust Agreement immediately following Section 3(h) as follows: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 If the Company seeks to amend any provision of its Amended and Restated Certificate of Incorporation relating to stockholders’ rights or pre-Business Combination activity (including the time within which the Company has to complete a Business Combination) (in each case an “Amendment”), the Company will provide the Trustee with a letter (an “Amendment Notification Letter”) in the form of Exhibit D providing instructions for the distribution of funds to Public Shareholders who exercise their conversion option in connection with such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 Section 7(c) of the Trust Agreement is hereby amended and restated to read in full as follows:</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“(c) This Agreement contains the entire agreement and understanding of the parties hereto with respect to the subject matter hereof. Except for Sections 1(i), 1(m), 1(n), 1(o), 1(p), 3(g), 3(h) 7(c) and 7(h) (which may only be amended with the approval of the holders of at least 75% of the shares of Common Stock sold in the IPO, provided that all Public Shareholders must be given the right to receive a pro-rata portion of the trust account (no less than [$10.30] per share) in connection with any such amendment),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6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D is hereby amended and restated to read in full as Exhibit D attached hereto.</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provisions of the Trust Agreement shall remain unaffected by the terms hereof.</w:t>
      </w:r>
    </w:p>
    <w:p>
      <w:pPr>
        <w:spacing w:after="0" w:line="225" w:lineRule="exact"/>
        <w:rPr>
          <w:rFonts w:ascii="Arial" w:cs="Arial" w:eastAsia="Arial" w:hAnsi="Arial"/>
          <w:sz w:val="18"/>
          <w:szCs w:val="18"/>
          <w:color w:val="auto"/>
        </w:rPr>
      </w:pPr>
    </w:p>
    <w:p>
      <w:pPr>
        <w:jc w:val="both"/>
        <w:ind w:firstLine="8"/>
        <w:spacing w:after="0" w:line="264" w:lineRule="auto"/>
        <w:tabs>
          <w:tab w:leader="none" w:pos="2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shall be deemed to be an original signature for purposes of this Amendment.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left="-8" w:firstLine="8"/>
        <w:spacing w:after="0" w:line="264" w:lineRule="auto"/>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81" w:lineRule="exact"/>
        <w:rPr>
          <w:rFonts w:ascii="Arial" w:cs="Arial" w:eastAsia="Arial" w:hAnsi="Arial"/>
          <w:sz w:val="18"/>
          <w:szCs w:val="18"/>
          <w:color w:val="auto"/>
        </w:rPr>
      </w:pPr>
    </w:p>
    <w:p>
      <w:pPr>
        <w:ind w:left="-8" w:firstLine="8"/>
        <w:spacing w:after="0" w:line="277"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WITNESS WHEREOF, the parties have duly executed this Amendment to the Investment Management Trust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Trust Account No. [ ] Stockholder Conversion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Section 2(e) of the Amended and Restated Investment Management Trust Agreement between M I Acquisitions, Inc. (the “ Company” ) and American Stock Transfer &amp; Trust Company, LLC (the “Trustee”), dated as of September 13, 2016, as amended (the “Trust Agreement”), the Company hereby requests that you deliver to the Public Shareholders who have properly elected to have their Common Stock converted into cash in connection with the stockholder vote to approve an amendment to the Company’s amended and restated certificate of incorporation to extend the time in which the Company must complete a Business Combination or liquidate the Trust Account $ ___________ of the principal and interest income earned on the Property as of the date hereof. Capitalized terms used but not defined herein shall have the meanings set forth in the Trust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You are hereby directed and authorized to transfer (via wire transfer) such funds promptly upon your receipt of this letter to the accounts designated by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t>PROXY CARD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 I ACQUISITIONS,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THE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Important Notice Regarding the Availability of Proxy Materials for the Stockholder Meeting to be Held on June [15], 2018: The Proxy Statement and Annual Report to Stockholders are available at www. http://www.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hereby appoints Joshua Sason and Marc Manuel, individually, each with full power of substitution, as proxy of the undersigned to attend the Annual Meeting of Stockholders (the “Annual Meeting”) of M I Acquisitions, Inc. (the “Company”), to be held on June [15], 2018 at 10 a.m. local time at the offices of [_______________],[_______________], New York, New York [_______________], and any postponement or adjournment thereof, and to vote as</w:t>
      </w:r>
    </w:p>
    <w:p>
      <w:pPr>
        <w:ind w:right="240"/>
        <w:spacing w:after="0" w:line="261" w:lineRule="auto"/>
        <w:rPr>
          <w:sz w:val="20"/>
          <w:szCs w:val="20"/>
          <w:color w:val="auto"/>
        </w:rPr>
      </w:pPr>
      <w:r>
        <w:rPr>
          <w:rFonts w:ascii="Arial" w:cs="Arial" w:eastAsia="Arial" w:hAnsi="Arial"/>
          <w:sz w:val="18"/>
          <w:szCs w:val="18"/>
          <w:color w:val="auto"/>
        </w:rPr>
        <w:t>if the undersigned were then and there personally present on all matters set forth in the Notice of Annual Meeting, dated May [___], 2018 (the “Notice”), a copy of which has been received by the undersigned, as follows:</w:t>
      </w:r>
    </w:p>
    <w:p>
      <w:pPr>
        <w:spacing w:after="0" w:line="180" w:lineRule="exact"/>
        <w:rPr>
          <w:sz w:val="20"/>
          <w:szCs w:val="20"/>
          <w:color w:val="auto"/>
        </w:rPr>
      </w:pPr>
    </w:p>
    <w:p>
      <w:pPr>
        <w:ind w:left="660" w:hanging="652"/>
        <w:spacing w:after="0" w:line="261"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ELECTION OF ONE CLASS I DIRECTOR TO SERVE UNTIL THE 2020 ANNUAL MEETING OF STOCKHOLDERS AND TWO CLASS II DIRECTORS TO SERVE UNTIL THE 2021 ANNUAL MEETING OF STOCKHOLDERS AND UNTIL HIS OR HER RESPECTIVE SUCCESSOR HAS BEEN DULY ELECTED AND QUALIFIED OR UNTIL HIS OR HER EARLIER RESIGNATION, REMOVAL OR DEATH. (Check one)</w:t>
      </w:r>
    </w:p>
    <w:p>
      <w:pPr>
        <w:spacing w:after="0" w:line="151" w:lineRule="exact"/>
        <w:rPr>
          <w:rFonts w:ascii="Arial" w:cs="Arial" w:eastAsia="Arial" w:hAnsi="Arial"/>
          <w:sz w:val="18"/>
          <w:szCs w:val="18"/>
          <w:b w:val="1"/>
          <w:bCs w:val="1"/>
          <w:color w:val="auto"/>
        </w:rPr>
      </w:pPr>
    </w:p>
    <w:p>
      <w:pPr>
        <w:ind w:left="660" w:right="5760"/>
        <w:spacing w:after="0" w:line="250" w:lineRule="exact"/>
        <w:rPr>
          <w:rFonts w:ascii="Arial" w:cs="Arial" w:eastAsia="Arial" w:hAnsi="Arial"/>
          <w:sz w:val="18"/>
          <w:szCs w:val="18"/>
          <w:b w:val="1"/>
          <w:bCs w:val="1"/>
          <w:color w:val="auto"/>
        </w:rPr>
      </w:pPr>
      <w:r>
        <w:rPr>
          <w:rFonts w:ascii="Arial" w:cs="Arial" w:eastAsia="Arial" w:hAnsi="Arial"/>
          <w:sz w:val="17"/>
          <w:szCs w:val="17"/>
          <w:color w:val="auto"/>
        </w:rPr>
        <w:t xml:space="preserve">FOR all nominees listed below (except as indicated). </w:t>
      </w:r>
      <w:r>
        <w:rPr>
          <w:rFonts w:ascii="MS PGothic" w:cs="MS PGothic" w:eastAsia="MS PGothic" w:hAnsi="MS PGothic"/>
          <w:sz w:val="17"/>
          <w:szCs w:val="17"/>
          <w:color w:val="auto"/>
        </w:rPr>
        <w:t>☐</w:t>
      </w:r>
      <w:r>
        <w:rPr>
          <w:rFonts w:ascii="Arial" w:cs="Arial" w:eastAsia="Arial" w:hAnsi="Arial"/>
          <w:sz w:val="17"/>
          <w:szCs w:val="17"/>
          <w:color w:val="auto"/>
        </w:rPr>
        <w:t xml:space="preserve"> WITHHOLD AUTHORITY to vote for all nominees listed below. </w:t>
      </w:r>
      <w:r>
        <w:rPr>
          <w:rFonts w:ascii="MS PGothic" w:cs="MS PGothic" w:eastAsia="MS PGothic" w:hAnsi="MS PGothic"/>
          <w:sz w:val="17"/>
          <w:szCs w:val="17"/>
          <w:color w:val="auto"/>
        </w:rPr>
        <w:t>☐</w:t>
      </w:r>
    </w:p>
    <w:p>
      <w:pPr>
        <w:spacing w:after="0" w:line="18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If you wish to withhold your vote for any individual nominee, strike a line through that nominee’s name set forth below:</w:t>
      </w:r>
    </w:p>
    <w:p>
      <w:pPr>
        <w:spacing w:after="0" w:line="225" w:lineRule="exact"/>
        <w:rPr>
          <w:rFonts w:ascii="Arial" w:cs="Arial" w:eastAsia="Arial" w:hAnsi="Arial"/>
          <w:sz w:val="18"/>
          <w:szCs w:val="18"/>
          <w:b w:val="1"/>
          <w:bCs w:val="1"/>
          <w:color w:val="auto"/>
        </w:rPr>
      </w:pPr>
    </w:p>
    <w:p>
      <w:pPr>
        <w:ind w:left="660" w:right="84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Joshua Sason (Class I Director) Marc Manuel (Class II Director)</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Samuel S. Holdsworth (Class II Director)</w:t>
      </w:r>
    </w:p>
    <w:p>
      <w:pPr>
        <w:spacing w:after="0" w:line="206" w:lineRule="exact"/>
        <w:rPr>
          <w:rFonts w:ascii="Arial" w:cs="Arial" w:eastAsia="Arial" w:hAnsi="Arial"/>
          <w:sz w:val="18"/>
          <w:szCs w:val="18"/>
          <w:b w:val="1"/>
          <w:bCs w:val="1"/>
          <w:color w:val="auto"/>
        </w:rPr>
      </w:pPr>
    </w:p>
    <w:p>
      <w:pPr>
        <w:ind w:left="660" w:right="180" w:hanging="652"/>
        <w:spacing w:after="0" w:line="261"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AN AMENDMENT TO THE COMPANY’S AMENDED AND RESTATED CERTIFICATE OF INCORPORATION TO EXTEND THE DATE BY WHICH THE COMPANY HAS TO CONSUMMATE A BUSINESS COMBINATION (THE “EXTENSION”)</w:t>
      </w:r>
    </w:p>
    <w:p>
      <w:pPr>
        <w:ind w:left="660"/>
        <w:spacing w:after="0"/>
        <w:rPr>
          <w:sz w:val="20"/>
          <w:szCs w:val="20"/>
          <w:color w:val="auto"/>
        </w:rPr>
      </w:pPr>
      <w:r>
        <w:rPr>
          <w:rFonts w:ascii="Arial" w:cs="Arial" w:eastAsia="Arial" w:hAnsi="Arial"/>
          <w:sz w:val="18"/>
          <w:szCs w:val="18"/>
          <w:b w:val="1"/>
          <w:bCs w:val="1"/>
          <w:color w:val="auto"/>
        </w:rPr>
        <w:t>FOR AN ADDITIONAL [90] DAYS, TO September 17, 2018.</w:t>
      </w:r>
    </w:p>
    <w:p>
      <w:pPr>
        <w:spacing w:after="0" w:line="4" w:lineRule="exact"/>
        <w:rPr>
          <w:sz w:val="20"/>
          <w:szCs w:val="20"/>
          <w:color w:val="auto"/>
        </w:rPr>
      </w:pPr>
    </w:p>
    <w:p>
      <w:pPr>
        <w:ind w:left="4220"/>
        <w:spacing w:after="0" w:line="207" w:lineRule="exact"/>
        <w:tabs>
          <w:tab w:leader="none" w:pos="5140" w:val="left"/>
          <w:tab w:leader="none" w:pos="638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660" w:right="280" w:hanging="652"/>
        <w:spacing w:after="0" w:line="258"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AN AMENDMENT TO THE COMPANY’S EXISTING INVESTMENT MANAGEMENT TRUST AGREEMENT TO MAKE CHANGES NECESSARY TO REFLECT THE EXTENSION.</w:t>
      </w:r>
    </w:p>
    <w:p>
      <w:pPr>
        <w:jc w:val="center"/>
        <w:ind w:right="-19"/>
        <w:spacing w:after="0" w:line="207" w:lineRule="exact"/>
        <w:tabs>
          <w:tab w:leader="none" w:pos="420" w:val="left"/>
          <w:tab w:leader="none" w:pos="42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660" w:right="580" w:hanging="652"/>
        <w:spacing w:after="0" w:line="258"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APPOINTMENT OF MARCUM LLP AS THE COMPANY’S INDEPENDENT REGISTERED PUBLIC ACCOUNTING FIRM FOR THE FISCAL YEAR ENDING DECEMBER 31, 2018.</w:t>
      </w:r>
    </w:p>
    <w:p>
      <w:pPr>
        <w:jc w:val="center"/>
        <w:ind w:right="-19"/>
        <w:spacing w:after="0" w:line="207" w:lineRule="exact"/>
        <w:tabs>
          <w:tab w:leader="none" w:pos="420" w:val="left"/>
          <w:tab w:leader="none" w:pos="42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Abstain </w:t>
      </w:r>
      <w:r>
        <w:rPr>
          <w:rFonts w:ascii="MS PGothic" w:cs="MS PGothic" w:eastAsia="MS PGothic" w:hAnsi="MS PGothic"/>
          <w:sz w:val="16"/>
          <w:szCs w:val="16"/>
          <w:color w:val="auto"/>
          <w:highlight w:val="black"/>
        </w:rPr>
        <w:t>☐</w:t>
      </w:r>
    </w:p>
    <w:p>
      <w:pPr>
        <w:spacing w:after="0" w:line="212" w:lineRule="exact"/>
        <w:rPr>
          <w:sz w:val="20"/>
          <w:szCs w:val="20"/>
          <w:color w:val="auto"/>
        </w:rPr>
      </w:pPr>
    </w:p>
    <w:p>
      <w:pPr>
        <w:ind w:left="220" w:hanging="212"/>
        <w:spacing w:after="0"/>
        <w:tabs>
          <w:tab w:leader="none" w:pos="220" w:val="left"/>
        </w:tabs>
        <w:numPr>
          <w:ilvl w:val="0"/>
          <w:numId w:val="27"/>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Intention to Exercise Conversion Rights. </w:t>
      </w:r>
      <w:r>
        <w:rPr>
          <w:rFonts w:ascii="Arial" w:cs="Arial" w:eastAsia="Arial" w:hAnsi="Arial"/>
          <w:sz w:val="16"/>
          <w:szCs w:val="16"/>
          <w:color w:val="auto"/>
        </w:rPr>
        <w:t>If you intend to exercise your conversion rights, please check this box. Checking this box, however, is not</w:t>
      </w:r>
    </w:p>
    <w:p>
      <w:pPr>
        <w:spacing w:after="0" w:line="52" w:lineRule="exact"/>
        <w:rPr>
          <w:rFonts w:ascii="MS PGothic" w:cs="MS PGothic" w:eastAsia="MS PGothic" w:hAnsi="MS PGothic"/>
          <w:sz w:val="16"/>
          <w:szCs w:val="16"/>
          <w:color w:val="auto"/>
          <w:highlight w:val="black"/>
        </w:rPr>
      </w:pPr>
    </w:p>
    <w:p>
      <w:pPr>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sufficient to exercise your conversion rights. You must comply with the procedures set forth in the proxy statement under the heading “Conversion Rights.”</w:t>
      </w:r>
    </w:p>
    <w:p>
      <w:pPr>
        <w:spacing w:after="0" w:line="22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NOTE: IN HIS DISCRETION, THE PROXY HOLDER IS AUTHORIZED TO VOTE UPON SUCH OTHER MATTER OR MATTERS THAT MAY PROPERLY COME BEFORE THE ANNUAL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THIS PROXY WILL BE VOTED IN ACCORDANCE WITH THE SPECIFIC INDICATION ABOVE. IN THE ABSENCE OF SUCH INDICATION, THIS PROXY WILL BE VOTED FOR ALL OF THE BOARD’S NOMINEES FOR ELECTION TO THE BOARD OF DIRECTORS, FOR THE OTHER PROPOSALS AND, AT THE DISCRETION OF THE PROXY HOLDER, ON ANY OTHER MATTERS THAT MAY PROPERLY COME BEFORE THE ANNUAL MEETING OR ANY POSTPONEMENT OR ADJOURNMENT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COMPLETE THE FOLLOWING: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plan to attend the Annual Meeting (Circle one): Yes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attendees: 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STOCKHOLDER SHOULD SIGN THE PROXY PROMPTLY AND RETURN IT IN THE ENCLOSED ENVELOPE AS SOON AS POSSIBLE TO ENSURE THAT IT IS RECEIVED BEFORE THE ANNUAL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2)"/>
      <w:numFmt w:val="decimal"/>
      <w:start w:val="2"/>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6"/>
    </w:lvl>
  </w:abstractNum>
  <w:abstractNum w:abstractNumId="21">
    <w:nsid w:val="8EDBDAB"/>
    <w:multiLevelType w:val="hybridMultilevel"/>
    <w:lvl w:ilvl="0">
      <w:lvlJc w:val="left"/>
      <w:lvlText w:val="%1."/>
      <w:numFmt w:val="decimal"/>
      <w:start w:val="10"/>
    </w:lvl>
  </w:abstractNum>
  <w:abstractNum w:abstractNumId="22">
    <w:nsid w:val="79838CB2"/>
    <w:multiLevelType w:val="hybridMultilevel"/>
    <w:lvl w:ilvl="0">
      <w:lvlJc w:val="left"/>
      <w:lvlText w:val="%1."/>
      <w:numFmt w:val="decimal"/>
      <w:start w:val="13"/>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3"/>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2020-01-15T06:27:40Z</dcterms:created>
  <dcterms:modified xsi:type="dcterms:W3CDTF">2020-01-15T06:27:40Z</dcterms:modified>
</cp:coreProperties>
</file>