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311150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PRIORITY TECHNOLOGY HOLDINGS, INC.</w:t>
      </w:r>
    </w:p>
    <w:p>
      <w:pPr>
        <w:spacing w:after="0" w:line="3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74275G107</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September 30, 2021</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200" w:hanging="213"/>
        <w:spacing w:after="0"/>
        <w:tabs>
          <w:tab w:leader="none" w:pos="12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200" w:hanging="213"/>
        <w:spacing w:after="0"/>
        <w:tabs>
          <w:tab w:leader="none" w:pos="12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25"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177165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20"/>
          </w:cols>
          <w:pgMar w:left="440" w:top="368" w:right="539" w:bottom="1440" w:gutter="0" w:footer="0" w:header="0"/>
        </w:sectPr>
      </w:pPr>
    </w:p>
    <w:bookmarkStart w:id="1" w:name="page2"/>
    <w:bookmarkEnd w:id="1"/>
    <w:tbl>
      <w:tblPr>
        <w:tblLayout w:type="fixed"/>
        <w:tblInd w:w="14" w:type="dxa"/>
        <w:tblCellMar>
          <w:top w:w="0" w:type="dxa"/>
          <w:left w:w="0" w:type="dxa"/>
          <w:bottom w:w="0" w:type="dxa"/>
          <w:right w:w="0" w:type="dxa"/>
        </w:tblCellMar>
      </w:tblPr>
      <w:tr>
        <w:trPr>
          <w:trHeight w:val="230"/>
        </w:trPr>
        <w:tc>
          <w:tcPr>
            <w:tcW w:w="1720" w:type="dxa"/>
            <w:vAlign w:val="bottom"/>
            <w:gridSpan w:val="5"/>
          </w:tcPr>
          <w:p>
            <w:pPr>
              <w:jc w:val="center"/>
              <w:spacing w:after="0"/>
              <w:rPr>
                <w:sz w:val="20"/>
                <w:szCs w:val="20"/>
                <w:color w:val="auto"/>
              </w:rPr>
            </w:pPr>
            <w:r>
              <w:rPr>
                <w:rFonts w:ascii="Arial" w:cs="Arial" w:eastAsia="Arial" w:hAnsi="Arial"/>
                <w:sz w:val="18"/>
                <w:szCs w:val="18"/>
                <w:color w:val="auto"/>
                <w:w w:val="91"/>
              </w:rPr>
              <w:t>CUSIP No. 74275G107</w:t>
            </w:r>
          </w:p>
        </w:tc>
        <w:tc>
          <w:tcPr>
            <w:tcW w:w="120" w:type="dxa"/>
            <w:vAlign w:val="bottom"/>
          </w:tcPr>
          <w:p>
            <w:pPr>
              <w:spacing w:after="0"/>
              <w:rPr>
                <w:sz w:val="20"/>
                <w:szCs w:val="20"/>
                <w:color w:val="auto"/>
              </w:rPr>
            </w:pPr>
          </w:p>
        </w:tc>
        <w:tc>
          <w:tcPr>
            <w:tcW w:w="9180" w:type="dxa"/>
            <w:vAlign w:val="bottom"/>
            <w:gridSpan w:val="2"/>
          </w:tcPr>
          <w:p>
            <w:pPr>
              <w:ind w:left="7800"/>
              <w:spacing w:after="0"/>
              <w:rPr>
                <w:sz w:val="20"/>
                <w:szCs w:val="20"/>
                <w:color w:val="auto"/>
              </w:rPr>
            </w:pPr>
            <w:r>
              <w:rPr>
                <w:rFonts w:ascii="Arial" w:cs="Arial" w:eastAsia="Arial" w:hAnsi="Arial"/>
                <w:sz w:val="18"/>
                <w:szCs w:val="18"/>
                <w:color w:val="auto"/>
                <w:w w:val="85"/>
              </w:rPr>
              <w:t>Page 2 of 13 Pages</w:t>
            </w:r>
          </w:p>
        </w:tc>
        <w:tc>
          <w:tcPr>
            <w:tcW w:w="0" w:type="dxa"/>
            <w:vAlign w:val="bottom"/>
          </w:tcPr>
          <w:p>
            <w:pPr>
              <w:spacing w:after="0"/>
              <w:rPr>
                <w:sz w:val="1"/>
                <w:szCs w:val="1"/>
                <w:color w:val="auto"/>
              </w:rPr>
            </w:pPr>
          </w:p>
        </w:tc>
      </w:tr>
      <w:tr>
        <w:trPr>
          <w:trHeight w:val="324"/>
        </w:trPr>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180" w:type="dxa"/>
            <w:vAlign w:val="bottom"/>
            <w:gridSpan w:val="2"/>
          </w:tcPr>
          <w:p>
            <w:pPr>
              <w:ind w:left="3020"/>
              <w:spacing w:after="0"/>
              <w:rPr>
                <w:sz w:val="20"/>
                <w:szCs w:val="20"/>
                <w:color w:val="auto"/>
              </w:rPr>
            </w:pPr>
            <w:r>
              <w:rPr>
                <w:rFonts w:ascii="Arial" w:cs="Arial" w:eastAsia="Arial" w:hAnsi="Arial"/>
                <w:sz w:val="18"/>
                <w:szCs w:val="18"/>
                <w:color w:val="auto"/>
              </w:rPr>
              <w:t>SCHEDULE 13G</w:t>
            </w:r>
          </w:p>
        </w:tc>
        <w:tc>
          <w:tcPr>
            <w:tcW w:w="0" w:type="dxa"/>
            <w:vAlign w:val="bottom"/>
          </w:tcPr>
          <w:p>
            <w:pPr>
              <w:spacing w:after="0"/>
              <w:rPr>
                <w:sz w:val="1"/>
                <w:szCs w:val="1"/>
                <w:color w:val="auto"/>
              </w:rPr>
            </w:pPr>
          </w:p>
        </w:tc>
      </w:tr>
      <w:tr>
        <w:trPr>
          <w:trHeight w:val="148"/>
        </w:trPr>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spacing w:after="0"/>
              <w:rPr>
                <w:sz w:val="12"/>
                <w:szCs w:val="12"/>
                <w:color w:val="auto"/>
              </w:rPr>
            </w:pPr>
          </w:p>
        </w:tc>
        <w:tc>
          <w:tcPr>
            <w:tcW w:w="320" w:type="dxa"/>
            <w:vAlign w:val="bottom"/>
            <w:tcBorders>
              <w:bottom w:val="single" w:sz="8" w:color="auto"/>
            </w:tcBorders>
            <w:gridSpan w:val="2"/>
          </w:tcPr>
          <w:p>
            <w:pPr>
              <w:spacing w:after="0"/>
              <w:rPr>
                <w:sz w:val="12"/>
                <w:szCs w:val="12"/>
                <w:color w:val="auto"/>
              </w:rPr>
            </w:pPr>
          </w:p>
        </w:tc>
        <w:tc>
          <w:tcPr>
            <w:tcW w:w="9080" w:type="dxa"/>
            <w:vAlign w:val="bottom"/>
            <w:tcBorders>
              <w:bottom w:val="single" w:sz="8" w:color="auto"/>
            </w:tcBorders>
          </w:tcPr>
          <w:p>
            <w:pPr>
              <w:spacing w:after="0"/>
              <w:rPr>
                <w:sz w:val="12"/>
                <w:szCs w:val="12"/>
                <w:color w:val="auto"/>
              </w:rPr>
            </w:pP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NAME OF REPORTING PERSON</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Trident VII, L.P.</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9200" w:type="dxa"/>
            <w:vAlign w:val="bottom"/>
            <w:tcBorders>
              <w:right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10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SEC USE ONLY</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9080" w:type="dxa"/>
            <w:vAlign w:val="bottom"/>
            <w:tcBorders>
              <w:bottom w:val="single" w:sz="8" w:color="auto"/>
              <w:right w:val="single" w:sz="8" w:color="auto"/>
            </w:tcBorders>
          </w:tcPr>
          <w:p>
            <w:pPr>
              <w:spacing w:after="0"/>
              <w:rPr>
                <w:sz w:val="21"/>
                <w:szCs w:val="21"/>
                <w:color w:val="auto"/>
              </w:rPr>
            </w:pPr>
          </w:p>
        </w:tc>
        <w:tc>
          <w:tcPr>
            <w:tcW w:w="10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Cayman Islands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380" w:type="dxa"/>
            <w:vAlign w:val="bottom"/>
            <w:tcBorders>
              <w:left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8"/>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4"/>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5,193,039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080" w:type="dxa"/>
            <w:vAlign w:val="bottom"/>
            <w:tcBorders>
              <w:bottom w:val="single" w:sz="8" w:color="auto"/>
              <w:right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82" w:lineRule="exact"/>
              <w:rPr>
                <w:sz w:val="20"/>
                <w:szCs w:val="20"/>
                <w:color w:val="auto"/>
              </w:rPr>
            </w:pPr>
            <w:r>
              <w:rPr>
                <w:rFonts w:ascii="Arial" w:cs="Arial" w:eastAsia="Arial" w:hAnsi="Arial"/>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908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2"/>
              </w:rPr>
              <w:t>PERSON</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ind w:left="160"/>
              <w:spacing w:after="0"/>
              <w:rPr>
                <w:sz w:val="20"/>
                <w:szCs w:val="20"/>
                <w:color w:val="auto"/>
              </w:rPr>
            </w:pPr>
            <w:r>
              <w:rPr>
                <w:rFonts w:ascii="Arial" w:cs="Arial" w:eastAsia="Arial" w:hAnsi="Arial"/>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08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08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5,193,039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w w:val="77"/>
              </w:rPr>
              <w:t>AGGREGATE</w:t>
            </w:r>
          </w:p>
        </w:tc>
        <w:tc>
          <w:tcPr>
            <w:tcW w:w="320" w:type="dxa"/>
            <w:vAlign w:val="bottom"/>
            <w:gridSpan w:val="2"/>
          </w:tcPr>
          <w:p>
            <w:pPr>
              <w:spacing w:after="0"/>
              <w:rPr>
                <w:sz w:val="20"/>
                <w:szCs w:val="20"/>
                <w:color w:val="auto"/>
              </w:rPr>
            </w:pPr>
          </w:p>
        </w:tc>
        <w:tc>
          <w:tcPr>
            <w:tcW w:w="9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2"/>
              </w:rPr>
              <w:t>5,193,039</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4"/>
              </w:rPr>
              <w:t>6.78% (1)</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PN</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right="260" w:hanging="424"/>
        <w:spacing w:after="0" w:line="259"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upon 76,635,141 shares of common stock, par value $0.001 per share (the “Common Stock”), of Priority Technology Holdings, Inc. (the “Issuer”) outstanding as of November 9, 2021, as disclosed in the Issuer’s Quarterly Report on Form 10-Q for the quarterly period ended September 30, 2021, that was filed on November 15, 2021 (the “Form 10-Q”) by the Issuer with the U.S. Securities and Exchange Commission (the “SEC”).</w:t>
      </w:r>
    </w:p>
    <w:p>
      <w:pPr>
        <w:sectPr>
          <w:pgSz w:w="11900" w:h="16838" w:orient="portrait"/>
          <w:cols w:equalWidth="0" w:num="1">
            <w:col w:w="11024"/>
          </w:cols>
          <w:pgMar w:left="436" w:top="274" w:right="439" w:bottom="1440" w:gutter="0" w:footer="0" w:header="0"/>
        </w:sectPr>
      </w:pPr>
    </w:p>
    <w:bookmarkStart w:id="2" w:name="page3"/>
    <w:bookmarkEnd w:id="2"/>
    <w:tbl>
      <w:tblPr>
        <w:tblLayout w:type="fixed"/>
        <w:tblInd w:w="14" w:type="dxa"/>
        <w:tblCellMar>
          <w:top w:w="0" w:type="dxa"/>
          <w:left w:w="0" w:type="dxa"/>
          <w:bottom w:w="0" w:type="dxa"/>
          <w:right w:w="0" w:type="dxa"/>
        </w:tblCellMar>
      </w:tblPr>
      <w:tr>
        <w:trPr>
          <w:trHeight w:val="230"/>
        </w:trPr>
        <w:tc>
          <w:tcPr>
            <w:tcW w:w="1720" w:type="dxa"/>
            <w:vAlign w:val="bottom"/>
            <w:gridSpan w:val="5"/>
          </w:tcPr>
          <w:p>
            <w:pPr>
              <w:jc w:val="center"/>
              <w:spacing w:after="0"/>
              <w:rPr>
                <w:sz w:val="20"/>
                <w:szCs w:val="20"/>
                <w:color w:val="auto"/>
              </w:rPr>
            </w:pPr>
            <w:r>
              <w:rPr>
                <w:rFonts w:ascii="Arial" w:cs="Arial" w:eastAsia="Arial" w:hAnsi="Arial"/>
                <w:sz w:val="18"/>
                <w:szCs w:val="18"/>
                <w:color w:val="auto"/>
                <w:w w:val="91"/>
              </w:rPr>
              <w:t>CUSIP No. 74275G107</w:t>
            </w:r>
          </w:p>
        </w:tc>
        <w:tc>
          <w:tcPr>
            <w:tcW w:w="120" w:type="dxa"/>
            <w:vAlign w:val="bottom"/>
          </w:tcPr>
          <w:p>
            <w:pPr>
              <w:spacing w:after="0"/>
              <w:rPr>
                <w:sz w:val="20"/>
                <w:szCs w:val="20"/>
                <w:color w:val="auto"/>
              </w:rPr>
            </w:pPr>
          </w:p>
        </w:tc>
        <w:tc>
          <w:tcPr>
            <w:tcW w:w="9180" w:type="dxa"/>
            <w:vAlign w:val="bottom"/>
            <w:gridSpan w:val="2"/>
          </w:tcPr>
          <w:p>
            <w:pPr>
              <w:ind w:left="7800"/>
              <w:spacing w:after="0"/>
              <w:rPr>
                <w:sz w:val="20"/>
                <w:szCs w:val="20"/>
                <w:color w:val="auto"/>
              </w:rPr>
            </w:pPr>
            <w:r>
              <w:rPr>
                <w:rFonts w:ascii="Arial" w:cs="Arial" w:eastAsia="Arial" w:hAnsi="Arial"/>
                <w:sz w:val="18"/>
                <w:szCs w:val="18"/>
                <w:color w:val="auto"/>
                <w:w w:val="85"/>
              </w:rPr>
              <w:t>Page 3 of 13 Pages</w:t>
            </w:r>
          </w:p>
        </w:tc>
        <w:tc>
          <w:tcPr>
            <w:tcW w:w="0" w:type="dxa"/>
            <w:vAlign w:val="bottom"/>
          </w:tcPr>
          <w:p>
            <w:pPr>
              <w:spacing w:after="0"/>
              <w:rPr>
                <w:sz w:val="1"/>
                <w:szCs w:val="1"/>
                <w:color w:val="auto"/>
              </w:rPr>
            </w:pPr>
          </w:p>
        </w:tc>
      </w:tr>
      <w:tr>
        <w:trPr>
          <w:trHeight w:val="324"/>
        </w:trPr>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180" w:type="dxa"/>
            <w:vAlign w:val="bottom"/>
            <w:gridSpan w:val="2"/>
          </w:tcPr>
          <w:p>
            <w:pPr>
              <w:ind w:left="3020"/>
              <w:spacing w:after="0"/>
              <w:rPr>
                <w:sz w:val="20"/>
                <w:szCs w:val="20"/>
                <w:color w:val="auto"/>
              </w:rPr>
            </w:pPr>
            <w:r>
              <w:rPr>
                <w:rFonts w:ascii="Arial" w:cs="Arial" w:eastAsia="Arial" w:hAnsi="Arial"/>
                <w:sz w:val="18"/>
                <w:szCs w:val="18"/>
                <w:color w:val="auto"/>
              </w:rPr>
              <w:t>SCHEDULE 13G</w:t>
            </w:r>
          </w:p>
        </w:tc>
        <w:tc>
          <w:tcPr>
            <w:tcW w:w="0" w:type="dxa"/>
            <w:vAlign w:val="bottom"/>
          </w:tcPr>
          <w:p>
            <w:pPr>
              <w:spacing w:after="0"/>
              <w:rPr>
                <w:sz w:val="1"/>
                <w:szCs w:val="1"/>
                <w:color w:val="auto"/>
              </w:rPr>
            </w:pPr>
          </w:p>
        </w:tc>
      </w:tr>
      <w:tr>
        <w:trPr>
          <w:trHeight w:val="148"/>
        </w:trPr>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spacing w:after="0"/>
              <w:rPr>
                <w:sz w:val="12"/>
                <w:szCs w:val="12"/>
                <w:color w:val="auto"/>
              </w:rPr>
            </w:pPr>
          </w:p>
        </w:tc>
        <w:tc>
          <w:tcPr>
            <w:tcW w:w="320" w:type="dxa"/>
            <w:vAlign w:val="bottom"/>
            <w:tcBorders>
              <w:bottom w:val="single" w:sz="8" w:color="auto"/>
            </w:tcBorders>
            <w:gridSpan w:val="2"/>
          </w:tcPr>
          <w:p>
            <w:pPr>
              <w:spacing w:after="0"/>
              <w:rPr>
                <w:sz w:val="12"/>
                <w:szCs w:val="12"/>
                <w:color w:val="auto"/>
              </w:rPr>
            </w:pPr>
          </w:p>
        </w:tc>
        <w:tc>
          <w:tcPr>
            <w:tcW w:w="9080" w:type="dxa"/>
            <w:vAlign w:val="bottom"/>
            <w:tcBorders>
              <w:bottom w:val="single" w:sz="8" w:color="auto"/>
            </w:tcBorders>
          </w:tcPr>
          <w:p>
            <w:pPr>
              <w:spacing w:after="0"/>
              <w:rPr>
                <w:sz w:val="12"/>
                <w:szCs w:val="12"/>
                <w:color w:val="auto"/>
              </w:rPr>
            </w:pP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NAME OF REPORTING PERSON</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Trident Finxera Holdings LP</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9200" w:type="dxa"/>
            <w:vAlign w:val="bottom"/>
            <w:tcBorders>
              <w:right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10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SEC USE ONLY</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9080" w:type="dxa"/>
            <w:vAlign w:val="bottom"/>
            <w:tcBorders>
              <w:bottom w:val="single" w:sz="8" w:color="auto"/>
              <w:right w:val="single" w:sz="8" w:color="auto"/>
            </w:tcBorders>
          </w:tcPr>
          <w:p>
            <w:pPr>
              <w:spacing w:after="0"/>
              <w:rPr>
                <w:sz w:val="21"/>
                <w:szCs w:val="21"/>
                <w:color w:val="auto"/>
              </w:rPr>
            </w:pPr>
          </w:p>
        </w:tc>
        <w:tc>
          <w:tcPr>
            <w:tcW w:w="10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7"/>
              </w:rPr>
              <w:t>Delaware</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380" w:type="dxa"/>
            <w:vAlign w:val="bottom"/>
            <w:tcBorders>
              <w:left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8"/>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4"/>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5,193,039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080" w:type="dxa"/>
            <w:vAlign w:val="bottom"/>
            <w:tcBorders>
              <w:bottom w:val="single" w:sz="8" w:color="auto"/>
              <w:right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82" w:lineRule="exact"/>
              <w:rPr>
                <w:sz w:val="20"/>
                <w:szCs w:val="20"/>
                <w:color w:val="auto"/>
              </w:rPr>
            </w:pPr>
            <w:r>
              <w:rPr>
                <w:rFonts w:ascii="Arial" w:cs="Arial" w:eastAsia="Arial" w:hAnsi="Arial"/>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908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2"/>
              </w:rPr>
              <w:t>PERSON</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ind w:left="160"/>
              <w:spacing w:after="0"/>
              <w:rPr>
                <w:sz w:val="20"/>
                <w:szCs w:val="20"/>
                <w:color w:val="auto"/>
              </w:rPr>
            </w:pPr>
            <w:r>
              <w:rPr>
                <w:rFonts w:ascii="Arial" w:cs="Arial" w:eastAsia="Arial" w:hAnsi="Arial"/>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08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08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5,193,039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w w:val="77"/>
              </w:rPr>
              <w:t>AGGREGATE</w:t>
            </w:r>
          </w:p>
        </w:tc>
        <w:tc>
          <w:tcPr>
            <w:tcW w:w="320" w:type="dxa"/>
            <w:vAlign w:val="bottom"/>
            <w:gridSpan w:val="2"/>
          </w:tcPr>
          <w:p>
            <w:pPr>
              <w:spacing w:after="0"/>
              <w:rPr>
                <w:sz w:val="20"/>
                <w:szCs w:val="20"/>
                <w:color w:val="auto"/>
              </w:rPr>
            </w:pPr>
          </w:p>
        </w:tc>
        <w:tc>
          <w:tcPr>
            <w:tcW w:w="9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2"/>
              </w:rPr>
              <w:t>5,193,039</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4"/>
              </w:rPr>
              <w:t>6.78% (1)</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PN</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24" w:hanging="424"/>
        <w:spacing w:after="0"/>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upon 76,635,141 shares of Common Stock outstanding as of November 9, 2021, as disclosed in the Form 10-Q.</w:t>
      </w:r>
    </w:p>
    <w:p>
      <w:pPr>
        <w:sectPr>
          <w:pgSz w:w="11900" w:h="16838" w:orient="portrait"/>
          <w:cols w:equalWidth="0" w:num="1">
            <w:col w:w="11024"/>
          </w:cols>
          <w:pgMar w:left="436" w:top="274" w:right="439" w:bottom="1440" w:gutter="0" w:footer="0" w:header="0"/>
        </w:sectPr>
      </w:pPr>
    </w:p>
    <w:bookmarkStart w:id="3" w:name="page4"/>
    <w:bookmarkEnd w:id="3"/>
    <w:tbl>
      <w:tblPr>
        <w:tblLayout w:type="fixed"/>
        <w:tblInd w:w="14" w:type="dxa"/>
        <w:tblCellMar>
          <w:top w:w="0" w:type="dxa"/>
          <w:left w:w="0" w:type="dxa"/>
          <w:bottom w:w="0" w:type="dxa"/>
          <w:right w:w="0" w:type="dxa"/>
        </w:tblCellMar>
      </w:tblPr>
      <w:tr>
        <w:trPr>
          <w:trHeight w:val="230"/>
        </w:trPr>
        <w:tc>
          <w:tcPr>
            <w:tcW w:w="1720" w:type="dxa"/>
            <w:vAlign w:val="bottom"/>
            <w:gridSpan w:val="5"/>
          </w:tcPr>
          <w:p>
            <w:pPr>
              <w:jc w:val="center"/>
              <w:spacing w:after="0"/>
              <w:rPr>
                <w:sz w:val="20"/>
                <w:szCs w:val="20"/>
                <w:color w:val="auto"/>
              </w:rPr>
            </w:pPr>
            <w:r>
              <w:rPr>
                <w:rFonts w:ascii="Arial" w:cs="Arial" w:eastAsia="Arial" w:hAnsi="Arial"/>
                <w:sz w:val="18"/>
                <w:szCs w:val="18"/>
                <w:color w:val="auto"/>
                <w:w w:val="91"/>
              </w:rPr>
              <w:t>CUSIP No. 74275G107</w:t>
            </w:r>
          </w:p>
        </w:tc>
        <w:tc>
          <w:tcPr>
            <w:tcW w:w="120" w:type="dxa"/>
            <w:vAlign w:val="bottom"/>
          </w:tcPr>
          <w:p>
            <w:pPr>
              <w:spacing w:after="0"/>
              <w:rPr>
                <w:sz w:val="20"/>
                <w:szCs w:val="20"/>
                <w:color w:val="auto"/>
              </w:rPr>
            </w:pPr>
          </w:p>
        </w:tc>
        <w:tc>
          <w:tcPr>
            <w:tcW w:w="9180" w:type="dxa"/>
            <w:vAlign w:val="bottom"/>
            <w:gridSpan w:val="2"/>
          </w:tcPr>
          <w:p>
            <w:pPr>
              <w:ind w:left="7800"/>
              <w:spacing w:after="0"/>
              <w:rPr>
                <w:sz w:val="20"/>
                <w:szCs w:val="20"/>
                <w:color w:val="auto"/>
              </w:rPr>
            </w:pPr>
            <w:r>
              <w:rPr>
                <w:rFonts w:ascii="Arial" w:cs="Arial" w:eastAsia="Arial" w:hAnsi="Arial"/>
                <w:sz w:val="18"/>
                <w:szCs w:val="18"/>
                <w:color w:val="auto"/>
                <w:w w:val="85"/>
              </w:rPr>
              <w:t>Page 4 of 13 Pages</w:t>
            </w:r>
          </w:p>
        </w:tc>
        <w:tc>
          <w:tcPr>
            <w:tcW w:w="0" w:type="dxa"/>
            <w:vAlign w:val="bottom"/>
          </w:tcPr>
          <w:p>
            <w:pPr>
              <w:spacing w:after="0"/>
              <w:rPr>
                <w:sz w:val="1"/>
                <w:szCs w:val="1"/>
                <w:color w:val="auto"/>
              </w:rPr>
            </w:pPr>
          </w:p>
        </w:tc>
      </w:tr>
      <w:tr>
        <w:trPr>
          <w:trHeight w:val="324"/>
        </w:trPr>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180" w:type="dxa"/>
            <w:vAlign w:val="bottom"/>
            <w:gridSpan w:val="2"/>
          </w:tcPr>
          <w:p>
            <w:pPr>
              <w:ind w:left="3020"/>
              <w:spacing w:after="0"/>
              <w:rPr>
                <w:sz w:val="20"/>
                <w:szCs w:val="20"/>
                <w:color w:val="auto"/>
              </w:rPr>
            </w:pPr>
            <w:r>
              <w:rPr>
                <w:rFonts w:ascii="Arial" w:cs="Arial" w:eastAsia="Arial" w:hAnsi="Arial"/>
                <w:sz w:val="18"/>
                <w:szCs w:val="18"/>
                <w:color w:val="auto"/>
              </w:rPr>
              <w:t>SCHEDULE 13G</w:t>
            </w:r>
          </w:p>
        </w:tc>
        <w:tc>
          <w:tcPr>
            <w:tcW w:w="0" w:type="dxa"/>
            <w:vAlign w:val="bottom"/>
          </w:tcPr>
          <w:p>
            <w:pPr>
              <w:spacing w:after="0"/>
              <w:rPr>
                <w:sz w:val="1"/>
                <w:szCs w:val="1"/>
                <w:color w:val="auto"/>
              </w:rPr>
            </w:pPr>
          </w:p>
        </w:tc>
      </w:tr>
      <w:tr>
        <w:trPr>
          <w:trHeight w:val="148"/>
        </w:trPr>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spacing w:after="0"/>
              <w:rPr>
                <w:sz w:val="12"/>
                <w:szCs w:val="12"/>
                <w:color w:val="auto"/>
              </w:rPr>
            </w:pPr>
          </w:p>
        </w:tc>
        <w:tc>
          <w:tcPr>
            <w:tcW w:w="320" w:type="dxa"/>
            <w:vAlign w:val="bottom"/>
            <w:tcBorders>
              <w:bottom w:val="single" w:sz="8" w:color="auto"/>
            </w:tcBorders>
            <w:gridSpan w:val="2"/>
          </w:tcPr>
          <w:p>
            <w:pPr>
              <w:spacing w:after="0"/>
              <w:rPr>
                <w:sz w:val="12"/>
                <w:szCs w:val="12"/>
                <w:color w:val="auto"/>
              </w:rPr>
            </w:pPr>
          </w:p>
        </w:tc>
        <w:tc>
          <w:tcPr>
            <w:tcW w:w="9080" w:type="dxa"/>
            <w:vAlign w:val="bottom"/>
            <w:tcBorders>
              <w:bottom w:val="single" w:sz="8" w:color="auto"/>
            </w:tcBorders>
          </w:tcPr>
          <w:p>
            <w:pPr>
              <w:spacing w:after="0"/>
              <w:rPr>
                <w:sz w:val="12"/>
                <w:szCs w:val="12"/>
                <w:color w:val="auto"/>
              </w:rPr>
            </w:pP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NAME OF REPORTING PERSON</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Trident Finxera Holdings GP LLC</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9200" w:type="dxa"/>
            <w:vAlign w:val="bottom"/>
            <w:tcBorders>
              <w:right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10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SEC USE ONLY</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9080" w:type="dxa"/>
            <w:vAlign w:val="bottom"/>
            <w:tcBorders>
              <w:bottom w:val="single" w:sz="8" w:color="auto"/>
              <w:right w:val="single" w:sz="8" w:color="auto"/>
            </w:tcBorders>
          </w:tcPr>
          <w:p>
            <w:pPr>
              <w:spacing w:after="0"/>
              <w:rPr>
                <w:sz w:val="21"/>
                <w:szCs w:val="21"/>
                <w:color w:val="auto"/>
              </w:rPr>
            </w:pPr>
          </w:p>
        </w:tc>
        <w:tc>
          <w:tcPr>
            <w:tcW w:w="10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7"/>
              </w:rPr>
              <w:t>Delaware</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380" w:type="dxa"/>
            <w:vAlign w:val="bottom"/>
            <w:tcBorders>
              <w:left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8"/>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4"/>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5,193,039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080" w:type="dxa"/>
            <w:vAlign w:val="bottom"/>
            <w:tcBorders>
              <w:bottom w:val="single" w:sz="8" w:color="auto"/>
              <w:right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82" w:lineRule="exact"/>
              <w:rPr>
                <w:sz w:val="20"/>
                <w:szCs w:val="20"/>
                <w:color w:val="auto"/>
              </w:rPr>
            </w:pPr>
            <w:r>
              <w:rPr>
                <w:rFonts w:ascii="Arial" w:cs="Arial" w:eastAsia="Arial" w:hAnsi="Arial"/>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908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2"/>
              </w:rPr>
              <w:t>PERSON</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ind w:left="160"/>
              <w:spacing w:after="0"/>
              <w:rPr>
                <w:sz w:val="20"/>
                <w:szCs w:val="20"/>
                <w:color w:val="auto"/>
              </w:rPr>
            </w:pPr>
            <w:r>
              <w:rPr>
                <w:rFonts w:ascii="Arial" w:cs="Arial" w:eastAsia="Arial" w:hAnsi="Arial"/>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08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08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5,193,039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w w:val="77"/>
              </w:rPr>
              <w:t>AGGREGATE</w:t>
            </w:r>
          </w:p>
        </w:tc>
        <w:tc>
          <w:tcPr>
            <w:tcW w:w="320" w:type="dxa"/>
            <w:vAlign w:val="bottom"/>
            <w:gridSpan w:val="2"/>
          </w:tcPr>
          <w:p>
            <w:pPr>
              <w:spacing w:after="0"/>
              <w:rPr>
                <w:sz w:val="20"/>
                <w:szCs w:val="20"/>
                <w:color w:val="auto"/>
              </w:rPr>
            </w:pPr>
          </w:p>
        </w:tc>
        <w:tc>
          <w:tcPr>
            <w:tcW w:w="9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2"/>
              </w:rPr>
              <w:t>5,193,039</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4"/>
              </w:rPr>
              <w:t>6.78% (1)</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OO</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hanging="424"/>
        <w:spacing w:after="0"/>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upon 76,635,141 shares of Common Stock outstanding as of November 9, 2021, as disclosed in the Form 10-Q.</w:t>
      </w:r>
    </w:p>
    <w:p>
      <w:pPr>
        <w:sectPr>
          <w:pgSz w:w="11900" w:h="16838" w:orient="portrait"/>
          <w:cols w:equalWidth="0" w:num="1">
            <w:col w:w="11024"/>
          </w:cols>
          <w:pgMar w:left="436" w:top="274" w:right="439" w:bottom="1440" w:gutter="0" w:footer="0" w:header="0"/>
        </w:sectPr>
      </w:pPr>
    </w:p>
    <w:bookmarkStart w:id="4" w:name="page5"/>
    <w:bookmarkEnd w:id="4"/>
    <w:tbl>
      <w:tblPr>
        <w:tblLayout w:type="fixed"/>
        <w:tblInd w:w="14" w:type="dxa"/>
        <w:tblCellMar>
          <w:top w:w="0" w:type="dxa"/>
          <w:left w:w="0" w:type="dxa"/>
          <w:bottom w:w="0" w:type="dxa"/>
          <w:right w:w="0" w:type="dxa"/>
        </w:tblCellMar>
      </w:tblPr>
      <w:tr>
        <w:trPr>
          <w:trHeight w:val="230"/>
        </w:trPr>
        <w:tc>
          <w:tcPr>
            <w:tcW w:w="1720" w:type="dxa"/>
            <w:vAlign w:val="bottom"/>
            <w:gridSpan w:val="5"/>
          </w:tcPr>
          <w:p>
            <w:pPr>
              <w:jc w:val="center"/>
              <w:spacing w:after="0"/>
              <w:rPr>
                <w:sz w:val="20"/>
                <w:szCs w:val="20"/>
                <w:color w:val="auto"/>
              </w:rPr>
            </w:pPr>
            <w:r>
              <w:rPr>
                <w:rFonts w:ascii="Arial" w:cs="Arial" w:eastAsia="Arial" w:hAnsi="Arial"/>
                <w:sz w:val="18"/>
                <w:szCs w:val="18"/>
                <w:color w:val="auto"/>
                <w:w w:val="91"/>
              </w:rPr>
              <w:t>CUSIP No. 74275G107</w:t>
            </w:r>
          </w:p>
        </w:tc>
        <w:tc>
          <w:tcPr>
            <w:tcW w:w="120" w:type="dxa"/>
            <w:vAlign w:val="bottom"/>
          </w:tcPr>
          <w:p>
            <w:pPr>
              <w:spacing w:after="0"/>
              <w:rPr>
                <w:sz w:val="20"/>
                <w:szCs w:val="20"/>
                <w:color w:val="auto"/>
              </w:rPr>
            </w:pPr>
          </w:p>
        </w:tc>
        <w:tc>
          <w:tcPr>
            <w:tcW w:w="9180" w:type="dxa"/>
            <w:vAlign w:val="bottom"/>
            <w:gridSpan w:val="2"/>
          </w:tcPr>
          <w:p>
            <w:pPr>
              <w:ind w:left="7800"/>
              <w:spacing w:after="0"/>
              <w:rPr>
                <w:sz w:val="20"/>
                <w:szCs w:val="20"/>
                <w:color w:val="auto"/>
              </w:rPr>
            </w:pPr>
            <w:r>
              <w:rPr>
                <w:rFonts w:ascii="Arial" w:cs="Arial" w:eastAsia="Arial" w:hAnsi="Arial"/>
                <w:sz w:val="18"/>
                <w:szCs w:val="18"/>
                <w:color w:val="auto"/>
                <w:w w:val="85"/>
              </w:rPr>
              <w:t>Page 5 of 13 Pages</w:t>
            </w:r>
          </w:p>
        </w:tc>
        <w:tc>
          <w:tcPr>
            <w:tcW w:w="0" w:type="dxa"/>
            <w:vAlign w:val="bottom"/>
          </w:tcPr>
          <w:p>
            <w:pPr>
              <w:spacing w:after="0"/>
              <w:rPr>
                <w:sz w:val="1"/>
                <w:szCs w:val="1"/>
                <w:color w:val="auto"/>
              </w:rPr>
            </w:pPr>
          </w:p>
        </w:tc>
      </w:tr>
      <w:tr>
        <w:trPr>
          <w:trHeight w:val="324"/>
        </w:trPr>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180" w:type="dxa"/>
            <w:vAlign w:val="bottom"/>
            <w:gridSpan w:val="2"/>
          </w:tcPr>
          <w:p>
            <w:pPr>
              <w:ind w:left="3020"/>
              <w:spacing w:after="0"/>
              <w:rPr>
                <w:sz w:val="20"/>
                <w:szCs w:val="20"/>
                <w:color w:val="auto"/>
              </w:rPr>
            </w:pPr>
            <w:r>
              <w:rPr>
                <w:rFonts w:ascii="Arial" w:cs="Arial" w:eastAsia="Arial" w:hAnsi="Arial"/>
                <w:sz w:val="18"/>
                <w:szCs w:val="18"/>
                <w:color w:val="auto"/>
              </w:rPr>
              <w:t>SCHEDULE 13G</w:t>
            </w:r>
          </w:p>
        </w:tc>
        <w:tc>
          <w:tcPr>
            <w:tcW w:w="0" w:type="dxa"/>
            <w:vAlign w:val="bottom"/>
          </w:tcPr>
          <w:p>
            <w:pPr>
              <w:spacing w:after="0"/>
              <w:rPr>
                <w:sz w:val="1"/>
                <w:szCs w:val="1"/>
                <w:color w:val="auto"/>
              </w:rPr>
            </w:pPr>
          </w:p>
        </w:tc>
      </w:tr>
      <w:tr>
        <w:trPr>
          <w:trHeight w:val="148"/>
        </w:trPr>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spacing w:after="0"/>
              <w:rPr>
                <w:sz w:val="12"/>
                <w:szCs w:val="12"/>
                <w:color w:val="auto"/>
              </w:rPr>
            </w:pPr>
          </w:p>
        </w:tc>
        <w:tc>
          <w:tcPr>
            <w:tcW w:w="320" w:type="dxa"/>
            <w:vAlign w:val="bottom"/>
            <w:tcBorders>
              <w:bottom w:val="single" w:sz="8" w:color="auto"/>
            </w:tcBorders>
            <w:gridSpan w:val="2"/>
          </w:tcPr>
          <w:p>
            <w:pPr>
              <w:spacing w:after="0"/>
              <w:rPr>
                <w:sz w:val="12"/>
                <w:szCs w:val="12"/>
                <w:color w:val="auto"/>
              </w:rPr>
            </w:pPr>
          </w:p>
        </w:tc>
        <w:tc>
          <w:tcPr>
            <w:tcW w:w="9080" w:type="dxa"/>
            <w:vAlign w:val="bottom"/>
            <w:tcBorders>
              <w:bottom w:val="single" w:sz="8" w:color="auto"/>
            </w:tcBorders>
          </w:tcPr>
          <w:p>
            <w:pPr>
              <w:spacing w:after="0"/>
              <w:rPr>
                <w:sz w:val="12"/>
                <w:szCs w:val="12"/>
                <w:color w:val="auto"/>
              </w:rPr>
            </w:pP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NAME OF REPORTING PERSON</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60"/>
              <w:spacing w:after="0"/>
              <w:rPr>
                <w:sz w:val="20"/>
                <w:szCs w:val="20"/>
                <w:color w:val="auto"/>
              </w:rPr>
            </w:pPr>
            <w:r>
              <w:rPr>
                <w:rFonts w:ascii="Arial" w:cs="Arial" w:eastAsia="Arial" w:hAnsi="Arial"/>
                <w:sz w:val="18"/>
                <w:szCs w:val="18"/>
                <w:color w:val="auto"/>
              </w:rPr>
              <w:t>Trident Capital VII, L.P.</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9200" w:type="dxa"/>
            <w:vAlign w:val="bottom"/>
            <w:tcBorders>
              <w:right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10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SEC USE ONLY</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9080" w:type="dxa"/>
            <w:vAlign w:val="bottom"/>
            <w:tcBorders>
              <w:bottom w:val="single" w:sz="8" w:color="auto"/>
              <w:right w:val="single" w:sz="8" w:color="auto"/>
            </w:tcBorders>
          </w:tcPr>
          <w:p>
            <w:pPr>
              <w:spacing w:after="0"/>
              <w:rPr>
                <w:sz w:val="21"/>
                <w:szCs w:val="21"/>
                <w:color w:val="auto"/>
              </w:rPr>
            </w:pPr>
          </w:p>
        </w:tc>
        <w:tc>
          <w:tcPr>
            <w:tcW w:w="10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Cayman Islands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380" w:type="dxa"/>
            <w:vAlign w:val="bottom"/>
            <w:tcBorders>
              <w:left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8"/>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4"/>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5,193,039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080" w:type="dxa"/>
            <w:vAlign w:val="bottom"/>
            <w:tcBorders>
              <w:bottom w:val="single" w:sz="8" w:color="auto"/>
              <w:right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82" w:lineRule="exact"/>
              <w:rPr>
                <w:sz w:val="20"/>
                <w:szCs w:val="20"/>
                <w:color w:val="auto"/>
              </w:rPr>
            </w:pPr>
            <w:r>
              <w:rPr>
                <w:rFonts w:ascii="Arial" w:cs="Arial" w:eastAsia="Arial" w:hAnsi="Arial"/>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908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2"/>
              </w:rPr>
              <w:t>PERSON</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ind w:left="160"/>
              <w:spacing w:after="0"/>
              <w:rPr>
                <w:sz w:val="20"/>
                <w:szCs w:val="20"/>
                <w:color w:val="auto"/>
              </w:rPr>
            </w:pPr>
            <w:r>
              <w:rPr>
                <w:rFonts w:ascii="Arial" w:cs="Arial" w:eastAsia="Arial" w:hAnsi="Arial"/>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08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08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5,193,039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w w:val="77"/>
              </w:rPr>
              <w:t>AGGREGATE</w:t>
            </w:r>
          </w:p>
        </w:tc>
        <w:tc>
          <w:tcPr>
            <w:tcW w:w="320" w:type="dxa"/>
            <w:vAlign w:val="bottom"/>
            <w:gridSpan w:val="2"/>
          </w:tcPr>
          <w:p>
            <w:pPr>
              <w:spacing w:after="0"/>
              <w:rPr>
                <w:sz w:val="20"/>
                <w:szCs w:val="20"/>
                <w:color w:val="auto"/>
              </w:rPr>
            </w:pPr>
          </w:p>
        </w:tc>
        <w:tc>
          <w:tcPr>
            <w:tcW w:w="9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2"/>
              </w:rPr>
              <w:t>5,193,039</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4"/>
              </w:rPr>
              <w:t>6.78% (1)</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PN</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hanging="424"/>
        <w:spacing w:after="0"/>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upon 76,635,141 shares of Common Stock outstanding as of November 9, 2021, as disclosed in the Form 10-Q.</w:t>
      </w:r>
    </w:p>
    <w:p>
      <w:pPr>
        <w:sectPr>
          <w:pgSz w:w="11900" w:h="16838" w:orient="portrait"/>
          <w:cols w:equalWidth="0" w:num="1">
            <w:col w:w="11024"/>
          </w:cols>
          <w:pgMar w:left="436" w:top="274" w:right="439" w:bottom="1440" w:gutter="0" w:footer="0" w:header="0"/>
        </w:sectPr>
      </w:pPr>
    </w:p>
    <w:bookmarkStart w:id="5" w:name="page6"/>
    <w:bookmarkEnd w:id="5"/>
    <w:tbl>
      <w:tblPr>
        <w:tblLayout w:type="fixed"/>
        <w:tblInd w:w="14" w:type="dxa"/>
        <w:tblCellMar>
          <w:top w:w="0" w:type="dxa"/>
          <w:left w:w="0" w:type="dxa"/>
          <w:bottom w:w="0" w:type="dxa"/>
          <w:right w:w="0" w:type="dxa"/>
        </w:tblCellMar>
      </w:tblPr>
      <w:tr>
        <w:trPr>
          <w:trHeight w:val="230"/>
        </w:trPr>
        <w:tc>
          <w:tcPr>
            <w:tcW w:w="1720" w:type="dxa"/>
            <w:vAlign w:val="bottom"/>
            <w:gridSpan w:val="5"/>
          </w:tcPr>
          <w:p>
            <w:pPr>
              <w:jc w:val="center"/>
              <w:spacing w:after="0"/>
              <w:rPr>
                <w:sz w:val="20"/>
                <w:szCs w:val="20"/>
                <w:color w:val="auto"/>
              </w:rPr>
            </w:pPr>
            <w:r>
              <w:rPr>
                <w:rFonts w:ascii="Arial" w:cs="Arial" w:eastAsia="Arial" w:hAnsi="Arial"/>
                <w:sz w:val="18"/>
                <w:szCs w:val="18"/>
                <w:color w:val="auto"/>
                <w:w w:val="91"/>
              </w:rPr>
              <w:t>CUSIP No. 74275G107</w:t>
            </w:r>
          </w:p>
        </w:tc>
        <w:tc>
          <w:tcPr>
            <w:tcW w:w="120" w:type="dxa"/>
            <w:vAlign w:val="bottom"/>
          </w:tcPr>
          <w:p>
            <w:pPr>
              <w:spacing w:after="0"/>
              <w:rPr>
                <w:sz w:val="20"/>
                <w:szCs w:val="20"/>
                <w:color w:val="auto"/>
              </w:rPr>
            </w:pPr>
          </w:p>
        </w:tc>
        <w:tc>
          <w:tcPr>
            <w:tcW w:w="9180" w:type="dxa"/>
            <w:vAlign w:val="bottom"/>
            <w:gridSpan w:val="2"/>
          </w:tcPr>
          <w:p>
            <w:pPr>
              <w:ind w:left="7800"/>
              <w:spacing w:after="0"/>
              <w:rPr>
                <w:sz w:val="20"/>
                <w:szCs w:val="20"/>
                <w:color w:val="auto"/>
              </w:rPr>
            </w:pPr>
            <w:r>
              <w:rPr>
                <w:rFonts w:ascii="Arial" w:cs="Arial" w:eastAsia="Arial" w:hAnsi="Arial"/>
                <w:sz w:val="18"/>
                <w:szCs w:val="18"/>
                <w:color w:val="auto"/>
                <w:w w:val="85"/>
              </w:rPr>
              <w:t>Page 6 of 13 Pages</w:t>
            </w:r>
          </w:p>
        </w:tc>
        <w:tc>
          <w:tcPr>
            <w:tcW w:w="0" w:type="dxa"/>
            <w:vAlign w:val="bottom"/>
          </w:tcPr>
          <w:p>
            <w:pPr>
              <w:spacing w:after="0"/>
              <w:rPr>
                <w:sz w:val="1"/>
                <w:szCs w:val="1"/>
                <w:color w:val="auto"/>
              </w:rPr>
            </w:pPr>
          </w:p>
        </w:tc>
      </w:tr>
      <w:tr>
        <w:trPr>
          <w:trHeight w:val="324"/>
        </w:trPr>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180" w:type="dxa"/>
            <w:vAlign w:val="bottom"/>
            <w:gridSpan w:val="2"/>
          </w:tcPr>
          <w:p>
            <w:pPr>
              <w:ind w:left="3020"/>
              <w:spacing w:after="0"/>
              <w:rPr>
                <w:sz w:val="20"/>
                <w:szCs w:val="20"/>
                <w:color w:val="auto"/>
              </w:rPr>
            </w:pPr>
            <w:r>
              <w:rPr>
                <w:rFonts w:ascii="Arial" w:cs="Arial" w:eastAsia="Arial" w:hAnsi="Arial"/>
                <w:sz w:val="18"/>
                <w:szCs w:val="18"/>
                <w:color w:val="auto"/>
              </w:rPr>
              <w:t>SCHEDULE 13G</w:t>
            </w:r>
          </w:p>
        </w:tc>
        <w:tc>
          <w:tcPr>
            <w:tcW w:w="0" w:type="dxa"/>
            <w:vAlign w:val="bottom"/>
          </w:tcPr>
          <w:p>
            <w:pPr>
              <w:spacing w:after="0"/>
              <w:rPr>
                <w:sz w:val="1"/>
                <w:szCs w:val="1"/>
                <w:color w:val="auto"/>
              </w:rPr>
            </w:pPr>
          </w:p>
        </w:tc>
      </w:tr>
      <w:tr>
        <w:trPr>
          <w:trHeight w:val="148"/>
        </w:trPr>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spacing w:after="0"/>
              <w:rPr>
                <w:sz w:val="12"/>
                <w:szCs w:val="12"/>
                <w:color w:val="auto"/>
              </w:rPr>
            </w:pPr>
          </w:p>
        </w:tc>
        <w:tc>
          <w:tcPr>
            <w:tcW w:w="320" w:type="dxa"/>
            <w:vAlign w:val="bottom"/>
            <w:tcBorders>
              <w:bottom w:val="single" w:sz="8" w:color="auto"/>
            </w:tcBorders>
            <w:gridSpan w:val="2"/>
          </w:tcPr>
          <w:p>
            <w:pPr>
              <w:spacing w:after="0"/>
              <w:rPr>
                <w:sz w:val="12"/>
                <w:szCs w:val="12"/>
                <w:color w:val="auto"/>
              </w:rPr>
            </w:pPr>
          </w:p>
        </w:tc>
        <w:tc>
          <w:tcPr>
            <w:tcW w:w="9080" w:type="dxa"/>
            <w:vAlign w:val="bottom"/>
            <w:tcBorders>
              <w:bottom w:val="single" w:sz="8" w:color="auto"/>
            </w:tcBorders>
          </w:tcPr>
          <w:p>
            <w:pPr>
              <w:spacing w:after="0"/>
              <w:rPr>
                <w:sz w:val="12"/>
                <w:szCs w:val="12"/>
                <w:color w:val="auto"/>
              </w:rPr>
            </w:pP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NAME OF REPORTING PERSON</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Stone Point Capital LLC</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(b)</w:t>
            </w:r>
          </w:p>
        </w:tc>
        <w:tc>
          <w:tcPr>
            <w:tcW w:w="9200" w:type="dxa"/>
            <w:vAlign w:val="bottom"/>
            <w:tcBorders>
              <w:right w:val="single" w:sz="8" w:color="auto"/>
            </w:tcBorders>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4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10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SEC USE ONLY</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4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9080" w:type="dxa"/>
            <w:vAlign w:val="bottom"/>
            <w:tcBorders>
              <w:bottom w:val="single" w:sz="8" w:color="auto"/>
              <w:right w:val="single" w:sz="8" w:color="auto"/>
            </w:tcBorders>
          </w:tcPr>
          <w:p>
            <w:pPr>
              <w:spacing w:after="0"/>
              <w:rPr>
                <w:sz w:val="21"/>
                <w:szCs w:val="21"/>
                <w:color w:val="auto"/>
              </w:rPr>
            </w:pPr>
          </w:p>
        </w:tc>
        <w:tc>
          <w:tcPr>
            <w:tcW w:w="10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7"/>
              </w:rPr>
              <w:t>Delaware</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1380" w:type="dxa"/>
            <w:vAlign w:val="bottom"/>
            <w:tcBorders>
              <w:left w:val="single" w:sz="8" w:color="auto"/>
            </w:tcBorders>
            <w:gridSpan w:val="3"/>
          </w:tcPr>
          <w:p>
            <w:pPr>
              <w:jc w:val="center"/>
              <w:ind w:left="190"/>
              <w:spacing w:after="0"/>
              <w:rPr>
                <w:sz w:val="20"/>
                <w:szCs w:val="20"/>
                <w:color w:val="auto"/>
              </w:rPr>
            </w:pPr>
            <w:r>
              <w:rPr>
                <w:rFonts w:ascii="Arial" w:cs="Arial" w:eastAsia="Arial" w:hAnsi="Arial"/>
                <w:sz w:val="18"/>
                <w:szCs w:val="18"/>
                <w:color w:val="auto"/>
                <w:w w:val="98"/>
              </w:rPr>
              <w:t>NUMBER OF</w:t>
            </w:r>
          </w:p>
        </w:tc>
        <w:tc>
          <w:tcPr>
            <w:tcW w:w="14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4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4"/>
              </w:rPr>
              <w:t>SHARES</w:t>
            </w:r>
          </w:p>
        </w:tc>
        <w:tc>
          <w:tcPr>
            <w:tcW w:w="140" w:type="dxa"/>
            <w:vAlign w:val="bottom"/>
            <w:tcBorders>
              <w:right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9"/>
              </w:rPr>
              <w:t>BENEFICIALLY</w:t>
            </w: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5,193,039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040" w:type="dxa"/>
            <w:vAlign w:val="bottom"/>
            <w:gridSpan w:val="2"/>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080" w:type="dxa"/>
            <w:vAlign w:val="bottom"/>
            <w:tcBorders>
              <w:bottom w:val="single" w:sz="8" w:color="auto"/>
              <w:right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4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140"/>
              <w:spacing w:after="0" w:line="182" w:lineRule="exact"/>
              <w:rPr>
                <w:sz w:val="20"/>
                <w:szCs w:val="20"/>
                <w:color w:val="auto"/>
              </w:rPr>
            </w:pPr>
            <w:r>
              <w:rPr>
                <w:rFonts w:ascii="Arial" w:cs="Arial" w:eastAsia="Arial" w:hAnsi="Arial"/>
                <w:sz w:val="18"/>
                <w:szCs w:val="18"/>
                <w:color w:val="auto"/>
              </w:rPr>
              <w:t>EACH</w:t>
            </w:r>
          </w:p>
        </w:tc>
        <w:tc>
          <w:tcPr>
            <w:tcW w:w="140" w:type="dxa"/>
            <w:vAlign w:val="bottom"/>
            <w:tcBorders>
              <w:right w:val="single" w:sz="8" w:color="auto"/>
            </w:tcBorders>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908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80" w:type="dxa"/>
            <w:vAlign w:val="bottom"/>
            <w:tcBorders>
              <w:left w:val="single" w:sz="8" w:color="auto"/>
            </w:tcBorders>
            <w:gridSpan w:val="3"/>
          </w:tcPr>
          <w:p>
            <w:pPr>
              <w:jc w:val="center"/>
              <w:ind w:left="210"/>
              <w:spacing w:after="0"/>
              <w:rPr>
                <w:sz w:val="20"/>
                <w:szCs w:val="20"/>
                <w:color w:val="auto"/>
              </w:rPr>
            </w:pPr>
            <w:r>
              <w:rPr>
                <w:rFonts w:ascii="Arial" w:cs="Arial" w:eastAsia="Arial" w:hAnsi="Arial"/>
                <w:sz w:val="18"/>
                <w:szCs w:val="18"/>
                <w:color w:val="auto"/>
                <w:w w:val="93"/>
              </w:rPr>
              <w:t>REPORTING</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color w:val="auto"/>
                <w:w w:val="92"/>
              </w:rPr>
              <w:t>PERSON</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34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restart"/>
          </w:tcPr>
          <w:p>
            <w:pPr>
              <w:ind w:left="160"/>
              <w:spacing w:after="0"/>
              <w:rPr>
                <w:sz w:val="20"/>
                <w:szCs w:val="20"/>
                <w:color w:val="auto"/>
              </w:rPr>
            </w:pPr>
            <w:r>
              <w:rPr>
                <w:rFonts w:ascii="Arial" w:cs="Arial" w:eastAsia="Arial" w:hAnsi="Arial"/>
                <w:sz w:val="18"/>
                <w:szCs w:val="18"/>
                <w:color w:val="auto"/>
              </w:rPr>
              <w:t>WITH</w:t>
            </w:r>
          </w:p>
        </w:tc>
        <w:tc>
          <w:tcPr>
            <w:tcW w:w="140" w:type="dxa"/>
            <w:vAlign w:val="bottom"/>
            <w:tcBorders>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908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2"/>
                <w:szCs w:val="12"/>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908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w w:val="77"/>
              </w:rPr>
              <w:t>AGGREGATE</w:t>
            </w:r>
          </w:p>
        </w:tc>
        <w:tc>
          <w:tcPr>
            <w:tcW w:w="320" w:type="dxa"/>
            <w:vAlign w:val="bottom"/>
            <w:gridSpan w:val="2"/>
          </w:tcPr>
          <w:p>
            <w:pPr>
              <w:spacing w:after="0"/>
              <w:rPr>
                <w:sz w:val="20"/>
                <w:szCs w:val="20"/>
                <w:color w:val="auto"/>
              </w:rPr>
            </w:pPr>
          </w:p>
        </w:tc>
        <w:tc>
          <w:tcPr>
            <w:tcW w:w="9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2"/>
              </w:rPr>
              <w:t>5,193,039</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48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4"/>
              </w:rPr>
              <w:t>6.78% (1)</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34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OO</w:t>
            </w: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hanging="424"/>
        <w:spacing w:after="0"/>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upon 76,635,141 shares of Common Stock outstanding as of November 9, 2021, as disclosed in the Form 10-Q.</w:t>
      </w:r>
    </w:p>
    <w:p>
      <w:pPr>
        <w:sectPr>
          <w:pgSz w:w="11900" w:h="16838" w:orient="portrait"/>
          <w:cols w:equalWidth="0" w:num="1">
            <w:col w:w="11024"/>
          </w:cols>
          <w:pgMar w:left="436" w:top="274" w:right="439" w:bottom="1440" w:gutter="0" w:footer="0" w:header="0"/>
        </w:sectPr>
      </w:pPr>
    </w:p>
    <w:bookmarkStart w:id="6" w:name="page7"/>
    <w:bookmarkEnd w:id="6"/>
    <w:p>
      <w:pPr>
        <w:spacing w:after="0"/>
        <w:tabs>
          <w:tab w:leader="none" w:pos="96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74275G107</w:t>
      </w:r>
      <w:r>
        <w:rPr>
          <w:sz w:val="20"/>
          <w:szCs w:val="20"/>
          <w:color w:val="auto"/>
        </w:rPr>
        <w:tab/>
      </w:r>
      <w:r>
        <w:rPr>
          <w:rFonts w:ascii="Arial" w:cs="Arial" w:eastAsia="Arial" w:hAnsi="Arial"/>
          <w:sz w:val="15"/>
          <w:szCs w:val="15"/>
          <w:color w:val="auto"/>
        </w:rPr>
        <w:t>Page 7 of 13 Pages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13G</w:t>
      </w:r>
    </w:p>
    <w:p>
      <w:pPr>
        <w:spacing w:after="0" w:line="154"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color w:val="auto"/>
        </w:rPr>
        <w:t>(a) Name of Issuer:</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Priority Technology Holdings, Inc.</w:t>
      </w:r>
    </w:p>
    <w:p>
      <w:pPr>
        <w:spacing w:after="0" w:line="131" w:lineRule="exact"/>
        <w:rPr>
          <w:sz w:val="20"/>
          <w:szCs w:val="20"/>
          <w:color w:val="auto"/>
        </w:rPr>
      </w:pPr>
    </w:p>
    <w:p>
      <w:pPr>
        <w:ind w:left="1520" w:hanging="431"/>
        <w:spacing w:after="0"/>
        <w:tabs>
          <w:tab w:leader="none" w:pos="1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333"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2001 Westside Parkway, Suite 155, Alpharetta, GA 30004</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color w:val="auto"/>
        </w:rPr>
        <w:t>(a) Name of Person Filing:</w:t>
      </w:r>
    </w:p>
    <w:p>
      <w:pPr>
        <w:spacing w:after="0" w:line="121" w:lineRule="exact"/>
        <w:rPr>
          <w:sz w:val="20"/>
          <w:szCs w:val="20"/>
          <w:color w:val="auto"/>
        </w:rPr>
      </w:pPr>
    </w:p>
    <w:p>
      <w:pPr>
        <w:ind w:left="1100" w:right="680"/>
        <w:spacing w:after="0" w:line="277" w:lineRule="auto"/>
        <w:rPr>
          <w:sz w:val="20"/>
          <w:szCs w:val="20"/>
          <w:color w:val="auto"/>
        </w:rPr>
      </w:pPr>
      <w:r>
        <w:rPr>
          <w:rFonts w:ascii="Arial" w:cs="Arial" w:eastAsia="Arial" w:hAnsi="Arial"/>
          <w:sz w:val="18"/>
          <w:szCs w:val="18"/>
          <w:color w:val="auto"/>
        </w:rPr>
        <w:t>This statement is being filed jointly on behalf of each of the following persons (each, a “Reporting Person” and, collectively, the “Reporting Persons”):</w:t>
      </w:r>
    </w:p>
    <w:p>
      <w:pPr>
        <w:spacing w:after="0" w:line="76" w:lineRule="exact"/>
        <w:rPr>
          <w:sz w:val="20"/>
          <w:szCs w:val="20"/>
          <w:color w:val="auto"/>
        </w:rPr>
      </w:pPr>
    </w:p>
    <w:p>
      <w:pPr>
        <w:ind w:left="2180" w:hanging="537"/>
        <w:spacing w:after="0"/>
        <w:tabs>
          <w:tab w:leader="none" w:pos="2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Trident Finxera Holdings LP (“Holdings LP”)</w:t>
      </w:r>
    </w:p>
    <w:p>
      <w:pPr>
        <w:spacing w:after="0" w:line="130" w:lineRule="exact"/>
        <w:rPr>
          <w:rFonts w:ascii="Arial" w:cs="Arial" w:eastAsia="Arial" w:hAnsi="Arial"/>
          <w:sz w:val="18"/>
          <w:szCs w:val="18"/>
          <w:color w:val="auto"/>
        </w:rPr>
      </w:pPr>
    </w:p>
    <w:p>
      <w:pPr>
        <w:ind w:left="2180" w:hanging="537"/>
        <w:spacing w:after="0"/>
        <w:tabs>
          <w:tab w:leader="none" w:pos="2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Trident Finxera Holdings GP LLC (“Holdings GP LLC”)</w:t>
      </w:r>
    </w:p>
    <w:p>
      <w:pPr>
        <w:spacing w:after="0" w:line="130" w:lineRule="exact"/>
        <w:rPr>
          <w:rFonts w:ascii="Arial" w:cs="Arial" w:eastAsia="Arial" w:hAnsi="Arial"/>
          <w:sz w:val="18"/>
          <w:szCs w:val="18"/>
          <w:color w:val="auto"/>
        </w:rPr>
      </w:pPr>
    </w:p>
    <w:p>
      <w:pPr>
        <w:ind w:left="2180" w:hanging="537"/>
        <w:spacing w:after="0"/>
        <w:tabs>
          <w:tab w:leader="none" w:pos="2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Trident VII, L.P. (“Trident VII”)</w:t>
      </w:r>
    </w:p>
    <w:p>
      <w:pPr>
        <w:spacing w:after="0" w:line="130" w:lineRule="exact"/>
        <w:rPr>
          <w:rFonts w:ascii="Arial" w:cs="Arial" w:eastAsia="Arial" w:hAnsi="Arial"/>
          <w:sz w:val="18"/>
          <w:szCs w:val="18"/>
          <w:color w:val="auto"/>
        </w:rPr>
      </w:pPr>
    </w:p>
    <w:p>
      <w:pPr>
        <w:ind w:left="2180" w:hanging="537"/>
        <w:spacing w:after="0"/>
        <w:tabs>
          <w:tab w:leader="none" w:pos="2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Trident Capital VII, L.P. (“Trident VII GP”)</w:t>
      </w:r>
    </w:p>
    <w:p>
      <w:pPr>
        <w:spacing w:after="0" w:line="130" w:lineRule="exact"/>
        <w:rPr>
          <w:rFonts w:ascii="Arial" w:cs="Arial" w:eastAsia="Arial" w:hAnsi="Arial"/>
          <w:sz w:val="18"/>
          <w:szCs w:val="18"/>
          <w:color w:val="auto"/>
        </w:rPr>
      </w:pPr>
    </w:p>
    <w:p>
      <w:pPr>
        <w:ind w:left="2180" w:hanging="537"/>
        <w:spacing w:after="0"/>
        <w:tabs>
          <w:tab w:leader="none" w:pos="2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Stone Point Capital LLC (“Stone Point Capital”)</w:t>
      </w:r>
    </w:p>
    <w:p>
      <w:pPr>
        <w:spacing w:after="0" w:line="131" w:lineRule="exact"/>
        <w:rPr>
          <w:sz w:val="20"/>
          <w:szCs w:val="20"/>
          <w:color w:val="auto"/>
        </w:rPr>
      </w:pPr>
    </w:p>
    <w:p>
      <w:pPr>
        <w:ind w:left="1520" w:hanging="431"/>
        <w:spacing w:after="0"/>
        <w:tabs>
          <w:tab w:leader="none" w:pos="1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The principal address of each of the Reporting Persons is c/o Stone Point Capital LLC, 20 Horseneck Lane, Greenwich, CT 06830.</w:t>
      </w:r>
    </w:p>
    <w:p>
      <w:pPr>
        <w:spacing w:after="0" w:line="142" w:lineRule="exact"/>
        <w:rPr>
          <w:sz w:val="20"/>
          <w:szCs w:val="20"/>
          <w:color w:val="auto"/>
        </w:rPr>
      </w:pPr>
    </w:p>
    <w:p>
      <w:pPr>
        <w:ind w:left="1520" w:hanging="431"/>
        <w:spacing w:after="0"/>
        <w:tabs>
          <w:tab w:leader="none" w:pos="1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130" w:lineRule="exact"/>
        <w:rPr>
          <w:rFonts w:ascii="Arial" w:cs="Arial" w:eastAsia="Arial" w:hAnsi="Arial"/>
          <w:sz w:val="18"/>
          <w:szCs w:val="18"/>
          <w:color w:val="auto"/>
        </w:rPr>
      </w:pPr>
    </w:p>
    <w:p>
      <w:pPr>
        <w:ind w:left="2180" w:hanging="537"/>
        <w:spacing w:after="0"/>
        <w:tabs>
          <w:tab w:leader="none" w:pos="21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Holdings LP – Delaware</w:t>
      </w:r>
    </w:p>
    <w:p>
      <w:pPr>
        <w:spacing w:after="0" w:line="130" w:lineRule="exact"/>
        <w:rPr>
          <w:rFonts w:ascii="Arial" w:cs="Arial" w:eastAsia="Arial" w:hAnsi="Arial"/>
          <w:sz w:val="18"/>
          <w:szCs w:val="18"/>
          <w:color w:val="auto"/>
        </w:rPr>
      </w:pPr>
    </w:p>
    <w:p>
      <w:pPr>
        <w:ind w:left="2180" w:hanging="537"/>
        <w:spacing w:after="0"/>
        <w:tabs>
          <w:tab w:leader="none" w:pos="21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Holdings GP LLC – Delaware</w:t>
      </w:r>
    </w:p>
    <w:p>
      <w:pPr>
        <w:spacing w:after="0" w:line="130" w:lineRule="exact"/>
        <w:rPr>
          <w:rFonts w:ascii="Arial" w:cs="Arial" w:eastAsia="Arial" w:hAnsi="Arial"/>
          <w:sz w:val="18"/>
          <w:szCs w:val="18"/>
          <w:color w:val="auto"/>
        </w:rPr>
      </w:pPr>
    </w:p>
    <w:p>
      <w:pPr>
        <w:ind w:left="2180" w:hanging="537"/>
        <w:spacing w:after="0"/>
        <w:tabs>
          <w:tab w:leader="none" w:pos="21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Trident VII – Cayman Islands</w:t>
      </w:r>
    </w:p>
    <w:p>
      <w:pPr>
        <w:spacing w:after="0" w:line="130" w:lineRule="exact"/>
        <w:rPr>
          <w:rFonts w:ascii="Arial" w:cs="Arial" w:eastAsia="Arial" w:hAnsi="Arial"/>
          <w:sz w:val="18"/>
          <w:szCs w:val="18"/>
          <w:color w:val="auto"/>
        </w:rPr>
      </w:pPr>
    </w:p>
    <w:p>
      <w:pPr>
        <w:ind w:left="2180" w:hanging="537"/>
        <w:spacing w:after="0"/>
        <w:tabs>
          <w:tab w:leader="none" w:pos="21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Trident VII GP – Cayman Islands</w:t>
      </w:r>
    </w:p>
    <w:p>
      <w:pPr>
        <w:spacing w:after="0" w:line="130" w:lineRule="exact"/>
        <w:rPr>
          <w:rFonts w:ascii="Arial" w:cs="Arial" w:eastAsia="Arial" w:hAnsi="Arial"/>
          <w:sz w:val="18"/>
          <w:szCs w:val="18"/>
          <w:color w:val="auto"/>
        </w:rPr>
      </w:pPr>
    </w:p>
    <w:p>
      <w:pPr>
        <w:ind w:left="2180" w:hanging="537"/>
        <w:spacing w:after="0"/>
        <w:tabs>
          <w:tab w:leader="none" w:pos="21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Stone Point Capital – Delaware</w:t>
      </w:r>
    </w:p>
    <w:p>
      <w:pPr>
        <w:spacing w:after="0" w:line="130" w:lineRule="exact"/>
        <w:rPr>
          <w:rFonts w:ascii="Arial" w:cs="Arial" w:eastAsia="Arial" w:hAnsi="Arial"/>
          <w:sz w:val="18"/>
          <w:szCs w:val="18"/>
          <w:color w:val="auto"/>
        </w:rPr>
      </w:pPr>
    </w:p>
    <w:p>
      <w:pPr>
        <w:ind w:left="1520" w:hanging="431"/>
        <w:spacing w:after="0"/>
        <w:tabs>
          <w:tab w:leader="none" w:pos="1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00" w:lineRule="exact"/>
        <w:rPr>
          <w:sz w:val="20"/>
          <w:szCs w:val="20"/>
          <w:color w:val="auto"/>
        </w:rPr>
      </w:pPr>
    </w:p>
    <w:p>
      <w:pPr>
        <w:spacing w:after="0" w:line="255" w:lineRule="exact"/>
        <w:rPr>
          <w:sz w:val="20"/>
          <w:szCs w:val="20"/>
          <w:color w:val="auto"/>
        </w:rPr>
      </w:pPr>
    </w:p>
    <w:p>
      <w:pPr>
        <w:ind w:left="1100" w:right="8300" w:hanging="11"/>
        <w:spacing w:after="0" w:line="440" w:lineRule="auto"/>
        <w:tabs>
          <w:tab w:leader="none" w:pos="1524" w:val="left"/>
        </w:tabs>
        <w:numPr>
          <w:ilvl w:val="0"/>
          <w:numId w:val="13"/>
        </w:numPr>
        <w:rPr>
          <w:rFonts w:ascii="Arial" w:cs="Arial" w:eastAsia="Arial" w:hAnsi="Arial"/>
          <w:sz w:val="17"/>
          <w:szCs w:val="17"/>
          <w:color w:val="auto"/>
        </w:rPr>
      </w:pPr>
      <w:r>
        <w:rPr>
          <w:rFonts w:ascii="Arial" w:cs="Arial" w:eastAsia="Arial" w:hAnsi="Arial"/>
          <w:sz w:val="17"/>
          <w:szCs w:val="17"/>
          <w:color w:val="auto"/>
        </w:rPr>
        <w:t>CUSIP Number: 74275G107</w:t>
      </w:r>
    </w:p>
    <w:p>
      <w:pPr>
        <w:spacing w:after="0" w:line="62" w:lineRule="exact"/>
        <w:rPr>
          <w:sz w:val="20"/>
          <w:szCs w:val="20"/>
          <w:color w:val="auto"/>
        </w:rPr>
      </w:pPr>
    </w:p>
    <w:p>
      <w:pPr>
        <w:ind w:left="1080" w:right="680" w:hanging="1092"/>
        <w:spacing w:after="0" w:line="282" w:lineRule="auto"/>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IF THIS STATEMENT IS FILED PURSUANT TO §240.13D-1(B) OR 240.13D-2(B) OR (C), CHECK WHETHER THE PERSON FILING IS A:</w:t>
      </w:r>
    </w:p>
    <w:p>
      <w:pPr>
        <w:spacing w:after="0" w:line="5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020"/>
          </w:cols>
          <w:pgMar w:left="440" w:top="274" w:right="439" w:bottom="1440" w:gutter="0" w:footer="0" w:header="0"/>
        </w:sectPr>
      </w:pPr>
    </w:p>
    <w:bookmarkStart w:id="7" w:name="page8"/>
    <w:bookmarkEnd w:id="7"/>
    <w:p>
      <w:pPr>
        <w:spacing w:after="0"/>
        <w:tabs>
          <w:tab w:leader="none" w:pos="96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74275G107</w:t>
      </w:r>
      <w:r>
        <w:rPr>
          <w:sz w:val="20"/>
          <w:szCs w:val="20"/>
          <w:color w:val="auto"/>
        </w:rPr>
        <w:tab/>
      </w:r>
      <w:r>
        <w:rPr>
          <w:rFonts w:ascii="Arial" w:cs="Arial" w:eastAsia="Arial" w:hAnsi="Arial"/>
          <w:sz w:val="15"/>
          <w:szCs w:val="15"/>
          <w:color w:val="auto"/>
        </w:rPr>
        <w:t>Page 8 of 13 Pages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13G</w:t>
      </w:r>
    </w:p>
    <w:p>
      <w:pPr>
        <w:spacing w:after="0" w:line="154"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OWNERSHIP.</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The information in items 5 through 9 and item 11 on the cover pages to this Schedule 13G is hereby incorporated by reference.</w:t>
      </w:r>
    </w:p>
    <w:p>
      <w:pPr>
        <w:spacing w:after="0" w:line="129" w:lineRule="exact"/>
        <w:rPr>
          <w:sz w:val="20"/>
          <w:szCs w:val="20"/>
          <w:color w:val="auto"/>
        </w:rPr>
      </w:pPr>
    </w:p>
    <w:p>
      <w:pPr>
        <w:ind w:left="1100" w:right="20"/>
        <w:spacing w:after="0" w:line="255" w:lineRule="auto"/>
        <w:rPr>
          <w:sz w:val="20"/>
          <w:szCs w:val="20"/>
          <w:color w:val="auto"/>
        </w:rPr>
      </w:pPr>
      <w:r>
        <w:rPr>
          <w:rFonts w:ascii="Arial" w:cs="Arial" w:eastAsia="Arial" w:hAnsi="Arial"/>
          <w:sz w:val="18"/>
          <w:szCs w:val="18"/>
          <w:color w:val="auto"/>
        </w:rPr>
        <w:t>Holdings LP directly holds 5,193,039 shares of Common Stock. The shares of Common Stock held directly by Holdings LP may be deemed to be beneficially owned by each of Holdings GP LLC, Trident VII, Trident VII GP and Stone Point Capital because (i) Holdings GP LLC is the general partner of Holdings LP, (ii) Trident VII is the managing member of Holdings GP LLC, (iii) Trident VII GP is the general partner of Trident VII and (iv) Stone Point Capital is the investment manager of Trident VII. Each of the Reporting Persons (other than Holdings LP), and each of their affiliated entities and the officers, members and managers thereof, disclaims beneficial ownership of these securities.</w:t>
      </w:r>
    </w:p>
    <w:p>
      <w:pPr>
        <w:spacing w:after="0" w:line="84" w:lineRule="exact"/>
        <w:rPr>
          <w:sz w:val="20"/>
          <w:szCs w:val="20"/>
          <w:color w:val="auto"/>
        </w:rPr>
      </w:pPr>
    </w:p>
    <w:p>
      <w:pPr>
        <w:jc w:val="both"/>
        <w:ind w:left="1100" w:right="100"/>
        <w:spacing w:after="0" w:line="259" w:lineRule="auto"/>
        <w:rPr>
          <w:sz w:val="20"/>
          <w:szCs w:val="20"/>
          <w:color w:val="auto"/>
        </w:rPr>
      </w:pPr>
      <w:r>
        <w:rPr>
          <w:rFonts w:ascii="Arial" w:cs="Arial" w:eastAsia="Arial" w:hAnsi="Arial"/>
          <w:sz w:val="18"/>
          <w:szCs w:val="18"/>
          <w:color w:val="auto"/>
        </w:rPr>
        <w:t>Pursuant to certain management agreements, Stone Point Capital has received delegated authority by Trident VII GP relating to Trident VII, provided that the delegated discretion to exercise voting rights may not be exercised on behalf of Trident VII without first receiving direction from the Investment Committee of Trident VII GP. The management agreements do not delegate any power with respect to the disposition of Common Stock held by Holdings LP.</w:t>
      </w:r>
    </w:p>
    <w:p>
      <w:pPr>
        <w:spacing w:after="0" w:line="79" w:lineRule="exact"/>
        <w:rPr>
          <w:sz w:val="20"/>
          <w:szCs w:val="20"/>
          <w:color w:val="auto"/>
        </w:rPr>
      </w:pPr>
    </w:p>
    <w:p>
      <w:pPr>
        <w:ind w:left="1100" w:right="80"/>
        <w:spacing w:after="0" w:line="259" w:lineRule="auto"/>
        <w:rPr>
          <w:sz w:val="20"/>
          <w:szCs w:val="20"/>
          <w:color w:val="auto"/>
        </w:rPr>
      </w:pPr>
      <w:r>
        <w:rPr>
          <w:rFonts w:ascii="Arial" w:cs="Arial" w:eastAsia="Arial" w:hAnsi="Arial"/>
          <w:sz w:val="18"/>
          <w:szCs w:val="18"/>
          <w:color w:val="auto"/>
        </w:rPr>
        <w:t>The shares of Common Stock held directly by Holdings LP are held for the benefit of the limited partners of Holdings LP, which consist of Trident VII, Trident VII Parallel Fund, L.P., Trident VII DE Parallel Fund, L.P. and Trident VII Professionals Fund, L.P. Each of these entities and each of their affiliated entities and the officers, members and managers thereof, disclaims beneficial ownership of these securities.</w:t>
      </w:r>
    </w:p>
    <w:p>
      <w:pPr>
        <w:spacing w:after="0" w:line="79" w:lineRule="exact"/>
        <w:rPr>
          <w:sz w:val="20"/>
          <w:szCs w:val="20"/>
          <w:color w:val="auto"/>
        </w:rPr>
      </w:pPr>
    </w:p>
    <w:p>
      <w:pPr>
        <w:ind w:left="1100" w:right="400"/>
        <w:spacing w:after="0" w:line="277" w:lineRule="auto"/>
        <w:rPr>
          <w:sz w:val="20"/>
          <w:szCs w:val="20"/>
          <w:color w:val="auto"/>
        </w:rPr>
      </w:pPr>
      <w:r>
        <w:rPr>
          <w:rFonts w:ascii="Arial" w:cs="Arial" w:eastAsia="Arial" w:hAnsi="Arial"/>
          <w:sz w:val="18"/>
          <w:szCs w:val="18"/>
          <w:color w:val="auto"/>
        </w:rPr>
        <w:t>All calculations of percentage ownership herein are based on an aggregate of 76,635,141 shares of Common Stock outstanding as of November 9, 2021, as disclosed in the Form 10-Q.</w:t>
      </w:r>
    </w:p>
    <w:p>
      <w:pPr>
        <w:spacing w:after="0" w:line="31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OWNERSHIP OF FIVE PERCENT OR LESS OF A CLASS.</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OWNERSHIP OF MORE THAN FIVE PERCENT ON BEHALF OF ANOTHER PERSON.</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See Item 4.</w:t>
      </w:r>
    </w:p>
    <w:p>
      <w:pPr>
        <w:spacing w:after="0" w:line="370" w:lineRule="exact"/>
        <w:rPr>
          <w:sz w:val="20"/>
          <w:szCs w:val="20"/>
          <w:color w:val="auto"/>
        </w:rPr>
      </w:pPr>
    </w:p>
    <w:p>
      <w:pPr>
        <w:ind w:left="1080" w:right="760" w:hanging="1092"/>
        <w:spacing w:after="0" w:line="282" w:lineRule="auto"/>
        <w:tabs>
          <w:tab w:leader="none" w:pos="10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5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IDENTIFICATION AND CLASSIFICATION OF MEMBERS OF THE GROUP.</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color w:val="auto"/>
        </w:rPr>
        <w:t>NOTICE OF DISSOLUTION OF GROUP.</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10.CERTIFICATION.</w:t>
      </w:r>
    </w:p>
    <w:p>
      <w:pPr>
        <w:spacing w:after="0" w:line="121" w:lineRule="exact"/>
        <w:rPr>
          <w:sz w:val="20"/>
          <w:szCs w:val="20"/>
          <w:color w:val="auto"/>
        </w:rPr>
      </w:pPr>
    </w:p>
    <w:p>
      <w:pPr>
        <w:ind w:left="1100" w:right="18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Rule 14a-11 of the Exchange Act.</w:t>
      </w:r>
    </w:p>
    <w:p>
      <w:pPr>
        <w:sectPr>
          <w:pgSz w:w="11900" w:h="16838" w:orient="portrait"/>
          <w:cols w:equalWidth="0" w:num="1">
            <w:col w:w="11020"/>
          </w:cols>
          <w:pgMar w:left="440" w:top="274" w:right="439" w:bottom="1440" w:gutter="0" w:footer="0" w:header="0"/>
        </w:sectPr>
      </w:pPr>
    </w:p>
    <w:bookmarkStart w:id="8" w:name="page9"/>
    <w:bookmarkEnd w:id="8"/>
    <w:p>
      <w:pPr>
        <w:spacing w:after="0"/>
        <w:tabs>
          <w:tab w:leader="none" w:pos="96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74275G107</w:t>
      </w:r>
      <w:r>
        <w:rPr>
          <w:sz w:val="20"/>
          <w:szCs w:val="20"/>
          <w:color w:val="auto"/>
        </w:rPr>
        <w:tab/>
      </w:r>
      <w:r>
        <w:rPr>
          <w:rFonts w:ascii="Arial" w:cs="Arial" w:eastAsia="Arial" w:hAnsi="Arial"/>
          <w:sz w:val="15"/>
          <w:szCs w:val="15"/>
          <w:color w:val="auto"/>
        </w:rPr>
        <w:t>Page 9 of 13 Pages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13G</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56"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1.</w:t>
      </w:r>
      <w:r>
        <w:rPr>
          <w:sz w:val="20"/>
          <w:szCs w:val="20"/>
          <w:color w:val="auto"/>
        </w:rPr>
        <w:tab/>
      </w:r>
      <w:r>
        <w:rPr>
          <w:rFonts w:ascii="Arial" w:cs="Arial" w:eastAsia="Arial" w:hAnsi="Arial"/>
          <w:sz w:val="16"/>
          <w:szCs w:val="16"/>
          <w:color w:val="auto"/>
        </w:rPr>
        <w:t>Joint Filing Agreement as required by Rule 13d-1(k)(1) under the Securities Exchange Act of 1934, as amended.</w:t>
      </w:r>
    </w:p>
    <w:p>
      <w:pPr>
        <w:sectPr>
          <w:pgSz w:w="11900" w:h="16838" w:orient="portrait"/>
          <w:cols w:equalWidth="0" w:num="1">
            <w:col w:w="11020"/>
          </w:cols>
          <w:pgMar w:left="440" w:top="274" w:right="439" w:bottom="1440" w:gutter="0" w:footer="0" w:header="0"/>
        </w:sectPr>
      </w:pPr>
    </w:p>
    <w:bookmarkStart w:id="9" w:name="page10"/>
    <w:bookmarkEnd w:id="9"/>
    <w:p>
      <w:pPr>
        <w:spacing w:after="0"/>
        <w:tabs>
          <w:tab w:leader="none" w:pos="9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74275G107</w:t>
      </w:r>
      <w:r>
        <w:rPr>
          <w:sz w:val="20"/>
          <w:szCs w:val="20"/>
          <w:color w:val="auto"/>
        </w:rPr>
        <w:tab/>
      </w:r>
      <w:r>
        <w:rPr>
          <w:rFonts w:ascii="Arial" w:cs="Arial" w:eastAsia="Arial" w:hAnsi="Arial"/>
          <w:sz w:val="15"/>
          <w:szCs w:val="15"/>
          <w:color w:val="auto"/>
        </w:rPr>
        <w:t>Page 10 of 13 Pages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13G</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2022</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TRIDENT VII, L.P.</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Trident Capital VII, L.P., its sole general partner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DW Trident GP, LLC, a 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Jacqueline Giammarco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Jacqueline Giammarco</w:t>
      </w:r>
    </w:p>
    <w:p>
      <w:pPr>
        <w:spacing w:after="0" w:line="23" w:lineRule="exact"/>
        <w:rPr>
          <w:sz w:val="20"/>
          <w:szCs w:val="20"/>
          <w:color w:val="auto"/>
        </w:rPr>
      </w:pPr>
    </w:p>
    <w:p>
      <w:pPr>
        <w:jc w:val="center"/>
        <w:ind w:left="442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TRIDENT CAPITAL VII, L.P.</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DW Trident GP, LLC, a general partner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Jacqueline Giammarco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Jacqueline Giammarco</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TRIDENT FINXERA HOLDINGS GP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Trident VII, L.P., its managing member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Trident Capital VII, L.P., its general partner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DW Trident GP, LLC, a 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Jacqueline Giammarco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Jacqueline Giammarco</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TRIDENT FINXERA HOLDINGS LP</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By: Trident Finxera Holdings GP LLC, its general partner</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Trident VII, L.P., its managing member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Trident Capital VII, L.P., its general partner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DW Trident GP, LLC, a 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Jacqueline Giammarco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Jacqueline Giammarco</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11020"/>
          </w:cols>
          <w:pgMar w:left="440" w:top="274" w:right="439" w:bottom="1440" w:gutter="0" w:footer="0" w:header="0"/>
        </w:sectPr>
      </w:pPr>
    </w:p>
    <w:bookmarkStart w:id="10" w:name="page11"/>
    <w:bookmarkEnd w:id="10"/>
    <w:p>
      <w:pPr>
        <w:spacing w:after="0"/>
        <w:tabs>
          <w:tab w:leader="none" w:pos="9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74275G107</w:t>
      </w:r>
      <w:r>
        <w:rPr>
          <w:sz w:val="20"/>
          <w:szCs w:val="20"/>
          <w:color w:val="auto"/>
        </w:rPr>
        <w:tab/>
      </w:r>
      <w:r>
        <w:rPr>
          <w:rFonts w:ascii="Arial" w:cs="Arial" w:eastAsia="Arial" w:hAnsi="Arial"/>
          <w:sz w:val="15"/>
          <w:szCs w:val="15"/>
          <w:color w:val="auto"/>
        </w:rPr>
        <w:t>Page 11 of 13 Pages</w:t>
      </w:r>
    </w:p>
    <w:p>
      <w:pPr>
        <w:sectPr>
          <w:pgSz w:w="11900" w:h="16838" w:orient="portrait"/>
          <w:cols w:equalWidth="0" w:num="1">
            <w:col w:w="11020"/>
          </w:cols>
          <w:pgMar w:left="440" w:top="274" w:right="439" w:bottom="1440" w:gutter="0" w:footer="0" w:header="0"/>
        </w:sectPr>
      </w:pP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SCHEDULE 13G</w:t>
      </w:r>
    </w:p>
    <w:p>
      <w:pPr>
        <w:spacing w:after="0" w:line="16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STONE POINT CAPITAL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Jacqueline Giammarco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Jacqueline Giammarco</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Title: Managing Director and Chief Compliance Officer</w:t>
      </w:r>
    </w:p>
    <w:p>
      <w:pPr>
        <w:sectPr>
          <w:pgSz w:w="11900" w:h="16838" w:orient="portrait"/>
          <w:cols w:equalWidth="0" w:num="1">
            <w:col w:w="11020"/>
          </w:cols>
          <w:pgMar w:left="440" w:top="274" w:right="439" w:bottom="1440" w:gutter="0" w:footer="0" w:header="0"/>
          <w:type w:val="continuous"/>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JOINT FILING AGREEMENT</w:t>
      </w:r>
    </w:p>
    <w:p>
      <w:pPr>
        <w:spacing w:after="0" w:line="11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PURSUANT TO RULE 13d-1(k)</w:t>
      </w:r>
    </w:p>
    <w:p>
      <w:pPr>
        <w:spacing w:after="0" w:line="229" w:lineRule="exact"/>
        <w:rPr>
          <w:sz w:val="20"/>
          <w:szCs w:val="20"/>
          <w:color w:val="auto"/>
        </w:rPr>
      </w:pPr>
    </w:p>
    <w:p>
      <w:pPr>
        <w:jc w:val="both"/>
        <w:ind w:right="80" w:firstLine="440"/>
        <w:spacing w:after="0" w:line="296" w:lineRule="auto"/>
        <w:rPr>
          <w:sz w:val="20"/>
          <w:szCs w:val="20"/>
          <w:color w:val="auto"/>
        </w:rPr>
      </w:pPr>
      <w:r>
        <w:rPr>
          <w:rFonts w:ascii="Arial" w:cs="Arial" w:eastAsia="Arial" w:hAnsi="Arial"/>
          <w:sz w:val="16"/>
          <w:szCs w:val="16"/>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2022</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TRIDENT VII, L.P.</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Trident Capital VII, L.P., its sole general partner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DW Trident GP, LLC, a general partner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Jacqueline Giammarco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Jacqueline Giammarco</w:t>
      </w:r>
    </w:p>
    <w:p>
      <w:pPr>
        <w:spacing w:after="0" w:line="23" w:lineRule="exact"/>
        <w:rPr>
          <w:sz w:val="20"/>
          <w:szCs w:val="20"/>
          <w:color w:val="auto"/>
        </w:rPr>
      </w:pPr>
    </w:p>
    <w:p>
      <w:pPr>
        <w:jc w:val="center"/>
        <w:ind w:left="442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TRIDENT CAPITAL VII, L.P.</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DW Trident GP, LLC, a general partner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Jacqueline Giammarco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5715</wp:posOffset>
            </wp:positionV>
            <wp:extent cx="259715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ind w:left="6980"/>
        <w:spacing w:after="0"/>
        <w:rPr>
          <w:sz w:val="20"/>
          <w:szCs w:val="20"/>
          <w:color w:val="auto"/>
        </w:rPr>
      </w:pPr>
      <w:r>
        <w:rPr>
          <w:rFonts w:ascii="Arial" w:cs="Arial" w:eastAsia="Arial" w:hAnsi="Arial"/>
          <w:sz w:val="18"/>
          <w:szCs w:val="18"/>
          <w:color w:val="auto"/>
        </w:rPr>
        <w:t>Name: Jacqueline Giammarco</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TRIDENT FINXERA HOLDINGS GP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Trident VII, L.P., its managing member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Trident Capital VII, L.P., its general partner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DW Trident GP, LLC, a general partner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Jacqueline Giammarco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Jacqueline Giammarco</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TRIDENT FINXERA HOLDINGS LP</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By: Trident Finxera Holdings GP LLC, its general partner</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Trident VII, L.P., its managing member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Trident Capital VII, L.P., its general partner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DW Trident GP, LLC, a general partner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Jacqueline Giammarco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Jacqueline Giammarco</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STONE POINT CAPITAL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Jacqueline Giammarco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Jacqueline Giammarco</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6"/>
          <w:szCs w:val="16"/>
          <w:color w:val="auto"/>
        </w:rPr>
        <w:t>Title: Managing Director and Chief Compliance Officer</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lowerLetter"/>
      <w:start w:val="2"/>
    </w:lvl>
  </w:abstractNum>
  <w:abstractNum w:abstractNumId="9">
    <w:nsid w:val="1190CDE7"/>
    <w:multiLevelType w:val="hybridMultilevel"/>
    <w:lvl w:ilvl="0">
      <w:lvlJc w:val="left"/>
      <w:lvlText w:val="(%1)"/>
      <w:numFmt w:val="lowerRoman"/>
      <w:start w:val="1"/>
    </w:lvl>
  </w:abstractNum>
  <w:abstractNum w:abstractNumId="10">
    <w:nsid w:val="66EF438D"/>
    <w:multiLevelType w:val="hybridMultilevel"/>
    <w:lvl w:ilvl="0">
      <w:lvlJc w:val="left"/>
      <w:lvlText w:val="(%1)"/>
      <w:numFmt w:val="lowerLetter"/>
      <w:start w:val="2"/>
    </w:lvl>
  </w:abstractNum>
  <w:abstractNum w:abstractNumId="11">
    <w:nsid w:val="140E0F76"/>
    <w:multiLevelType w:val="hybridMultilevel"/>
    <w:lvl w:ilvl="0">
      <w:lvlJc w:val="left"/>
      <w:lvlText w:val="(%1)"/>
      <w:numFmt w:val="lowerLetter"/>
      <w:start w:val="3"/>
    </w:lvl>
    <w:lvl w:ilvl="1">
      <w:lvlJc w:val="left"/>
      <w:lvlText w:val="(%2)"/>
      <w:numFmt w:val="lowerRoman"/>
      <w:start w:val="1"/>
    </w:lvl>
  </w:abstractNum>
  <w:abstractNum w:abstractNumId="12">
    <w:nsid w:val="3352255A"/>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2022-02-14T09:04:09Z</dcterms:created>
  <dcterms:modified xsi:type="dcterms:W3CDTF">2022-02-14T09:04:09Z</dcterms:modified>
</cp:coreProperties>
</file>