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4,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7"/>
          <w:szCs w:val="17"/>
          <w:color w:val="auto"/>
        </w:rPr>
        <w:t>On July 31, 2025, Priority Holdings, LLC, as a borrower (the “</w:t>
      </w:r>
      <w:r>
        <w:rPr>
          <w:rFonts w:ascii="Times New Roman" w:cs="Times New Roman" w:eastAsia="Times New Roman" w:hAnsi="Times New Roman"/>
          <w:sz w:val="17"/>
          <w:szCs w:val="17"/>
          <w:u w:val="single" w:color="auto"/>
          <w:color w:val="auto"/>
        </w:rPr>
        <w:t>Initial Borrower</w:t>
      </w:r>
      <w:r>
        <w:rPr>
          <w:rFonts w:ascii="Times New Roman" w:cs="Times New Roman" w:eastAsia="Times New Roman" w:hAnsi="Times New Roman"/>
          <w:sz w:val="17"/>
          <w:szCs w:val="17"/>
          <w:color w:val="auto"/>
        </w:rPr>
        <w:t>”) and direct wholly-owned subsidiary of Priority Technology Holdings,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other Credit Parties (as defined in Amendment No. 2 (as defined below)) party thereto, each of the Lenders (as defined in Amendment No. 2) party thereto, each 2025-1 Converting Lender (as defined in Amendment No. 2) party thereto, each 2025-1 Incremental Revolving Credit Lender (as defined in Amendment No. 2) party thereto, each New 2025-1 Refinancing Term Lender (as defined in Amendment No. 2) party thereto and Truist Bank, as administrative agent and collateral agent (in such capacities, the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as the Designated 2025 Fronting Lender (as defined in Amendment No. 2) and as the 2025-1 Incremental Term Lender (as defined in Amendment No. 2), entered into Amendment No. 2 to the Credit and Guaranty Agreement (“</w:t>
      </w:r>
      <w:r>
        <w:rPr>
          <w:rFonts w:ascii="Times New Roman" w:cs="Times New Roman" w:eastAsia="Times New Roman" w:hAnsi="Times New Roman"/>
          <w:sz w:val="17"/>
          <w:szCs w:val="17"/>
          <w:u w:val="single" w:color="auto"/>
          <w:color w:val="auto"/>
        </w:rPr>
        <w:t>Amendment No. 2</w:t>
      </w:r>
      <w:r>
        <w:rPr>
          <w:rFonts w:ascii="Times New Roman" w:cs="Times New Roman" w:eastAsia="Times New Roman" w:hAnsi="Times New Roman"/>
          <w:sz w:val="17"/>
          <w:szCs w:val="17"/>
          <w:color w:val="auto"/>
        </w:rPr>
        <w:t>”), which amended the Credit and Guaranty Agreement, dated as of May 16, 2024 (as amended by that certain Amendment No. 1 to the Credit and Guaranty Agreement, dated as of November 21, 2024 and as further amended, restated, amended and restated,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capitalized terms used but not defined herein have the meaning given to them in the Credit Agreement), among the Initial Borrower, the Credit Parties party thereto from time to time, the Lenders party thereto from time to time, and the Agent. Amendment No. 2 amended the Credit Agreement to, among other things, (x) extend the maturity date with respect to the Initial Revolving Credit Commitments and Initial Term Loans to five (5) years and seven (7) years, respectively, from the Amendment No. 2 Effective Date (as defined in Amendment No. 2), (y) reduce the Applicable Margin to 3.75% for SOFR Loans, 2.75% for Base Rate Loans and a range of 3.00% to 3.50% for Revolving Loans as determined by the Borrower’s Total Net Leverage Ratio and (z) provide for (i) the 2025-1 Incremental Term Loans (as defined in Amendment No.</w:t>
      </w:r>
    </w:p>
    <w:p>
      <w:pPr>
        <w:spacing w:after="0" w:line="2" w:lineRule="exact"/>
        <w:rPr>
          <w:sz w:val="20"/>
          <w:szCs w:val="20"/>
          <w:color w:val="auto"/>
        </w:rPr>
      </w:pPr>
    </w:p>
    <w:p>
      <w:pPr>
        <w:jc w:val="both"/>
        <w:ind w:firstLine="8"/>
        <w:spacing w:after="0" w:line="234" w:lineRule="auto"/>
        <w:tabs>
          <w:tab w:leader="none" w:pos="1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Credit Agreement from the 2025-1 Incremental Term Lender in an aggregate principal amount of $50,175,291.11, which will be added to (and form part of) the 2025-1 Refinancing Term Loans, (ii) the 2025-1 Refinancing Term Loans (as defined in Amendment No. 2) under the Credit Agreement from the 2025-1 Refinancing Term Lender (as defined in Amendment No. 2) in an aggregate principal amount of $949,824,708.89 and (iii) the 2025-1 Incremental Revolving Credit Commitments (as defined in Amendment No. 2) under the Credit Agreement from the 2025-1 Incremental Revolving Credit Lenders (as defined in Amendment No. 2) in an aggregate principal amount of $30,000,000. The 2025-1 Refinancing Term Loans will be on terms substantially similar to the Initial Term Loans under the Credit Agreement and subject to substantially similar terms and secured and guarantied on the same basis as the Initial Term Loans made pursuant to the Credit Agreement. The 2025-1 Incremental Revolving Credit Commitments will be part of the same class of Initial Revolving Credit Commitments under the Credit Agreement, and subject to the same terms and secured and guarantied on a substantially similar basis, as the Initial Revolving Credit Commitments made pursuant to the Credit Agreement.</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proceeds of the 2025-1 Refinancing Term Loans were used, in part, to prepay in full all Initial Term Loans then outstanding, including all accrued and unpaid interest, and to pay the fees and expenses incurred in connection with the entry into Amendment No. 2.</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Amendment No. 2 does not purport to be complete, and is qualified in its entirety by reference to the complete text of Amendment No. 2, which is filed as Exhibit 10.1 to this Current Report on Form 8-K and is incorporated herein by reference.</w:t>
      </w:r>
    </w:p>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in connection with the Credit Agreement and Amendment No. 2 is incorporated by reference into this Item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w:t>
      </w:r>
    </w:p>
    <w:p>
      <w:pPr>
        <w:spacing w:after="0" w:line="21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August 4, 2025, the Company issued a press release in connection with the entry into Amendment No. 2, a copy of which is attached hereto as Exhibit 99.1 to this Current Report on Form 8-K and incorporated herein by reference.</w:t>
      </w:r>
    </w:p>
    <w:p>
      <w:pPr>
        <w:spacing w:after="0" w:line="2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0000FF"/>
              </w:rPr>
              <w:t>10.1</w:t>
            </w:r>
          </w:p>
        </w:tc>
        <w:tc>
          <w:tcPr>
            <w:tcW w:w="976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0000FF"/>
              </w:rPr>
              <w:t>Amendment No. 2 to the Credit and Guaranty Agreement, dated as of July 31, 2025, by and among Priority Holdings, LLC, as the</w:t>
            </w:r>
          </w:p>
        </w:tc>
      </w:tr>
      <w:tr>
        <w:trPr>
          <w:trHeight w:val="184"/>
        </w:trPr>
        <w:tc>
          <w:tcPr>
            <w:tcW w:w="1480" w:type="dxa"/>
            <w:vAlign w:val="bottom"/>
          </w:tcPr>
          <w:p>
            <w:pPr>
              <w:spacing w:after="0"/>
              <w:rPr>
                <w:sz w:val="16"/>
                <w:szCs w:val="16"/>
                <w:color w:val="auto"/>
              </w:rPr>
            </w:pPr>
          </w:p>
        </w:tc>
        <w:tc>
          <w:tcPr>
            <w:tcW w:w="97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0000FF"/>
              </w:rPr>
              <w:t>Borrower Representative, the Credit Parties party thereto, each of the Lenders party thereto, each 2025-1 Converting Lender party</w:t>
            </w:r>
          </w:p>
        </w:tc>
      </w:tr>
      <w:tr>
        <w:trPr>
          <w:trHeight w:val="180"/>
        </w:trPr>
        <w:tc>
          <w:tcPr>
            <w:tcW w:w="1480" w:type="dxa"/>
            <w:vAlign w:val="bottom"/>
          </w:tcPr>
          <w:p>
            <w:pPr>
              <w:spacing w:after="0"/>
              <w:rPr>
                <w:sz w:val="15"/>
                <w:szCs w:val="15"/>
                <w:color w:val="auto"/>
              </w:rPr>
            </w:pPr>
          </w:p>
        </w:tc>
        <w:tc>
          <w:tcPr>
            <w:tcW w:w="97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0000FF"/>
              </w:rPr>
              <w:t>thereto, each 2025-1 Incremental Revolving Credit Lender party thereto, each New 2025-1 Refinancing Term Lender party thereto</w:t>
            </w:r>
          </w:p>
        </w:tc>
      </w:tr>
      <w:tr>
        <w:trPr>
          <w:trHeight w:val="175"/>
        </w:trPr>
        <w:tc>
          <w:tcPr>
            <w:tcW w:w="1480" w:type="dxa"/>
            <w:vAlign w:val="bottom"/>
          </w:tcPr>
          <w:p>
            <w:pPr>
              <w:spacing w:after="0"/>
              <w:rPr>
                <w:sz w:val="15"/>
                <w:szCs w:val="15"/>
                <w:color w:val="auto"/>
              </w:rPr>
            </w:pPr>
          </w:p>
        </w:tc>
        <w:tc>
          <w:tcPr>
            <w:tcW w:w="97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0000FF"/>
                <w:w w:val="99"/>
              </w:rPr>
              <w:t>and Truist Bank, as administrative agent and collateral agent, as the Designated 2025 Fronting Lender and as the 2025-1 Incremental</w:t>
            </w:r>
          </w:p>
        </w:tc>
      </w:tr>
      <w:tr>
        <w:trPr>
          <w:trHeight w:val="234"/>
        </w:trPr>
        <w:tc>
          <w:tcPr>
            <w:tcW w:w="148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 xml:space="preserve">Term Lender. </w:t>
            </w:r>
            <w:r>
              <w:rPr>
                <w:rFonts w:ascii="Times New Roman" w:cs="Times New Roman" w:eastAsia="Times New Roman" w:hAnsi="Times New Roman"/>
                <w:sz w:val="18"/>
                <w:szCs w:val="18"/>
                <w:color w:val="000000"/>
              </w:rPr>
              <w:t>†</w:t>
            </w:r>
          </w:p>
        </w:tc>
      </w:tr>
      <w:tr>
        <w:trPr>
          <w:trHeight w:val="23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10.2</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Exhibit C to Amendment No. 2 to the Credit and Guaranty Agreement, dated as of July 31, 2025.</w:t>
            </w:r>
          </w:p>
        </w:tc>
      </w:tr>
      <w:tr>
        <w:trPr>
          <w:trHeight w:val="23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10.3</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Exhibit E to Amendment No. 2 to the Credit and Guaranty Agreement, dated as of July 31, 2025.</w:t>
            </w:r>
          </w:p>
        </w:tc>
      </w:tr>
      <w:tr>
        <w:trPr>
          <w:trHeight w:val="22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dated August 4, 2025.</w:t>
            </w:r>
          </w:p>
        </w:tc>
      </w:tr>
      <w:tr>
        <w:trPr>
          <w:trHeight w:val="22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80"/>
        </w:trPr>
        <w:tc>
          <w:tcPr>
            <w:tcW w:w="1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Certain exhibits have been omitted pursuant to Item 601(a)(5) of Regulation S-K. The registrant agrees to furnish supplementally</w:t>
            </w:r>
          </w:p>
        </w:tc>
      </w:tr>
      <w:tr>
        <w:trPr>
          <w:trHeight w:val="234"/>
        </w:trPr>
        <w:tc>
          <w:tcPr>
            <w:tcW w:w="148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copies of any of the omitted schedules to the Securities and Exchange Commission upon its request.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4,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2 TO THE CREDIT AND GUARANTY AGREEMENT</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AMENDMENT NO. 2 TO THE CREDIT AND GUARANTY AGREEMENT, dated as of July 31, 2025 (this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PRIORITY HOLDINGS, LLC, a Delaware limited liability company, as the sole Borrower Representative under the Credit Agreement (as defined below) (the “</w:t>
      </w:r>
      <w:r>
        <w:rPr>
          <w:rFonts w:ascii="Times New Roman" w:cs="Times New Roman" w:eastAsia="Times New Roman" w:hAnsi="Times New Roman"/>
          <w:sz w:val="20"/>
          <w:szCs w:val="20"/>
          <w:u w:val="single" w:color="auto"/>
          <w:color w:val="auto"/>
        </w:rPr>
        <w:t>Borrower Representative</w:t>
      </w:r>
      <w:r>
        <w:rPr>
          <w:rFonts w:ascii="Times New Roman" w:cs="Times New Roman" w:eastAsia="Times New Roman" w:hAnsi="Times New Roman"/>
          <w:sz w:val="20"/>
          <w:szCs w:val="20"/>
          <w:color w:val="auto"/>
        </w:rPr>
        <w:t>”), the other Credit Parties party hereto, each of the Lenders party hereto, each 2025-1 Converting Lender (as defined below), each 2025-1 Incremental Revolving Credit Lender (as defined below), each New 2025-1 Refinancing Term Lender (as defined below) party hereto and TRUIST BANK, as the 2025-1 designated fronting lender (in such capacity, the “</w:t>
      </w:r>
      <w:r>
        <w:rPr>
          <w:rFonts w:ascii="Times New Roman" w:cs="Times New Roman" w:eastAsia="Times New Roman" w:hAnsi="Times New Roman"/>
          <w:sz w:val="20"/>
          <w:szCs w:val="20"/>
          <w:u w:val="single" w:color="auto"/>
          <w:color w:val="auto"/>
        </w:rPr>
        <w:t>Designated 2025 Fronting Lender</w:t>
      </w:r>
      <w:r>
        <w:rPr>
          <w:rFonts w:ascii="Times New Roman" w:cs="Times New Roman" w:eastAsia="Times New Roman" w:hAnsi="Times New Roman"/>
          <w:sz w:val="20"/>
          <w:szCs w:val="20"/>
          <w:color w:val="auto"/>
        </w:rPr>
        <w:t>”), as the 2025-1 Incremental Term Lender (as defined below) and as Administrative Agent and Collateral Agent under the Credit Agreement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All capitalized terms used herein (including in this preamble) and not otherwise defined herein shall have the respective meanings provided such terms in the Credit Agreement. The joint lead arrangers and joint bookrunners for this Second Amendment are Truist Securities, Inc. (“</w:t>
      </w:r>
      <w:r>
        <w:rPr>
          <w:rFonts w:ascii="Times New Roman" w:cs="Times New Roman" w:eastAsia="Times New Roman" w:hAnsi="Times New Roman"/>
          <w:sz w:val="20"/>
          <w:szCs w:val="20"/>
          <w:u w:val="single" w:color="auto"/>
          <w:color w:val="auto"/>
        </w:rPr>
        <w:t>Truist Securities</w:t>
      </w:r>
      <w:r>
        <w:rPr>
          <w:rFonts w:ascii="Times New Roman" w:cs="Times New Roman" w:eastAsia="Times New Roman" w:hAnsi="Times New Roman"/>
          <w:sz w:val="20"/>
          <w:szCs w:val="20"/>
          <w:color w:val="auto"/>
        </w:rPr>
        <w:t>”), TD Securities (USA) LLC, SouthState Bank N.A., The Huntington National Bank and Synovus Bank (collectively, the “</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3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the Borrower Representative has entered into that certain Credit and Guaranty Agreement, dated as of May 16, 2024, among the Borrower Representative, the other Credit Parties party thereto from time to time, the lenders and other financial institutions party thereto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Truist Bank, as Administrative Agent, an Issuing Bank, Swing Line Lender and Collateral Agent (as amended, restated, amended and restated, supplemented and/or otherwise modified from time to time to, including by that certain Amendment No. 1 to the Credit and Guaranty Agreement, dated as of November 21, 2024, but not including,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Second Amendment, the “</w:t>
      </w:r>
      <w:r>
        <w:rPr>
          <w:rFonts w:ascii="Times New Roman" w:cs="Times New Roman" w:eastAsia="Times New Roman" w:hAnsi="Times New Roman"/>
          <w:sz w:val="20"/>
          <w:szCs w:val="20"/>
          <w:u w:val="single" w:color="auto"/>
          <w:color w:val="auto"/>
        </w:rPr>
        <w:t>Amended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pursuant to Section 2.25 of the Credit Agreement, the Borrower Representative wishes to amend the Credit Agreement to enable it to incur Refinancing Term Loans in an aggregate principal amount of $949,824,708.89, to, on the Second Amendment Effective Date (as defined below), (i) prepay in full all Initial Term Loans outstanding immediately prior to the Second Amendment Effective Date (the “</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(ii) pay all accrued and unpaid interest with respect to the Refinanced Term Loans and (iii) pay all fees and expenses incurred in connection with the transactions contemplated by this Second Amendment, in each case, as provided herein;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each 2025-1 Refinancing Term Lender (as defined below) agrees to make available 2025-1 Refinancing Term Loans (as defined below) to the Borrower Representative on the Second Amendment Effective Date on the terms and conditions set forth herein and in an amount equal to its 2025-1 Refinancing Term Commitment (as defined below);</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pursuant to Section 2.24 of the Credit Agreement, (i) the Borrower Representative has requested that Truist Bank (in such capacity, the “</w:t>
      </w:r>
      <w:r>
        <w:rPr>
          <w:rFonts w:ascii="Times New Roman" w:cs="Times New Roman" w:eastAsia="Times New Roman" w:hAnsi="Times New Roman"/>
          <w:sz w:val="20"/>
          <w:szCs w:val="20"/>
          <w:u w:val="single" w:color="auto"/>
          <w:color w:val="auto"/>
        </w:rPr>
        <w:t>2025-1 Incremental Term Lender</w:t>
      </w:r>
      <w:r>
        <w:rPr>
          <w:rFonts w:ascii="Times New Roman" w:cs="Times New Roman" w:eastAsia="Times New Roman" w:hAnsi="Times New Roman"/>
          <w:sz w:val="20"/>
          <w:szCs w:val="20"/>
          <w:color w:val="auto"/>
        </w:rPr>
        <w:t>”) make Incremental Term Loans (the “</w:t>
      </w:r>
      <w:r>
        <w:rPr>
          <w:rFonts w:ascii="Times New Roman" w:cs="Times New Roman" w:eastAsia="Times New Roman" w:hAnsi="Times New Roman"/>
          <w:sz w:val="20"/>
          <w:szCs w:val="20"/>
          <w:u w:val="single" w:color="auto"/>
          <w:color w:val="auto"/>
        </w:rPr>
        <w:t>2025-1 Incremental Term Loans</w:t>
      </w:r>
      <w:r>
        <w:rPr>
          <w:rFonts w:ascii="Times New Roman" w:cs="Times New Roman" w:eastAsia="Times New Roman" w:hAnsi="Times New Roman"/>
          <w:sz w:val="20"/>
          <w:szCs w:val="20"/>
          <w:color w:val="auto"/>
        </w:rPr>
        <w:t>”) to the Borrowers on the Second Amendment Effective Date (immediately after giving effect to the incurrence of the 2025-1 Refinancing Term Loans on such date) in an aggregate principal amount equal to $50,175,291.11 (the “</w:t>
      </w:r>
      <w:r>
        <w:rPr>
          <w:rFonts w:ascii="Times New Roman" w:cs="Times New Roman" w:eastAsia="Times New Roman" w:hAnsi="Times New Roman"/>
          <w:sz w:val="20"/>
          <w:szCs w:val="20"/>
          <w:u w:val="single" w:color="auto"/>
          <w:color w:val="auto"/>
        </w:rPr>
        <w:t>2025-1 Incremental Term Commitments</w:t>
      </w:r>
      <w:r>
        <w:rPr>
          <w:rFonts w:ascii="Times New Roman" w:cs="Times New Roman" w:eastAsia="Times New Roman" w:hAnsi="Times New Roman"/>
          <w:sz w:val="20"/>
          <w:szCs w:val="20"/>
          <w:color w:val="auto"/>
        </w:rPr>
        <w:t>”), which will be added to (and form part of) the existing Class of 2025-1 Refinancing Term Loans and shall constitute “2025-1 Refinancing Term Loans,” “Initial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“Term Loans” for all purposes under the Amended Credit Agreement, (ii) the Borrower Representative has requested that each institution identified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u w:val="single" w:color="auto"/>
          <w:color w:val="auto"/>
        </w:rPr>
        <w:t>2025-1 Incremental Revolving Credit Lender</w:t>
      </w:r>
      <w:r>
        <w:rPr>
          <w:rFonts w:ascii="Times New Roman" w:cs="Times New Roman" w:eastAsia="Times New Roman" w:hAnsi="Times New Roman"/>
          <w:sz w:val="20"/>
          <w:szCs w:val="20"/>
          <w:color w:val="auto"/>
        </w:rPr>
        <w:t>”, and collectively with the 2025-1 Incremental Term Lender, the “</w:t>
      </w:r>
      <w:r>
        <w:rPr>
          <w:rFonts w:ascii="Times New Roman" w:cs="Times New Roman" w:eastAsia="Times New Roman" w:hAnsi="Times New Roman"/>
          <w:sz w:val="20"/>
          <w:szCs w:val="20"/>
          <w:u w:val="single" w:color="auto"/>
          <w:color w:val="auto"/>
        </w:rPr>
        <w:t>2025-1 Incremental Lenders</w:t>
      </w:r>
      <w:r>
        <w:rPr>
          <w:rFonts w:ascii="Times New Roman" w:cs="Times New Roman" w:eastAsia="Times New Roman" w:hAnsi="Times New Roman"/>
          <w:sz w:val="20"/>
          <w:szCs w:val="20"/>
          <w:color w:val="auto"/>
        </w:rPr>
        <w:t xml:space="preserve">”) provide a Revolving Commitment Increase to the Borrower on the Second Amendment Effective Date in an aggregate amount equal to the amount set forth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 opposite its name (such Revolving Commitment Increase, the “</w:t>
      </w:r>
      <w:r>
        <w:rPr>
          <w:rFonts w:ascii="Times New Roman" w:cs="Times New Roman" w:eastAsia="Times New Roman" w:hAnsi="Times New Roman"/>
          <w:sz w:val="20"/>
          <w:szCs w:val="20"/>
          <w:u w:val="single" w:color="auto"/>
          <w:color w:val="auto"/>
        </w:rPr>
        <w:t>2025-1 Incremental Revolving Credit Commitments</w:t>
      </w:r>
      <w:r>
        <w:rPr>
          <w:rFonts w:ascii="Times New Roman" w:cs="Times New Roman" w:eastAsia="Times New Roman" w:hAnsi="Times New Roman"/>
          <w:sz w:val="20"/>
          <w:szCs w:val="20"/>
          <w:color w:val="auto"/>
        </w:rPr>
        <w:t>”, and together with the 2025-1 Incremental Term Commitments, the “</w:t>
      </w:r>
      <w:r>
        <w:rPr>
          <w:rFonts w:ascii="Times New Roman" w:cs="Times New Roman" w:eastAsia="Times New Roman" w:hAnsi="Times New Roman"/>
          <w:sz w:val="20"/>
          <w:szCs w:val="20"/>
          <w:u w:val="single" w:color="auto"/>
          <w:color w:val="auto"/>
        </w:rPr>
        <w:t>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(iii) the 2025-1 Incremental Term Lender agrees to make 2025-1 Incremental Term Loans to the Borrowers on the Second Amendment Effective Date and the 2025-1 Incremental Revolving Credit Lenders agree to provide 2025-1 Incremental Revolving Credit Commitments to the Borrowers on the Second Amendment Effective Date, in each case, on the terms and conditions set forth herein and (iii) this Second Amendment constitutes an Incremental Loan Request delivered to the Administrative Agent (which Incremental Loan Request shall serve as notice pursuant to Section 2.24(a) of the Credit Agreement);</w:t>
      </w:r>
    </w:p>
    <w:p>
      <w:pPr>
        <w:spacing w:after="0" w:line="196"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WHEREAS, pursuant to Section 10.05 of the Credit Agreement, the Borrower Representative wishes to amend the Credit Agreement to (i) extend the Maturity Date with respect to the Initial Revolving Credit Commitments, (ii) adjust the interest rate applicable to Revolving Loans and (iii) make certain other amendments to the Credit Agreement as set forth herein and in the Amended Credit Agreement;</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as contemplated by Section 2.24(f), Section 2.25(c) and Section 10.05 of the Credit Agreement, (x) the parties hereto have agreed, subject to the conditions set forth herein, to amend certain terms of the Credit Agreement as hereinafter provided to give effect to the establishment of the 2025-1 Refinancing Term Commitments, the making of the 2025-1 Refinancing Term Loans, the establishment of the 2025-1 Incremental Facilities, the making of the 2025-1 Incremental Term Loans and the other modifications to the Credit Agreement set forth herein and (y) this Second Amendment constitutes an “Incremental Amendment,” a “Refinancing Amendment” and a “Credit Document” for all purposes of the Credit Agreement and the other Credit Documents; and</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is acknowledged by each party hereto, it is agreed that:</w:t>
      </w:r>
    </w:p>
    <w:p>
      <w:pPr>
        <w:spacing w:after="0" w:line="133" w:lineRule="exact"/>
        <w:rPr>
          <w:sz w:val="20"/>
          <w:szCs w:val="20"/>
          <w:color w:val="auto"/>
        </w:rPr>
      </w:pPr>
    </w:p>
    <w:p>
      <w:pPr>
        <w:ind w:left="660" w:hanging="323"/>
        <w:spacing w:after="0"/>
        <w:rPr>
          <w:sz w:val="20"/>
          <w:szCs w:val="20"/>
          <w:color w:val="auto"/>
        </w:rPr>
      </w:pPr>
      <w:r>
        <w:rPr>
          <w:rFonts w:ascii="Times New Roman" w:cs="Times New Roman" w:eastAsia="Times New Roman" w:hAnsi="Times New Roman"/>
          <w:sz w:val="20"/>
          <w:szCs w:val="20"/>
          <w:color w:val="auto"/>
        </w:rPr>
        <w:t>SECTION 1.</w:t>
      </w:r>
      <w:r>
        <w:rPr>
          <w:sz w:val="20"/>
          <w:szCs w:val="20"/>
          <w:color w:val="auto"/>
        </w:rPr>
        <w:t xml:space="preserve"> </w:t>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The rules of construction specified in Section 1.03 of the Credit Agreement shall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apply to this Second Amendment, including the terms defined in the preamble and recitals hereto.</w:t>
      </w:r>
    </w:p>
    <w:p>
      <w:pPr>
        <w:spacing w:after="0" w:line="161"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REFINANCING AMENDMENT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hanging="652"/>
        <w:spacing w:after="0" w:line="268" w:lineRule="auto"/>
        <w:tabs>
          <w:tab w:leader="none" w:pos="65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Section 2.25 of the Credit Agreement, and subject to the satisfaction (or waiver in writing by each 2025-1 Refinancing Term Lender party hereto and the Administrative Agent) of the conditions set forth in Section 2.25 of the Credit Agreement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in accordance with Section 2.25 of the Credit Agreement, on and as of the Second Amendment Effective Date:</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58" w:lineRule="auto"/>
        <w:tabs>
          <w:tab w:leader="none" w:pos="130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Refinancing Term Lender severally agrees to make 2025-1 Refinancing Term Loans available to the Borrower Representative on the Second Amendment Effective Date in an amount equal to its 2025-1 Refinancing Term Commitment. On the Second Amendment Effective Date, (x) the Refinanced Term Loans will be repaid in full, (y) all other outstanding Obligations in respect of the Refinanced Term Loans shall have been repaid in full and (z)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6" w:name="page7"/>
    <w:bookmarkEnd w:id="6"/>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Term Lender that is not also a 2025-1 Refinancing Term Lender will cease to be a Term Lender. It is understood and agreed that (x) the 2025-1 Refinancing Term Loans being made pursuant to this Second Amendment shall constitute “Refinancing Term Loans” as defined in the Credit Agreement and pursuant to Section 2.25 of the Credit Agreement and (y) the Refinanced Term Loans being refinanced shall constitute “Refinanced Debt” as defined in the Credit Agreement and pursuant to Section 2.25 of the Credit Agreement. Except as expressly provided in this Second Amendment (including as to Applicable Margin, maturity, fees and call protection), the 2025-1 Refinancing Term Loans shall be on terms substantially identical to the Refinanced Term Loans (including as to Guarantors, Collateral (and ranking) and payment priority).</w:t>
      </w:r>
    </w:p>
    <w:p>
      <w:pPr>
        <w:spacing w:after="0" w:line="179" w:lineRule="exact"/>
        <w:rPr>
          <w:sz w:val="20"/>
          <w:szCs w:val="20"/>
          <w:color w:val="auto"/>
        </w:rPr>
      </w:pPr>
    </w:p>
    <w:p>
      <w:pPr>
        <w:jc w:val="both"/>
        <w:ind w:left="4" w:hanging="4"/>
        <w:spacing w:after="0" w:line="253" w:lineRule="auto"/>
        <w:tabs>
          <w:tab w:leader="none" w:pos="65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has notified each 2025-1 Refinancing Term Lender of its allocated commitment (with respect to such 2025-1 Refinancing Term Lender, its “</w:t>
      </w:r>
      <w:r>
        <w:rPr>
          <w:rFonts w:ascii="Times New Roman" w:cs="Times New Roman" w:eastAsia="Times New Roman" w:hAnsi="Times New Roman"/>
          <w:sz w:val="20"/>
          <w:szCs w:val="20"/>
          <w:u w:val="single" w:color="auto"/>
          <w:color w:val="auto"/>
        </w:rPr>
        <w:t>2025-1 Refinancing Term Commitment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2025-1 Refinancing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with respect to the 2025-1 Refinancing Term Loans, and each 2025-1 Refinancing Term Lender, by providing its 2025-1 Refinancing Term Commitment and/or agreeing to the Term Loan Conversion (as defined below), as applicable, has consented to the terms of this Second Amendment and, in the case of any New 2025-1 Refinancing Term Lender, shall become a party to the Amended Credit Agreement pursuant to one or more Assignment Agreements. On the Second Amendment Effective Date, all then outstanding Refinanced Term Loans shall be refinanced in full as follows:</w:t>
      </w:r>
    </w:p>
    <w:p>
      <w:pPr>
        <w:spacing w:after="0" w:line="179" w:lineRule="exact"/>
        <w:rPr>
          <w:rFonts w:ascii="Times New Roman" w:cs="Times New Roman" w:eastAsia="Times New Roman" w:hAnsi="Times New Roman"/>
          <w:sz w:val="20"/>
          <w:szCs w:val="20"/>
          <w:color w:val="auto"/>
        </w:rPr>
      </w:pPr>
    </w:p>
    <w:p>
      <w:pPr>
        <w:jc w:val="both"/>
        <w:ind w:left="1304" w:hanging="8"/>
        <w:spacing w:after="0" w:line="253" w:lineRule="auto"/>
        <w:tabs>
          <w:tab w:leader="none" w:pos="20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aggregate principal amount of Refinanced Term Loans of each Term Lender which (i) is an existing Term Lender under the Credit Agreement with respect to Refinanced Term Loans immediately prior to giving effect to this Second Amendment (each, an “</w:t>
      </w:r>
      <w:r>
        <w:rPr>
          <w:rFonts w:ascii="Times New Roman" w:cs="Times New Roman" w:eastAsia="Times New Roman" w:hAnsi="Times New Roman"/>
          <w:sz w:val="20"/>
          <w:szCs w:val="20"/>
          <w:u w:val="single" w:color="auto"/>
          <w:color w:val="auto"/>
        </w:rPr>
        <w:t>Existing Lender</w:t>
      </w:r>
      <w:r>
        <w:rPr>
          <w:rFonts w:ascii="Times New Roman" w:cs="Times New Roman" w:eastAsia="Times New Roman" w:hAnsi="Times New Roman"/>
          <w:sz w:val="20"/>
          <w:szCs w:val="20"/>
          <w:color w:val="auto"/>
        </w:rPr>
        <w:t>”) and (ii) is not a 2025-1 Converting Lender (a Lender meeting the requirements of the immediately preceding clauses (i) and (ii), each, a “</w:t>
      </w:r>
      <w:r>
        <w:rPr>
          <w:rFonts w:ascii="Times New Roman" w:cs="Times New Roman" w:eastAsia="Times New Roman" w:hAnsi="Times New Roman"/>
          <w:sz w:val="20"/>
          <w:szCs w:val="20"/>
          <w:u w:val="single" w:color="auto"/>
          <w:color w:val="auto"/>
        </w:rPr>
        <w:t>Non-Converting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be repaid in full in cash with respect to its Refinanced Term Loans with the proceeds of the 2025-1 Refinancing Term Loans;</w:t>
      </w:r>
    </w:p>
    <w:p>
      <w:pPr>
        <w:spacing w:after="0" w:line="192" w:lineRule="exact"/>
        <w:rPr>
          <w:rFonts w:ascii="Times New Roman" w:cs="Times New Roman" w:eastAsia="Times New Roman" w:hAnsi="Times New Roman"/>
          <w:sz w:val="20"/>
          <w:szCs w:val="20"/>
          <w:color w:val="auto"/>
        </w:rPr>
      </w:pPr>
    </w:p>
    <w:p>
      <w:pPr>
        <w:jc w:val="both"/>
        <w:ind w:left="1304" w:hanging="8"/>
        <w:spacing w:after="0" w:line="253" w:lineRule="auto"/>
        <w:tabs>
          <w:tab w:leader="none" w:pos="2023"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Existing Lender has a 2025-1 Refinancing Term Commitment that is less than its full outstanding aggregate principal amount of Refinanced Term Loans, such Existing Lender shall be repaid in full in cash in an amount equal to the difference between the outstanding aggregate principal amount of Refinanced Term Loans of such Existing Lender and such Existing Lender’s 2025-1 Refinancing Term Commitment (the “</w:t>
      </w:r>
      <w:r>
        <w:rPr>
          <w:rFonts w:ascii="Times New Roman" w:cs="Times New Roman" w:eastAsia="Times New Roman" w:hAnsi="Times New Roman"/>
          <w:sz w:val="20"/>
          <w:szCs w:val="20"/>
          <w:u w:val="single" w:color="auto"/>
          <w:color w:val="auto"/>
        </w:rPr>
        <w:t>Non-Converting Portion</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1304" w:hanging="8"/>
        <w:spacing w:after="0" w:line="253" w:lineRule="auto"/>
        <w:tabs>
          <w:tab w:leader="none" w:pos="2011"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aggregate principal amount of Refinanced Term Loans of each Existing Lender that has a 2025-1 Refinancing Term Commitment (each, a “</w:t>
      </w:r>
      <w:r>
        <w:rPr>
          <w:rFonts w:ascii="Times New Roman" w:cs="Times New Roman" w:eastAsia="Times New Roman" w:hAnsi="Times New Roman"/>
          <w:sz w:val="20"/>
          <w:szCs w:val="20"/>
          <w:u w:val="single" w:color="auto"/>
          <w:color w:val="auto"/>
        </w:rPr>
        <w:t>2025-1 Converting Lender</w:t>
      </w:r>
      <w:r>
        <w:rPr>
          <w:rFonts w:ascii="Times New Roman" w:cs="Times New Roman" w:eastAsia="Times New Roman" w:hAnsi="Times New Roman"/>
          <w:sz w:val="20"/>
          <w:szCs w:val="20"/>
          <w:color w:val="auto"/>
        </w:rPr>
        <w:t>”) shall automatically be converted into 2025-1 Refinancing Term Loans (each, a “</w:t>
      </w:r>
      <w:r>
        <w:rPr>
          <w:rFonts w:ascii="Times New Roman" w:cs="Times New Roman" w:eastAsia="Times New Roman" w:hAnsi="Times New Roman"/>
          <w:sz w:val="20"/>
          <w:szCs w:val="20"/>
          <w:u w:val="single" w:color="auto"/>
          <w:color w:val="auto"/>
        </w:rPr>
        <w:t>Converted 2025-1 Refinancing Term Loan</w:t>
      </w:r>
      <w:r>
        <w:rPr>
          <w:rFonts w:ascii="Times New Roman" w:cs="Times New Roman" w:eastAsia="Times New Roman" w:hAnsi="Times New Roman"/>
          <w:sz w:val="20"/>
          <w:szCs w:val="20"/>
          <w:color w:val="auto"/>
        </w:rPr>
        <w:t>”) in a principal amount equal to such 2025-1 Converting Lender’s outstanding Refinanced Term Loans less an amount equal to such 2025-1 Converting Lender’s Non-Converting Portion of such 2025-1 Converting Lender’s Refinanced Term Loans, if any (the “</w:t>
      </w:r>
      <w:r>
        <w:rPr>
          <w:rFonts w:ascii="Times New Roman" w:cs="Times New Roman" w:eastAsia="Times New Roman" w:hAnsi="Times New Roman"/>
          <w:sz w:val="20"/>
          <w:szCs w:val="20"/>
          <w:u w:val="single" w:color="auto"/>
          <w:color w:val="auto"/>
        </w:rPr>
        <w:t>Term Loan Conversion</w:t>
      </w:r>
      <w:r>
        <w:rPr>
          <w:rFonts w:ascii="Times New Roman" w:cs="Times New Roman" w:eastAsia="Times New Roman" w:hAnsi="Times New Roman"/>
          <w:sz w:val="20"/>
          <w:szCs w:val="20"/>
          <w:color w:val="auto"/>
        </w:rPr>
        <w:t>”); and</w:t>
      </w:r>
    </w:p>
    <w:p>
      <w:pPr>
        <w:spacing w:after="0" w:line="178" w:lineRule="exact"/>
        <w:rPr>
          <w:rFonts w:ascii="Times New Roman" w:cs="Times New Roman" w:eastAsia="Times New Roman" w:hAnsi="Times New Roman"/>
          <w:sz w:val="20"/>
          <w:szCs w:val="20"/>
          <w:color w:val="auto"/>
        </w:rPr>
      </w:pPr>
    </w:p>
    <w:p>
      <w:pPr>
        <w:ind w:left="1304" w:hanging="8"/>
        <w:spacing w:after="0" w:line="283" w:lineRule="auto"/>
        <w:tabs>
          <w:tab w:leader="none" w:pos="1997"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each Person that is not an Existing Lender with a 2025-1 Refinancing Term Commitment (each, a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2025-1 Refinancing Term Lender</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4"/>
          </w:cols>
          <w:pgMar w:left="976" w:top="1413" w:right="339" w:bottom="1440" w:gutter="0" w:footer="0" w:header="0"/>
        </w:sectPr>
      </w:pPr>
    </w:p>
    <w:bookmarkStart w:id="7" w:name="page8"/>
    <w:bookmarkEnd w:id="7"/>
    <w:p>
      <w:pPr>
        <w:jc w:val="both"/>
        <w:ind w:left="1304"/>
        <w:spacing w:after="0" w:line="252" w:lineRule="auto"/>
        <w:rPr>
          <w:sz w:val="20"/>
          <w:szCs w:val="20"/>
          <w:color w:val="auto"/>
        </w:rPr>
      </w:pPr>
      <w:r>
        <w:rPr>
          <w:rFonts w:ascii="Times New Roman" w:cs="Times New Roman" w:eastAsia="Times New Roman" w:hAnsi="Times New Roman"/>
          <w:sz w:val="20"/>
          <w:szCs w:val="20"/>
          <w:color w:val="auto"/>
        </w:rPr>
        <w:t>together with the 2025-1 Converting Lenders, the “</w:t>
      </w:r>
      <w:r>
        <w:rPr>
          <w:rFonts w:ascii="Times New Roman" w:cs="Times New Roman" w:eastAsia="Times New Roman" w:hAnsi="Times New Roman"/>
          <w:sz w:val="20"/>
          <w:szCs w:val="20"/>
          <w:u w:val="single" w:color="auto"/>
          <w:color w:val="auto"/>
        </w:rPr>
        <w:t>2025-1 Refinancing Term Lenders</w:t>
      </w:r>
      <w:r>
        <w:rPr>
          <w:rFonts w:ascii="Times New Roman" w:cs="Times New Roman" w:eastAsia="Times New Roman" w:hAnsi="Times New Roman"/>
          <w:sz w:val="20"/>
          <w:szCs w:val="20"/>
          <w:color w:val="auto"/>
        </w:rPr>
        <w:t>”) and (2) each 2025-1 Converting Lender with a 2025-1 Refinancing Term Commitment in an amount in excess of the outstanding aggregate principal amount of Refinanced Term Loans of such 2025-1 Converting Lender (any such difference as to such 2025-1 Converting Lender, a “</w:t>
      </w:r>
      <w:r>
        <w:rPr>
          <w:rFonts w:ascii="Times New Roman" w:cs="Times New Roman" w:eastAsia="Times New Roman" w:hAnsi="Times New Roman"/>
          <w:sz w:val="20"/>
          <w:szCs w:val="20"/>
          <w:u w:val="single" w:color="auto"/>
          <w:color w:val="auto"/>
        </w:rPr>
        <w:t>New 2025-1 Refinancing Term Commitment</w:t>
      </w:r>
      <w:r>
        <w:rPr>
          <w:rFonts w:ascii="Times New Roman" w:cs="Times New Roman" w:eastAsia="Times New Roman" w:hAnsi="Times New Roman"/>
          <w:sz w:val="20"/>
          <w:szCs w:val="20"/>
          <w:color w:val="auto"/>
        </w:rPr>
        <w:t>”), agrees to make to the Borrower Representative a new Term Loan (each, a “</w:t>
      </w:r>
      <w:r>
        <w:rPr>
          <w:rFonts w:ascii="Times New Roman" w:cs="Times New Roman" w:eastAsia="Times New Roman" w:hAnsi="Times New Roman"/>
          <w:sz w:val="20"/>
          <w:szCs w:val="20"/>
          <w:u w:val="single" w:color="auto"/>
          <w:color w:val="auto"/>
        </w:rPr>
        <w:t>New 2025-1 Refinancing Term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New 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and, together with the Converted 2025-1 Refinancing Term Loans, the “</w:t>
      </w:r>
      <w:r>
        <w:rPr>
          <w:rFonts w:ascii="Times New Roman" w:cs="Times New Roman" w:eastAsia="Times New Roman" w:hAnsi="Times New Roman"/>
          <w:sz w:val="20"/>
          <w:szCs w:val="20"/>
          <w:u w:val="single" w:color="auto"/>
          <w:color w:val="auto"/>
        </w:rPr>
        <w:t>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in a principal amount equal to such New 2025-1 Refinancing Term Lender’s 2025-1 Refinancing Term Commitment or such 2025-1 Converting Lender’s New 2025-1 Refinancing Term Commitment, as the case may be, on the Second Amendment Effective Date.</w:t>
      </w:r>
    </w:p>
    <w:p>
      <w:pPr>
        <w:spacing w:after="0" w:line="176" w:lineRule="exact"/>
        <w:rPr>
          <w:sz w:val="20"/>
          <w:szCs w:val="20"/>
          <w:color w:val="auto"/>
        </w:rPr>
      </w:pPr>
    </w:p>
    <w:p>
      <w:pPr>
        <w:ind w:left="4" w:hanging="4"/>
        <w:spacing w:after="0" w:line="283" w:lineRule="auto"/>
        <w:tabs>
          <w:tab w:leader="none" w:pos="65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Refinancing Term Lender hereby agrees to “fund” its 2025-1 Refinancing Term Loans in an aggregate principal amount equal to such 2025-1 Refinancing Term Lender’s 2025-1 Refinancing Term Commitment as follows:</w:t>
      </w:r>
    </w:p>
    <w:p>
      <w:pPr>
        <w:spacing w:after="0" w:line="159" w:lineRule="exact"/>
        <w:rPr>
          <w:rFonts w:ascii="Times New Roman" w:cs="Times New Roman" w:eastAsia="Times New Roman" w:hAnsi="Times New Roman"/>
          <w:sz w:val="20"/>
          <w:szCs w:val="20"/>
          <w:color w:val="auto"/>
        </w:rPr>
      </w:pPr>
    </w:p>
    <w:p>
      <w:pPr>
        <w:jc w:val="both"/>
        <w:ind w:left="1304" w:hanging="8"/>
        <w:spacing w:after="0" w:line="254" w:lineRule="auto"/>
        <w:tabs>
          <w:tab w:leader="none" w:pos="200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Converting Lender shall fund its Converted 2025-1 Refinancing Term Loans to the Borrower Representative by converting its then outstanding principal amount of Refinanced Term Loans (other than such 2025-1 Converting Lender’s Non-Converting Portion, if any) into a Converted 2025-1 Refinancing Term Loan in an equal principal amount as provided in clause (ii)(C) above; and</w:t>
      </w:r>
    </w:p>
    <w:p>
      <w:pPr>
        <w:spacing w:after="0" w:line="187" w:lineRule="exact"/>
        <w:rPr>
          <w:rFonts w:ascii="Times New Roman" w:cs="Times New Roman" w:eastAsia="Times New Roman" w:hAnsi="Times New Roman"/>
          <w:sz w:val="20"/>
          <w:szCs w:val="20"/>
          <w:color w:val="auto"/>
        </w:rPr>
      </w:pPr>
    </w:p>
    <w:p>
      <w:pPr>
        <w:jc w:val="both"/>
        <w:ind w:left="1304" w:hanging="8"/>
        <w:spacing w:after="0" w:line="253" w:lineRule="auto"/>
        <w:tabs>
          <w:tab w:leader="none" w:pos="201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Converting Lender with a New 2024 Refinancing Term Commitment and each New 2025-1 Refinancing Term Lender with a 2025-1 Refinancing Term Commitment (or, in either case, the Designated 2025-1 Fronting Lender on behalf of such 2025-1 Converting Lender or New 2025-1 Refinancing Term Lender) shall make a loan to the Borrower Representative in an amount equal to (1) in the case of a 2025-1 Converting Lender, such 2025-1 Converting Lender’s New 2025-1 Refinancing Term Commitment or (2) in the case of a New 2025-1 Refinancing Term Lender, such New 2025-1 Refinancing Term Lender’s 2025-1 Refinancing Term Commitment.</w:t>
      </w:r>
    </w:p>
    <w:p>
      <w:pPr>
        <w:spacing w:after="0" w:line="178" w:lineRule="exact"/>
        <w:rPr>
          <w:rFonts w:ascii="Times New Roman" w:cs="Times New Roman" w:eastAsia="Times New Roman" w:hAnsi="Times New Roman"/>
          <w:sz w:val="20"/>
          <w:szCs w:val="20"/>
          <w:color w:val="auto"/>
        </w:rPr>
      </w:pPr>
    </w:p>
    <w:p>
      <w:pPr>
        <w:jc w:val="both"/>
        <w:ind w:left="4" w:hanging="4"/>
        <w:spacing w:after="0" w:line="257" w:lineRule="auto"/>
        <w:tabs>
          <w:tab w:leader="none" w:pos="6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Converted 2025-1 Refinancing Term Loans and the New 2025-1 Refinancing Term Loans shall be incurred or be deemed to be incurred, as applicable, pursuant to a single Borrowing of Term Loans on the Second Amendment Effective Date. For the avoidance of doubt, on and after the Second Amendment Effective Date, the Converted 2025-1 Refinancing Term Loans and the New 2025-1 Refinancing Term Loans shall constitute a single Class of Term Loans accruing interest at the same rate per annum and, if applicable, having the same Interest Period.</w:t>
      </w:r>
    </w:p>
    <w:p>
      <w:pPr>
        <w:spacing w:after="0" w:line="172" w:lineRule="exact"/>
        <w:rPr>
          <w:rFonts w:ascii="Times New Roman" w:cs="Times New Roman" w:eastAsia="Times New Roman" w:hAnsi="Times New Roman"/>
          <w:sz w:val="20"/>
          <w:szCs w:val="20"/>
          <w:color w:val="auto"/>
        </w:rPr>
      </w:pPr>
    </w:p>
    <w:p>
      <w:pPr>
        <w:jc w:val="both"/>
        <w:ind w:left="4" w:hanging="4"/>
        <w:spacing w:after="0" w:line="257"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Second Amendment Effective Date, the Borrower Representative shall pay in cash (x) all accrued but unpaid interest owing with respect to the Refinanced Term Loans through the Second Amendment Effective Date and (y) to each Non-Converting Lender, any amounts owing in respect of the Refinanced Term Loans pursuant to Section 2.17(c) of the Credit Agreement (for the avoidance of doubt, it being understood that the 2025-1 Refinancing Term Loans shall accrue interest in accordance with Section 2.07 of the Amended Credit Agreement on and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4"/>
          </w:cols>
          <w:pgMar w:left="976" w:top="1413" w:right="339" w:bottom="1440" w:gutter="0" w:footer="0" w:header="0"/>
        </w:sectPr>
      </w:pPr>
    </w:p>
    <w:bookmarkStart w:id="8" w:name="page9"/>
    <w:bookmarkEnd w:id="8"/>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Second Amendment Effective Date). Notwithstanding anything to the contrary herein, each 2025-1 Converting Lender hereby waives any entitlement or claim to any loss, expense or liability due under Section 2.17(c) of the Credit Agreement with respect to the repayment and/or conversion of the Refinanced Term Loans it holds as an Existing Lender, which have been replaced and/or repaid with 2025-1 Refinancing Term Loans on the Second Amendment Effective Date.</w:t>
      </w:r>
    </w:p>
    <w:p>
      <w:pPr>
        <w:spacing w:after="0" w:line="172" w:lineRule="exact"/>
        <w:rPr>
          <w:sz w:val="20"/>
          <w:szCs w:val="20"/>
          <w:color w:val="auto"/>
        </w:rPr>
      </w:pPr>
    </w:p>
    <w:p>
      <w:pPr>
        <w:ind w:left="660" w:hanging="4"/>
        <w:spacing w:after="0" w:line="283" w:lineRule="auto"/>
        <w:tabs>
          <w:tab w:leader="none" w:pos="129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Refinancing Term Lender and the Administrative Agent acknowledge that this Second Amendment constitutes a Refinancing Amendment in accordance with Section 2.25 of the Credit Agreement.</w:t>
      </w:r>
    </w:p>
    <w:p>
      <w:pPr>
        <w:spacing w:after="0" w:line="159" w:lineRule="exact"/>
        <w:rPr>
          <w:rFonts w:ascii="Times New Roman" w:cs="Times New Roman" w:eastAsia="Times New Roman" w:hAnsi="Times New Roman"/>
          <w:sz w:val="20"/>
          <w:szCs w:val="20"/>
          <w:color w:val="auto"/>
        </w:rPr>
      </w:pPr>
    </w:p>
    <w:p>
      <w:pPr>
        <w:jc w:val="both"/>
        <w:ind w:left="660" w:hanging="4"/>
        <w:spacing w:after="0" w:line="261" w:lineRule="auto"/>
        <w:tabs>
          <w:tab w:leader="none" w:pos="129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Second Amendment Effective Date, all Notes, if any, evidencing the Refinanced Term Loans shall be cancelled and returned to the Borrower Representative, and any 2025-1 Refinancing Term Lender may request that its 2025-1 Refinancing Term Loans be evidenced by a Note pursuant to Section 2.06(c) of the Amended Credit Agreement.</w:t>
      </w:r>
    </w:p>
    <w:p>
      <w:pPr>
        <w:spacing w:after="0" w:line="167" w:lineRule="exact"/>
        <w:rPr>
          <w:rFonts w:ascii="Times New Roman" w:cs="Times New Roman" w:eastAsia="Times New Roman" w:hAnsi="Times New Roman"/>
          <w:sz w:val="20"/>
          <w:szCs w:val="20"/>
          <w:color w:val="auto"/>
        </w:rPr>
      </w:pPr>
    </w:p>
    <w:p>
      <w:pPr>
        <w:jc w:val="both"/>
        <w:ind w:left="660" w:hanging="4"/>
        <w:spacing w:after="0" w:line="257" w:lineRule="auto"/>
        <w:tabs>
          <w:tab w:leader="none" w:pos="129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the Credit Agreement, all proceeds of the New 2025-1 Refinancing Term Loans (if any) will be used solely to repay the outstanding principal amount of the Refinanced Term Loans of Non-Converting Lenders (if any) and outstanding principal amount of Refinanced Term Loans of 2025-1 Converting Lenders in an amount equal to any applicable Non-Converting Portion (if any) of such 2025-1 Converting Lenders’ Refinanced Term Loans, in each case, on the Second Amendment Effective Date.</w:t>
      </w:r>
    </w:p>
    <w:p>
      <w:pPr>
        <w:spacing w:after="0" w:line="199" w:lineRule="exact"/>
        <w:rPr>
          <w:rFonts w:ascii="Times New Roman" w:cs="Times New Roman" w:eastAsia="Times New Roman" w:hAnsi="Times New Roman"/>
          <w:sz w:val="20"/>
          <w:szCs w:val="20"/>
          <w:color w:val="auto"/>
        </w:rPr>
      </w:pPr>
    </w:p>
    <w:p>
      <w:pPr>
        <w:jc w:val="both"/>
        <w:ind w:left="660" w:hanging="4"/>
        <w:spacing w:after="0" w:line="255"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On the Second Amendment Effective Date (after giving effect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Second Amendment but immediately prior to giving effect to the incurrence of the 2025-1 Incremental Term Loans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the aggregate outstanding principal amount of the 2025-1 Refinancing Term Loans shall be $949,824,708.89.</w:t>
      </w:r>
    </w:p>
    <w:p>
      <w:pPr>
        <w:spacing w:after="0" w:line="161"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660" w:hanging="652"/>
        <w:spacing w:after="0" w:line="249" w:lineRule="auto"/>
        <w:tabs>
          <w:tab w:leader="none" w:pos="6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solely to the satisfaction (or waiver in writing) of the conditions precedent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(i) the 2025-1 Incremental Term Lender hereby agrees to provide the full amount of its 2025-1 Incremental Term Commitment and agrees to make, on the Second Amendment Effective Date, 2025-1 Incremental Term Loans to the Borrowers in an aggregate principal amount equal to its 2025-1 Incremental Term Commitment and (ii) each 2025-1 Incremental Revolving Credit Lender hereby agrees to provide the full amount of its 2025-1 Incremental Revolving Credit Commitment to the Borrowers on the Second Amendment Effective Date (in each case, immediately after giving effect to the incurrence of the 2025-1 Refinancing Term Loans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above and the consent set forth in Section 4(b) below). The 2025-1 Incremental Facilities provided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Second Amendment shall be subject to all of the terms and conditions set forth in the Amended Credit Agreement, including, without limitation, Sections 2.01(a)(i) (in the case of the 2025-1 Incremental Term Commitments), 2.01(b) (in the case of the 2025-1 Incremental Revolving Credit Commitments) and 2.24 thereof, and the obligation of the 2025-1 Incremental Lenders to provide the 2025-1 Incremental Facilities on the Second Amendment Effective Date shall be subject to the satisfaction, or waiver in accordance with Section 10.05 of the Credit Agreement, of the conditions precedent set forth in Section 2.24 of the Credit Agreement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The 2025-1 Incremental Lenders, the Administrative Agent and each Credit Party agree that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Second Amendment is necessary and appropriate, in each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9" w:name="page10"/>
    <w:bookmarkEnd w:id="9"/>
    <w:p>
      <w:pPr>
        <w:ind w:left="660"/>
        <w:spacing w:after="0" w:line="283" w:lineRule="auto"/>
        <w:rPr>
          <w:sz w:val="20"/>
          <w:szCs w:val="20"/>
          <w:color w:val="auto"/>
        </w:rPr>
      </w:pPr>
      <w:r>
        <w:rPr>
          <w:rFonts w:ascii="Times New Roman" w:cs="Times New Roman" w:eastAsia="Times New Roman" w:hAnsi="Times New Roman"/>
          <w:sz w:val="20"/>
          <w:szCs w:val="20"/>
          <w:color w:val="auto"/>
        </w:rPr>
        <w:t>reasonable opinions, to effect the provisions of Section 2.24 of the Credit Agreement and shall constitute an “Incremental Amendment” pursuant to and in accordance with Section 2.24(f) of the Credit Agreement.</w:t>
      </w:r>
    </w:p>
    <w:p>
      <w:pPr>
        <w:spacing w:after="0" w:line="146" w:lineRule="exact"/>
        <w:rPr>
          <w:sz w:val="20"/>
          <w:szCs w:val="20"/>
          <w:color w:val="auto"/>
        </w:rPr>
      </w:pPr>
    </w:p>
    <w:p>
      <w:pPr>
        <w:jc w:val="both"/>
        <w:ind w:left="660" w:hanging="652"/>
        <w:spacing w:after="0" w:line="274" w:lineRule="auto"/>
        <w:tabs>
          <w:tab w:leader="none" w:pos="64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upon the incurrence of the 2025-1 Refinancing Term Loans on the Second Amendment Effective Date, each 2025-1 Incremental Lender (i) shall be obligated to establish the 2025-1 Incremental Facilities (and in the case of the 2025-1 Incremental Term Lender, shall be obligated to make 2025-1 Incremental Term Loans), in each case, as provided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this Second Amendment on the terms set forth in this Second Amendment and (ii) to the extent provided in this Second Amendment, shall have the rights and obligations of a Lender under the Amended Credit Agreement and under the other applicable Credit Documents.</w:t>
      </w:r>
    </w:p>
    <w:p>
      <w:pPr>
        <w:spacing w:after="0" w:line="156" w:lineRule="exact"/>
        <w:rPr>
          <w:rFonts w:ascii="Times New Roman" w:cs="Times New Roman" w:eastAsia="Times New Roman" w:hAnsi="Times New Roman"/>
          <w:sz w:val="19"/>
          <w:szCs w:val="19"/>
          <w:color w:val="auto"/>
        </w:rPr>
      </w:pPr>
    </w:p>
    <w:p>
      <w:pPr>
        <w:jc w:val="both"/>
        <w:ind w:left="660" w:hanging="652"/>
        <w:spacing w:after="0" w:line="263" w:lineRule="auto"/>
        <w:tabs>
          <w:tab w:leader="none" w:pos="65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upon the establishment of the 2025-1 Incremental Term Commitments and the incurrence of the 2025-1 Incremental Term Loans pursuant thereto on the Second Amendment Effective Date, (i) such 2025-1 Incremental Term Loans shall be added to (and form part of) the Term Borrowing of 2025-1 Refinancing Term Loans established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above, (ii) the 2025-1 Incremental Term Loans shall constitute a single Class of Term Loans with the 2025-1 Refinancing Term Loans, (iii) the 2025-1 Incremental Term Commitments shall constitute “Term Loan Commitments” for all purposes under, and subject to the provisions of, the Credit Documents and (iv) the 2025-1 Incremental Term Loans shall constitute “2025-1 Refinancing Term Loans,” “Initial Term Loans” and “Term Loans” for all purposes under, and subject to the provisions of, the Credit Documents. Immediately upon the establishment of the 2025-1 Incremental Revolving Credit Commitments pursuant hereto on the Second Amendment Effective Date,</w:t>
      </w:r>
    </w:p>
    <w:p>
      <w:pPr>
        <w:spacing w:after="0" w:line="3" w:lineRule="exact"/>
        <w:rPr>
          <w:rFonts w:ascii="Times New Roman" w:cs="Times New Roman" w:eastAsia="Times New Roman" w:hAnsi="Times New Roman"/>
          <w:sz w:val="19"/>
          <w:szCs w:val="19"/>
          <w:color w:val="auto"/>
        </w:rPr>
      </w:pPr>
    </w:p>
    <w:p>
      <w:pPr>
        <w:jc w:val="both"/>
        <w:ind w:left="6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the 2025-1 Incremental Revolving Credit Commitments shall be added to, and thereafter constitute a part of, the existing Class of Revolving Commitments immediately prior to giving effect to this Second Amendment and (ii) the 2025-1 Revolving Credit Commitments shall constitute “Revolving Commitments” for all purposes under, and subject to the provisions of the Credit Documents.</w:t>
      </w:r>
    </w:p>
    <w:p>
      <w:pPr>
        <w:spacing w:after="0" w:line="175" w:lineRule="exact"/>
        <w:rPr>
          <w:rFonts w:ascii="Times New Roman" w:cs="Times New Roman" w:eastAsia="Times New Roman" w:hAnsi="Times New Roman"/>
          <w:sz w:val="19"/>
          <w:szCs w:val="19"/>
          <w:color w:val="auto"/>
        </w:rPr>
      </w:pPr>
    </w:p>
    <w:p>
      <w:pPr>
        <w:jc w:val="both"/>
        <w:ind w:left="660" w:hanging="652"/>
        <w:spacing w:after="0" w:line="250"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giving effect to the 2025-1 Incremental Revolving Credit Commitments on the Second Amendment Effective Date, (i) each Revolving Credit Lender (other than the 2025-1 Incremental Revolving Credit Lenders) will automatically and without further act be deemed to have assigned to each 2025-1 Incremental Revolving Credit Lender and each 2025-1 Incremental Revolving Credit Lender will automatically and without further act be deemed to have assumed, a portion of such Revolving Credit Lender’s (other than the 2025-1 Incremental Revolving Credit Lenders) participations under the Amended Credit Agreement in outstanding Letters of Credit such that, after giving effect to each such deemed assignment and assumption of participations, the percentage of the aggregate outstanding participations under the Amended Credit Agreement in Letters of Credit held by each Revolving Credit Lender (including each 2025-1 Incremental Revolving Credit Lender) will equal the percentage of the aggregate Revolving Commitments of all Revolving Credit Lenders represented by such Revolving Credit Lender’s Revolving Commitment, (ii) to the extent any Revolving Loans are outstanding, the Revolving Credit Lenders (including, for the avoidance of doubt, each 2025-1 Incremental Revolving Credit Lender) shall purchase and assign at par such amounts of the Revolving Loans outstanding as the Administrative Agent may require such that each Revolving Credit Lender (including, for the avoidance of doubt, each 2025-1 Incremental Revolving Credit Lender) holds its Pro Rata Share of all Revolving Loans outstanding immediately after giving effect to all such assignments, (iii) in connection with the foregoing, the Administrative Agent shall (and is hereby authorized to) take all necessary actions to ensure that all Revolving Credit Lenders participate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0" w:name="page11"/>
    <w:bookmarkEnd w:id="10"/>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Revolving Credit Borrowing of Revolving Loans (after giving effect to the 2025-1 Incremental Revolving Credit Commitments)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(based upon the then outstanding principal amount of all Revolving Commitments held by the Revolving Credit Lenders at such time), (iv) the 2025-1 Incremental Revolving Credit Commitments shall constitute a single Class of Revolving Commitments with the existing class of Revolving Commitments and (v) in connection with the foregoing, the minimum borrowing, pro rata borrowing and pro rata payment requirements contained in the Amended Credit Agreement shall not apply.</w:t>
      </w:r>
    </w:p>
    <w:p>
      <w:pPr>
        <w:spacing w:after="0" w:line="192" w:lineRule="exact"/>
        <w:rPr>
          <w:sz w:val="20"/>
          <w:szCs w:val="20"/>
          <w:color w:val="auto"/>
        </w:rPr>
      </w:pPr>
    </w:p>
    <w:p>
      <w:pPr>
        <w:ind w:left="660" w:hanging="652"/>
        <w:spacing w:after="0" w:line="283" w:lineRule="auto"/>
        <w:tabs>
          <w:tab w:leader="none" w:pos="65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2025-1 Incremental Term Commitment of the 2025-1 Incremental Term Lender shall automatically terminate upon the funding of the 2025-1 Incremental Term Loans by the 2025-1 Incremental Term Lender on the Second Amendment Effective Date.</w:t>
      </w:r>
    </w:p>
    <w:p>
      <w:pPr>
        <w:spacing w:after="0" w:line="133"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AMENDMENT OF CREDIT AGREEMENT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1300" w:hanging="644"/>
        <w:spacing w:after="0" w:line="212" w:lineRule="auto"/>
        <w:tabs>
          <w:tab w:leader="none" w:pos="1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(or waiver in writing by each Lender party hereto and the Administrative Agent) of the conditions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(immediately after giving effect to the incurrence of the 2025-1 Refinancing Term Loans and the establishment of the 2025-1 Incremental Facilities), in accordance with Sections 2.24, 2.25 and 10.05 of the Credit Agreement, (x) 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2E74B5"/>
        </w:rPr>
        <w:t>double-underlined text</w:t>
      </w:r>
      <w:r>
        <w:rPr>
          <w:rFonts w:ascii="Times New Roman" w:cs="Times New Roman" w:eastAsia="Times New Roman" w:hAnsi="Times New Roman"/>
          <w:sz w:val="20"/>
          <w:szCs w:val="20"/>
          <w:color w:val="auto"/>
        </w:rPr>
        <w:t xml:space="preserve">) as set forth in the copy of the Credit Agreement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(y) Schedule 1.01(b) is hereby amended and restated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and (z) the Pledge and Security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2E74B5"/>
        </w:rPr>
        <w:t>double-underlined text</w:t>
      </w:r>
      <w:r>
        <w:rPr>
          <w:rFonts w:ascii="Times New Roman" w:cs="Times New Roman" w:eastAsia="Times New Roman" w:hAnsi="Times New Roman"/>
          <w:sz w:val="20"/>
          <w:szCs w:val="20"/>
          <w:color w:val="auto"/>
        </w:rPr>
        <w:t xml:space="preserve">) as set forth in the copy of the Pledge and Security Agreement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w:t>
      </w:r>
    </w:p>
    <w:p>
      <w:pPr>
        <w:spacing w:after="0" w:line="169" w:lineRule="exact"/>
        <w:rPr>
          <w:rFonts w:ascii="Times New Roman" w:cs="Times New Roman" w:eastAsia="Times New Roman" w:hAnsi="Times New Roman"/>
          <w:sz w:val="20"/>
          <w:szCs w:val="20"/>
          <w:color w:val="auto"/>
        </w:rPr>
      </w:pPr>
    </w:p>
    <w:p>
      <w:pPr>
        <w:jc w:val="both"/>
        <w:ind w:left="1300" w:hanging="644"/>
        <w:spacing w:after="0" w:line="215" w:lineRule="auto"/>
        <w:tabs>
          <w:tab w:leader="none" w:pos="12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to the contrary in the Amended Credit Agreement, each 2025-1 Refinancing Term Lender and each Revolving Credit Lender party hereto hereby consents to the establishment of the 2025-1 Incremental Facilities on the Second Amendment Effective Date in accordance with the terms hereof and hereby (i) waives the requirement set forth in Section 2.24(a) of the Amended Credit Agreement for the Borrower to comply with the Incremental Cap solely for purposes of establishing such 2025-1 Incremental Facilities and (ii) agrees that no portion of the 2025-1 Incremental Facilities shall be incurred in reliance on the Fixed Incremental Amount.</w:t>
      </w:r>
    </w:p>
    <w:p>
      <w:pPr>
        <w:spacing w:after="0" w:line="161"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REFERENCE TO AND EFFECT ON THE CREDIT AGREEMENT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hanging="328"/>
        <w:spacing w:after="0" w:line="261" w:lineRule="auto"/>
        <w:tabs>
          <w:tab w:leader="none" w:pos="65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Second Amendment Effective Date, (i) each reference in the Credit Agreement to “this Agreement,” “hereunder,” “hereof” or text of like import referring to the Credit Agreement shall mean and be a reference to the Amended Credit Agreement,</w:t>
      </w:r>
    </w:p>
    <w:p>
      <w:pPr>
        <w:spacing w:after="0" w:line="1" w:lineRule="exact"/>
        <w:rPr>
          <w:rFonts w:ascii="Times New Roman" w:cs="Times New Roman" w:eastAsia="Times New Roman" w:hAnsi="Times New Roman"/>
          <w:sz w:val="20"/>
          <w:szCs w:val="20"/>
          <w:color w:val="auto"/>
        </w:rPr>
      </w:pPr>
    </w:p>
    <w:p>
      <w:pPr>
        <w:jc w:val="both"/>
        <w:ind w:left="660" w:hanging="4"/>
        <w:spacing w:after="0" w:line="246" w:lineRule="auto"/>
        <w:tabs>
          <w:tab w:leader="none" w:pos="979"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Refinancing Term Commitment and each 2025-1 Incremental Term Commitment shall constitute a “Term Loan Commitment” as defined in the Amended Credit Agreement, (iii) each 2025-1 Refinancing Term Loan shall constitute a “Loan,” a “Term Loan,” an “Initial Term Loan” and a “Refinancing Term Loan,” in each case, as defined in the Amended Credit Agreement,</w:t>
      </w:r>
    </w:p>
    <w:p>
      <w:pPr>
        <w:spacing w:after="0" w:line="1" w:lineRule="exact"/>
        <w:rPr>
          <w:rFonts w:ascii="Times New Roman" w:cs="Times New Roman" w:eastAsia="Times New Roman" w:hAnsi="Times New Roman"/>
          <w:sz w:val="20"/>
          <w:szCs w:val="20"/>
          <w:color w:val="auto"/>
        </w:rPr>
      </w:pPr>
    </w:p>
    <w:p>
      <w:pPr>
        <w:jc w:val="both"/>
        <w:ind w:left="660" w:hanging="4"/>
        <w:spacing w:after="0" w:line="251" w:lineRule="auto"/>
        <w:tabs>
          <w:tab w:leader="none" w:pos="99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2025-1 Incremental Term Loan shall constitute a “Loan,” a “Term Loan,” an “Initial Term Loan” and an “Incremental Term Loan,” in each case, as defined in the Amended Credit Agreement, (v) each 2025-1 Refinancing Term Lender and the 2025-1 Incremental Term Lender shall constitute a “Lender,” an “Additional Lender,” a “Term Lender” and, in the case of the 2025-1 Incremental Term Lender, an “Incremental Term Lender,” in each case, as defined in the Amended Credit Agreement, (vi) each 2025-1 Incremental Revolving Credit Lender shall constitute a “Lender,”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1" w:name="page12"/>
    <w:bookmarkEnd w:id="1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“Revolving Credit Lender,” an “Additional Lender” and an “Incremental Revolving Credit Lender,” in each case, as defined in the Amended Credit Agreement, (vii) each 2025-1 Incremental Revolving Credit Commitment shall constitute a “Revolving Commitment,” a “Revolving Commitment Increase” and an “Incremental Revolving Credit Commitment,” in each case, as defined in the Amended Credit Agreement and (viii) this Second Amendment shall constitute a “Refinancing Amendment” and an “Incremental Amendment,” in each case, as defined in the Amended Credit Agreement. On and after the effectiveness of this Second Amendment, each of this Second Amendment and the Engagement Letter (as defined below) shall for all purposes constitute a “Credit Document” under and as defined in the Amended Credit Agreement and the other Credit Documents.</w:t>
      </w:r>
    </w:p>
    <w:p>
      <w:pPr>
        <w:spacing w:after="0" w:line="179" w:lineRule="exact"/>
        <w:rPr>
          <w:sz w:val="20"/>
          <w:szCs w:val="20"/>
          <w:color w:val="auto"/>
        </w:rPr>
      </w:pPr>
    </w:p>
    <w:p>
      <w:pPr>
        <w:jc w:val="both"/>
        <w:ind w:left="660" w:hanging="328"/>
        <w:spacing w:after="0" w:line="258"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Credit Agreement and each of the other Credit Documents, as specifically amended by this Second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Second Amendment.</w:t>
      </w:r>
    </w:p>
    <w:p>
      <w:pPr>
        <w:spacing w:after="0" w:line="185"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Second Amendment shall not, except as expressly provided herein, operate as a waiver of any right, power or remedy of any Lender, the Administrative Agent or the Collateral Agent under any of the Credit Documents, nor constitute a waiver of any provision of any of the Credit Documents.</w:t>
      </w:r>
    </w:p>
    <w:p>
      <w:pPr>
        <w:spacing w:after="0" w:line="154" w:lineRule="exact"/>
        <w:rPr>
          <w:sz w:val="20"/>
          <w:szCs w:val="20"/>
          <w:color w:val="auto"/>
        </w:rPr>
      </w:pPr>
    </w:p>
    <w:p>
      <w:pPr>
        <w:jc w:val="both"/>
        <w:ind w:left="660" w:hanging="323"/>
        <w:spacing w:after="0" w:line="230" w:lineRule="auto"/>
        <w:rPr>
          <w:sz w:val="20"/>
          <w:szCs w:val="20"/>
          <w:color w:val="auto"/>
        </w:rPr>
      </w:pPr>
      <w:r>
        <w:rPr>
          <w:rFonts w:ascii="Times New Roman" w:cs="Times New Roman" w:eastAsia="Times New Roman" w:hAnsi="Times New Roman"/>
          <w:sz w:val="20"/>
          <w:szCs w:val="20"/>
          <w:color w:val="auto"/>
        </w:rPr>
        <w:t>SECTION 6.</w:t>
      </w:r>
      <w:r>
        <w:rPr>
          <w:sz w:val="20"/>
          <w:szCs w:val="20"/>
          <w:color w:val="auto"/>
        </w:rPr>
        <w:t xml:space="preserve"> </w:t>
      </w:r>
      <w:r>
        <w:rPr>
          <w:rFonts w:ascii="Times New Roman" w:cs="Times New Roman" w:eastAsia="Times New Roman" w:hAnsi="Times New Roman"/>
          <w:sz w:val="20"/>
          <w:szCs w:val="20"/>
          <w:u w:val="single" w:color="auto"/>
          <w:color w:val="auto"/>
        </w:rPr>
        <w:t>REPRESENTATIONS &amp; WARRANTIES</w:t>
      </w:r>
      <w:r>
        <w:rPr>
          <w:rFonts w:ascii="Times New Roman" w:cs="Times New Roman" w:eastAsia="Times New Roman" w:hAnsi="Times New Roman"/>
          <w:sz w:val="20"/>
          <w:szCs w:val="20"/>
          <w:color w:val="auto"/>
        </w:rPr>
        <w:t>. In order to induce each Lender party hereto and the Administrative Agent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enter into this Second Amendment, each Credit Party hereby represents and warrants to each Lender and the Administrative Agent on and as of the Second Amendment Effective Date, that:</w:t>
      </w:r>
    </w:p>
    <w:p>
      <w:pPr>
        <w:spacing w:after="0" w:line="162" w:lineRule="exact"/>
        <w:rPr>
          <w:sz w:val="20"/>
          <w:szCs w:val="20"/>
          <w:color w:val="auto"/>
        </w:rPr>
      </w:pPr>
    </w:p>
    <w:p>
      <w:pPr>
        <w:jc w:val="both"/>
        <w:ind w:firstLine="1304"/>
        <w:spacing w:after="0" w:line="261" w:lineRule="auto"/>
        <w:tabs>
          <w:tab w:leader="none" w:pos="193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party hereto has all requisite power and authority to execute, deliver and perform its obligations under this Second Amendment and the Amended Credit Agreement, in each case, to which it is a party and to carry out the transactions contemplated thereby;</w:t>
      </w:r>
    </w:p>
    <w:p>
      <w:pPr>
        <w:spacing w:after="0" w:line="181"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Second Amendment has been duly authorized by all necessary action on the part of each Credit Party that is a party hereto;</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has been duly executed and delivered by each Credit Party that is a party 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8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set forth in the Credit Agreement and in the other Credit Documents is true and correct in all material respects on and as of the Second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65" w:lineRule="exact"/>
        <w:rPr>
          <w:sz w:val="20"/>
          <w:szCs w:val="20"/>
          <w:color w:val="auto"/>
        </w:rPr>
      </w:pPr>
    </w:p>
    <w:p>
      <w:pPr>
        <w:ind w:left="660" w:hanging="323"/>
        <w:spacing w:after="0"/>
        <w:rPr>
          <w:sz w:val="20"/>
          <w:szCs w:val="20"/>
          <w:color w:val="auto"/>
        </w:rPr>
      </w:pPr>
      <w:r>
        <w:rPr>
          <w:rFonts w:ascii="Times New Roman" w:cs="Times New Roman" w:eastAsia="Times New Roman" w:hAnsi="Times New Roman"/>
          <w:sz w:val="20"/>
          <w:szCs w:val="20"/>
          <w:color w:val="auto"/>
        </w:rPr>
        <w:t>SECTION 7.</w:t>
      </w:r>
      <w:r>
        <w:rPr>
          <w:sz w:val="20"/>
          <w:szCs w:val="20"/>
          <w:color w:val="auto"/>
        </w:rPr>
        <w:t xml:space="preserve">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Second Amendment shall become effective as of the first date (the “</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xml:space="preserve">”) when each of the conditions set forth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2" w:name="page13"/>
    <w:bookmarkEnd w:id="12"/>
    <w:p>
      <w:pPr>
        <w:jc w:val="both"/>
        <w:ind w:left="-460" w:firstLine="1292"/>
        <w:spacing w:after="0" w:line="261" w:lineRule="auto"/>
        <w:tabs>
          <w:tab w:leader="none" w:pos="148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been delivered to the Administrative Agent from the Borrower Representative, each other Credit Party, each 2025-1 Refinancing Term Lender, each 2025-1 Incremental Lender and each Revolving Credit Lender, an executed counterpart of this Second Amendment.</w:t>
      </w:r>
    </w:p>
    <w:p>
      <w:pPr>
        <w:spacing w:after="0" w:line="181" w:lineRule="exact"/>
        <w:rPr>
          <w:rFonts w:ascii="Times New Roman" w:cs="Times New Roman" w:eastAsia="Times New Roman" w:hAnsi="Times New Roman"/>
          <w:sz w:val="20"/>
          <w:szCs w:val="20"/>
          <w:color w:val="auto"/>
        </w:rPr>
      </w:pPr>
    </w:p>
    <w:p>
      <w:pPr>
        <w:jc w:val="both"/>
        <w:ind w:left="-460" w:firstLine="1292"/>
        <w:spacing w:after="0" w:line="261" w:lineRule="auto"/>
        <w:tabs>
          <w:tab w:leader="none" w:pos="148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Note or Notes duly executed by the Borrower Representative in favor of any 2025-1 Refinancing Term Lender and any 2025-1 Incremental Lender that has requested the same at least two (2) Business Days prior the Second Amendment Effective Date.</w:t>
      </w:r>
    </w:p>
    <w:p>
      <w:pPr>
        <w:spacing w:after="0" w:line="181" w:lineRule="exact"/>
        <w:rPr>
          <w:rFonts w:ascii="Times New Roman" w:cs="Times New Roman" w:eastAsia="Times New Roman" w:hAnsi="Times New Roman"/>
          <w:sz w:val="20"/>
          <w:szCs w:val="20"/>
          <w:color w:val="auto"/>
        </w:rPr>
      </w:pPr>
    </w:p>
    <w:p>
      <w:pPr>
        <w:jc w:val="both"/>
        <w:ind w:left="-460" w:firstLine="1292"/>
        <w:spacing w:after="0" w:line="261" w:lineRule="auto"/>
        <w:tabs>
          <w:tab w:leader="none" w:pos="14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shall have delivered to the Administrative Agent a certificate, dated as of the Second Amendment Effective Date, signed by an Authorized Officer of the Borrower Representative certifying that the conditions in Section 7(vi), (ix) and (x) hereof have been satisfied as of the Second Amendment Effective Date.</w:t>
      </w:r>
    </w:p>
    <w:p>
      <w:pPr>
        <w:spacing w:after="0" w:line="167" w:lineRule="exact"/>
        <w:rPr>
          <w:rFonts w:ascii="Times New Roman" w:cs="Times New Roman" w:eastAsia="Times New Roman" w:hAnsi="Times New Roman"/>
          <w:sz w:val="20"/>
          <w:szCs w:val="20"/>
          <w:color w:val="auto"/>
        </w:rPr>
      </w:pPr>
    </w:p>
    <w:p>
      <w:pPr>
        <w:jc w:val="both"/>
        <w:ind w:left="-460" w:firstLine="1292"/>
        <w:spacing w:after="0" w:line="250" w:lineRule="auto"/>
        <w:tabs>
          <w:tab w:leader="none" w:pos="147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(x) a certificate of the secretary or assistant secretary on behalf of each Credit Party, dated the Second Amendment Effective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Second Amendment or any other document or instrument delivered in connection therewith on behalf of such Credit Party (together with a certification by another officer or authorized Person as to the signature and incumbency of the Person executing the certificate in this clause (iv); (C) that attached thereto is a true and complete copy of resolutions of the board of directors or similar governing body of each Credit Party approving and authorizing the execution, delivery and performance of this Second Amendment, certified as of the Second Amendment Effective Date by its secretary or an assistant secretary as being in full force and effect without modification, rescission or amendment; and (D) a good standing certificate (or certificate of similar effect or purpose) from the applicable Governmental Authority of each Credit Party’s jurisdiction of incorporation, organization or formation, each dated a recent date prior to the Second Amendment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immediately preceding clauses (A) and (B), such documents shall not be required to be delivered if such certificate includes a certification by such officer that the applicable Organizational Document previously delivered to the Administrative Agent remains in full force and effect and have not been amended, modified, revoked or rescinded since the date such Organizational Document was delivered and (y) a “bring down” good standing certificate dated as of or about the Second Amendment Effective Date, as reasonably required by the Administrative Agent.</w:t>
      </w:r>
    </w:p>
    <w:p>
      <w:pPr>
        <w:spacing w:after="0" w:line="179" w:lineRule="exact"/>
        <w:rPr>
          <w:rFonts w:ascii="Times New Roman" w:cs="Times New Roman" w:eastAsia="Times New Roman" w:hAnsi="Times New Roman"/>
          <w:sz w:val="20"/>
          <w:szCs w:val="20"/>
          <w:color w:val="auto"/>
        </w:rPr>
      </w:pPr>
    </w:p>
    <w:p>
      <w:pPr>
        <w:jc w:val="both"/>
        <w:ind w:left="-460" w:firstLine="1292"/>
        <w:spacing w:after="0" w:line="258" w:lineRule="auto"/>
        <w:tabs>
          <w:tab w:leader="none" w:pos="147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Solvency Certificate in the form of Exhibit G-2 of the Credit Agreement, dated as of the Second Amendment Effective Date, and signed by an Authorized Officer of the Borrower Representative, certifying that after giving effect to the consummation of Sections 2 and 3 of this Second Amendment on the Second Amendment Effective Date, the Credit Parties, on a consolidated basis, are and will be Solvent.</w:t>
      </w:r>
    </w:p>
    <w:p>
      <w:pPr>
        <w:spacing w:after="0" w:line="185" w:lineRule="exact"/>
        <w:rPr>
          <w:rFonts w:ascii="Times New Roman" w:cs="Times New Roman" w:eastAsia="Times New Roman" w:hAnsi="Times New Roman"/>
          <w:sz w:val="20"/>
          <w:szCs w:val="20"/>
          <w:color w:val="auto"/>
        </w:rPr>
      </w:pPr>
    </w:p>
    <w:p>
      <w:pPr>
        <w:jc w:val="both"/>
        <w:ind w:left="-460" w:firstLine="1292"/>
        <w:spacing w:after="0" w:line="261" w:lineRule="auto"/>
        <w:tabs>
          <w:tab w:leader="none" w:pos="147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immediately after giving effect to this Second Amendment on the Second Amendment Effective Date, (i) no Default or Event of Default shall have occurred or be continuing or result therefrom and (ii) the representations and warranties contained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this Second Amendment shall be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20"/>
          </w:cols>
          <w:pgMar w:left="1440" w:top="1413" w:right="339" w:bottom="1440" w:gutter="0" w:footer="0" w:header="0"/>
        </w:sectPr>
      </w:pPr>
    </w:p>
    <w:bookmarkStart w:id="13" w:name="page14"/>
    <w:bookmarkEnd w:id="13"/>
    <w:p>
      <w:pPr>
        <w:jc w:val="both"/>
        <w:ind w:left="660" w:firstLine="1292"/>
        <w:spacing w:after="0" w:line="269" w:lineRule="auto"/>
        <w:tabs>
          <w:tab w:leader="none" w:pos="259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Substantially contemporaneously with the Second Amendment Effective Date, the Borrower Representative shall pay all fees and expenses due to the Arrangers and the Administrative Agent related to this Second Amendment (including invoiced reasonable and out-of-pocket legal fees and expenses of White &amp; Case LLP, counsel to the Arrangers and the Administrative Agent) and required to be paid (i) pursuant to this Second Amendment, (ii) pursuant to the Engagement Letter, dated June 20, 2025, among the Borrower Representative and Truist Securities (the “</w:t>
      </w:r>
      <w:r>
        <w:rPr>
          <w:rFonts w:ascii="Times New Roman" w:cs="Times New Roman" w:eastAsia="Times New Roman" w:hAnsi="Times New Roman"/>
          <w:sz w:val="19"/>
          <w:szCs w:val="19"/>
          <w:u w:val="single" w:color="auto"/>
          <w:color w:val="auto"/>
        </w:rPr>
        <w:t>Engagement Letter</w:t>
      </w:r>
      <w:r>
        <w:rPr>
          <w:rFonts w:ascii="Times New Roman" w:cs="Times New Roman" w:eastAsia="Times New Roman" w:hAnsi="Times New Roman"/>
          <w:sz w:val="19"/>
          <w:szCs w:val="19"/>
          <w:color w:val="auto"/>
        </w:rPr>
        <w:t>”) or (iii) as otherwise agreed in writing on or prior to the date hereof, and, in the case of expenses, to the extent invoiced at least one (1) Business Day prior to the Second Amendment Effective Date (except as otherwise reasonably agreed by the Borrower Representative).</w:t>
      </w:r>
    </w:p>
    <w:p>
      <w:pPr>
        <w:spacing w:after="0" w:line="162" w:lineRule="exact"/>
        <w:rPr>
          <w:rFonts w:ascii="Times New Roman" w:cs="Times New Roman" w:eastAsia="Times New Roman" w:hAnsi="Times New Roman"/>
          <w:sz w:val="19"/>
          <w:szCs w:val="19"/>
          <w:color w:val="auto"/>
        </w:rPr>
      </w:pPr>
    </w:p>
    <w:p>
      <w:pPr>
        <w:jc w:val="both"/>
        <w:ind w:left="660" w:firstLine="1292"/>
        <w:spacing w:after="0" w:line="253" w:lineRule="auto"/>
        <w:tabs>
          <w:tab w:leader="none" w:pos="259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on behalf of itself and the Lenders party hereto, a customary opinion of Jones Day, counsel to the Credit Parties, as to matters of New York, Delaware, Georgia and California law with respect to the Credit Parties, dated as of the Second Amendment Effective Date and addressed to the Administrative Agent and the Lenders party hereto, in form and substance reasonably satisfactory to the Administrative Agent and covering matters concerning the Credit Parties and the Credit Documents as the Administrative Agent may reasonably request (and as each Credit Party hereby instructs such counsel to deliver such opinions to the Administrative Agent and such Lenders).</w:t>
      </w:r>
    </w:p>
    <w:p>
      <w:pPr>
        <w:spacing w:after="0" w:line="19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9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conditions specified in Section 2.24(d)(i) of the Credit Agreement and Section 2.25(c) of the Credit Agreement, respectively, with respect to the effectiveness of this Second Amendment as an “Incremental Amendment” and a “Refinancing Amendment” thereunder shall have been satisfied.</w:t>
      </w:r>
    </w:p>
    <w:p>
      <w:pPr>
        <w:spacing w:after="0" w:line="181" w:lineRule="exact"/>
        <w:rPr>
          <w:rFonts w:ascii="Times New Roman" w:cs="Times New Roman" w:eastAsia="Times New Roman" w:hAnsi="Times New Roman"/>
          <w:sz w:val="20"/>
          <w:szCs w:val="20"/>
          <w:color w:val="auto"/>
        </w:rPr>
      </w:pPr>
    </w:p>
    <w:p>
      <w:pPr>
        <w:ind w:left="660" w:firstLine="1292"/>
        <w:spacing w:after="0" w:line="269" w:lineRule="auto"/>
        <w:tabs>
          <w:tab w:leader="none" w:pos="259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fully executed Funding Notices with respect to the 2025-1 Refinancing Term Loans and the 2025-1 Incremental Term Loans in accordance with Section 2.02 of the Credit Agreement.</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59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making of the 2025-1 Refinancing Term Loans, the Borrower Representative shall have paid (or caused to be paid) to the Administrative Agent for the account of each Lender with outstanding Initial Term Loans immediately prior to the Second Amendment Effective Date, all accrued but unpaid interest owing with respect to such Initial Term Loans through the Second Amendment Effective Date.</w:t>
      </w:r>
    </w:p>
    <w:p>
      <w:pPr>
        <w:spacing w:after="0" w:line="174"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304"/>
        <w:spacing w:after="0" w:line="251" w:lineRule="auto"/>
        <w:tabs>
          <w:tab w:leader="none" w:pos="193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induce the parties hereto to enter into this Second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amended and restated, supplemented or otherwise modified prior to or as of the date hereof. The Borrower Representative acknowledges and agrees that each of the Credit Documents to which it is a party or otherwise bound shall continue in full force and effect,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Second Amendment.</w:t>
      </w:r>
    </w:p>
    <w:p>
      <w:pPr>
        <w:spacing w:after="0" w:line="181"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furtherance of the foregoing </w:t>
      </w:r>
      <w:r>
        <w:rPr>
          <w:rFonts w:ascii="Times New Roman" w:cs="Times New Roman" w:eastAsia="Times New Roman" w:hAnsi="Times New Roman"/>
          <w:sz w:val="20"/>
          <w:szCs w:val="20"/>
          <w:u w:val="single" w:color="auto"/>
          <w:color w:val="auto"/>
        </w:rPr>
        <w:t>Section 8(a)</w:t>
      </w:r>
      <w:r>
        <w:rPr>
          <w:rFonts w:ascii="Times New Roman" w:cs="Times New Roman" w:eastAsia="Times New Roman" w:hAnsi="Times New Roman"/>
          <w:sz w:val="20"/>
          <w:szCs w:val="20"/>
          <w:color w:val="auto"/>
        </w:rPr>
        <w:t>, each Credit Party, in its capacity as a Guarantor under any Guaranty to which it is a party (in such capacity, each a “</w:t>
      </w:r>
      <w:r>
        <w:rPr>
          <w:rFonts w:ascii="Times New Roman" w:cs="Times New Roman" w:eastAsia="Times New Roman" w:hAnsi="Times New Roman"/>
          <w:sz w:val="20"/>
          <w:szCs w:val="20"/>
          <w:u w:val="single" w:color="auto"/>
          <w:color w:val="auto"/>
        </w:rPr>
        <w:t>Reaffirming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reaffirms its guarantee of the Guaranteed Obligations under the terms and conditions of such Guaranty and agrees that such Guaranty remains in full force and effect to the extent set forth in such Guaranty and after giving effect to this Second Amendment. Each Reaffirming Loan Guarantor hereby confirms that it consents to the terms of this Second Amendment and the Amended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Second Amendment; and (iii) acknowledges, agrees and warrants for the benefit of the Administrative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93" w:lineRule="exact"/>
        <w:rPr>
          <w:sz w:val="20"/>
          <w:szCs w:val="20"/>
          <w:color w:val="auto"/>
        </w:rPr>
      </w:pPr>
    </w:p>
    <w:p>
      <w:pPr>
        <w:jc w:val="both"/>
        <w:ind w:firstLine="1304"/>
        <w:spacing w:after="0" w:line="263" w:lineRule="auto"/>
        <w:tabs>
          <w:tab w:leader="none" w:pos="193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furtherance of the foregoing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each of the Credit Parties that is party to any Collateral Document, in its capacity as a Grantor (as defined in such Collateral Document) under such Collateral Document (in such capacity, each a “</w:t>
      </w:r>
      <w:r>
        <w:rPr>
          <w:rFonts w:ascii="Times New Roman" w:cs="Times New Roman" w:eastAsia="Times New Roman" w:hAnsi="Times New Roman"/>
          <w:sz w:val="19"/>
          <w:szCs w:val="19"/>
          <w:u w:val="single" w:color="auto"/>
          <w:color w:val="auto"/>
        </w:rPr>
        <w:t>Reaffirming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Grantor</w:t>
      </w:r>
      <w:r>
        <w:rPr>
          <w:rFonts w:ascii="Times New Roman" w:cs="Times New Roman" w:eastAsia="Times New Roman" w:hAnsi="Times New Roman"/>
          <w:sz w:val="19"/>
          <w:szCs w:val="19"/>
          <w:color w:val="auto"/>
        </w:rPr>
        <w:t>”), hereby acknowledges that it has reviewed and consents to the terms and conditions of this Second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Second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78"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acknowledges and agrees that (i) notwithstanding the conditions to effectiveness set forth in this Second Amendment, such Guarantor is not required by the terms of the Credit Agreement or any other Credit Document to consent to this Second Amendment and (ii) nothing in the Credit Agreement, this Second Amendment or any other Credit Document shall be deemed to require the consent of such Guarantor to any future amendment, consent or waiver of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15" w:name="page16"/>
    <w:bookmarkEnd w:id="15"/>
    <w:p>
      <w:pPr>
        <w:jc w:val="right"/>
        <w:ind w:left="340"/>
        <w:spacing w:after="0" w:line="222"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LIMITED AMENDMENT</w:t>
      </w:r>
      <w:r>
        <w:rPr>
          <w:rFonts w:ascii="Times New Roman" w:cs="Times New Roman" w:eastAsia="Times New Roman" w:hAnsi="Times New Roman"/>
          <w:sz w:val="20"/>
          <w:szCs w:val="20"/>
          <w:color w:val="auto"/>
        </w:rPr>
        <w:t>. Each Credit Party hereto hereby agrees that with respect to each Credit Document to which it is a party, after giving effect to this Second Amendment, this Second Amendment is limited to the matters specified herein</w:t>
      </w:r>
    </w:p>
    <w:p>
      <w:pPr>
        <w:spacing w:after="0" w:line="2"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and shall not constitute a modification, acceptance or waiver of any other provision of the Credit Agreement or any other Credit Document.</w:t>
      </w:r>
    </w:p>
    <w:p>
      <w:pPr>
        <w:spacing w:after="0" w:line="162" w:lineRule="exact"/>
        <w:rPr>
          <w:sz w:val="20"/>
          <w:szCs w:val="20"/>
          <w:color w:val="auto"/>
        </w:rPr>
      </w:pPr>
    </w:p>
    <w:p>
      <w:pPr>
        <w:ind w:left="34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CONSENT.</w:t>
      </w:r>
    </w:p>
    <w:p>
      <w:pPr>
        <w:spacing w:after="0" w:line="202" w:lineRule="exact"/>
        <w:rPr>
          <w:sz w:val="20"/>
          <w:szCs w:val="20"/>
          <w:color w:val="auto"/>
        </w:rPr>
      </w:pPr>
    </w:p>
    <w:p>
      <w:pPr>
        <w:jc w:val="both"/>
        <w:ind w:firstLine="1304"/>
        <w:spacing w:after="0" w:line="251" w:lineRule="auto"/>
        <w:tabs>
          <w:tab w:leader="none" w:pos="193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Representative hereby consents to the assignment of any 2025-1 Refinancing Term Loans and 2025-1 Incremental Term Loans pursuant to and in connection with the terms of this Second Amendment to the extent such consent would be required under Section 10.06 of the Amended Credit Agreement for an assignment of 2025-1 Refinancing Term Loans or 2025-1 Incremental Term Loans, as applicable, to any Eligible Assignee, in each case, to the extent disclosed to the Borrower Representative prior to the date hereof. The Borrower Representative hereby consents to the Administrative Agent’s use of the signature page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 connection with the assignments to Eligible Assignees previously disclosed to the Borrower Representative in accordance with the immediately preceding sentence and the Administrative Agent may affix such signature page to each Assignment Agreement that relates to such assignments.</w:t>
      </w:r>
    </w:p>
    <w:p>
      <w:pPr>
        <w:spacing w:after="0" w:line="181"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hereby consents to the assignment of 2025-1 Refinancing Term Loans and 2025-1 Incremental Term Loans pursuant to and in connection with the terms of this Second Amendment to the extent such consent would be required under Section 10.06 of the Amended Credit Agreement for an assignment of 2025-1 Refinancing Term Loans or 2025-1 Incremental Term Loans, as applicable, to an Eligible Assignee and to use the signature page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 connection with such assignments and that such signature page may be affixed to each applicable Assignment Agreement.</w:t>
      </w:r>
    </w:p>
    <w:p>
      <w:pPr>
        <w:spacing w:after="0" w:line="159"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1304"/>
        <w:spacing w:after="0" w:line="253"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This Second Amendment is limited to the matters specified herein and shall not constitute a modification, acceptance or waiver of any other provision of the Credit Agreement or any other Credit Document except as set forth herein.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7"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Etc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SECOND AMENDMENT SHALL BE GOVERNED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AND CONSTRUED IN ACCORDANCE WITH, THE LAW OF THE STATE OF NEW YORK. </w:t>
      </w:r>
      <w:r>
        <w:rPr>
          <w:rFonts w:ascii="Times New Roman" w:cs="Times New Roman" w:eastAsia="Times New Roman" w:hAnsi="Times New Roman"/>
          <w:sz w:val="20"/>
          <w:szCs w:val="20"/>
          <w:color w:val="auto"/>
        </w:rPr>
        <w:t>Sections 10.15 and 10.16 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are incorporated by reference herein as if such Sections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20" w:firstLine="1304"/>
        <w:spacing w:after="0" w:line="269"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Section 10.11 of the Credit Agreement is incorporated by reference herein as if such Section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Headings</w:t>
      </w:r>
      <w:r>
        <w:rPr>
          <w:rFonts w:ascii="Times New Roman" w:cs="Times New Roman" w:eastAsia="Times New Roman" w:hAnsi="Times New Roman"/>
          <w:sz w:val="20"/>
          <w:szCs w:val="20"/>
          <w:color w:val="auto"/>
        </w:rPr>
        <w:t>. This Second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Second Amendment shall be effective as delivery of an original executed counterpart of this Second Amendment. The Agent may also require that signatures delivered by telecopier, .pdf or other electronic imaging means be confirmed by a manually signed original thereof; provided that the failure to request or deliver the same shall not limit the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20"/>
          <w:szCs w:val="20"/>
          <w:color w:val="auto"/>
        </w:rPr>
        <w:t>this Second Amendment or signature delivered by telecopier, .pdf or other electronic imaging means. The words “execution,” “execute,” “signed,” “signature,” and words of like import in or related to this Second Amendment or any other document to be signed in connection with this Second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Section headings herein are included for convenience of reference only and shall not affect the interpretation of this Second Amendment.</w:t>
      </w:r>
    </w:p>
    <w:p>
      <w:pPr>
        <w:spacing w:after="0" w:line="200" w:lineRule="exact"/>
        <w:rPr>
          <w:sz w:val="20"/>
          <w:szCs w:val="20"/>
          <w:color w:val="auto"/>
        </w:rPr>
      </w:pPr>
    </w:p>
    <w:p>
      <w:pPr>
        <w:jc w:val="both"/>
        <w:ind w:firstLine="1304"/>
        <w:spacing w:after="0" w:line="254" w:lineRule="auto"/>
        <w:tabs>
          <w:tab w:leader="none" w:pos="19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Representative hereby agrees to pay and reimburse the Administrative Agent for its reasonable and documented out-of-pocket expenses in connection with the negotiation, preparation, syndication and execution and delivery of this Second Amendment, including without limitation, the reasonable fees, charges and disbursements of one counsel for the Administrative Agent, all in accordance with Section 10.02 of the Credit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color w:val="auto"/>
        </w:rPr>
        <w:t>IN WITNESS WHEREOF, the parties hereto have executed and delivered this Second Amendment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HOLDINGS, LLC</w:t>
      </w:r>
      <w:r>
        <w:rPr>
          <w:rFonts w:ascii="Times New Roman" w:cs="Times New Roman" w:eastAsia="Times New Roman" w:hAnsi="Times New Roman"/>
          <w:sz w:val="20"/>
          <w:szCs w:val="20"/>
          <w:color w:val="auto"/>
        </w:rPr>
        <w:t>, as the Borrower Representative</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COMMERCIAL PAYMENTS,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165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PAYMENT SYSTEMS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165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PRIORITY FINANCE,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165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REAL ESTATE TECHNOLOGY,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165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Second Amendment]</w:t>
      </w:r>
    </w:p>
    <w:p>
      <w:pPr>
        <w:sectPr>
          <w:pgSz w:w="11900" w:h="16838" w:orient="portrait"/>
          <w:cols w:equalWidth="0" w:num="1">
            <w:col w:w="11240"/>
          </w:cols>
          <w:pgMar w:left="320" w:top="1413" w:right="339" w:bottom="1440" w:gutter="0" w:footer="0" w:header="0"/>
        </w:sectPr>
      </w:pPr>
    </w:p>
    <w:bookmarkStart w:id="18" w:name="page19"/>
    <w:bookmarkEnd w:id="18"/>
    <w:p>
      <w:pPr>
        <w:ind w:left="2780"/>
        <w:spacing w:after="0"/>
        <w:rPr>
          <w:sz w:val="20"/>
          <w:szCs w:val="20"/>
          <w:color w:val="auto"/>
        </w:rPr>
      </w:pPr>
      <w:r>
        <w:rPr>
          <w:rFonts w:ascii="Times New Roman" w:cs="Times New Roman" w:eastAsia="Times New Roman" w:hAnsi="Times New Roman"/>
          <w:sz w:val="20"/>
          <w:szCs w:val="20"/>
          <w:b w:val="1"/>
          <w:bCs w:val="1"/>
          <w:color w:val="auto"/>
        </w:rPr>
        <w:t>PRIORITY HOSPITALITY TECHNOLOGY,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HOLDINGS,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INTERMEDIATE,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PRIORITY PAYRIGHT HEALTH SOLUTIONS, LLC</w:t>
      </w:r>
      <w:r>
        <w:rPr>
          <w:rFonts w:ascii="Times New Roman" w:cs="Times New Roman" w:eastAsia="Times New Roman" w:hAnsi="Times New Roman"/>
          <w:sz w:val="19"/>
          <w:szCs w:val="19"/>
          <w:color w:val="auto"/>
        </w:rPr>
        <w:t>, as a Guarantor</w:t>
      </w:r>
    </w:p>
    <w:p>
      <w:pPr>
        <w:spacing w:after="0" w:line="200" w:lineRule="exact"/>
        <w:rPr>
          <w:sz w:val="20"/>
          <w:szCs w:val="20"/>
          <w:color w:val="auto"/>
        </w:rPr>
      </w:pPr>
    </w:p>
    <w:p>
      <w:pPr>
        <w:spacing w:after="0" w:line="30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ectPr>
          <w:pgSz w:w="11900" w:h="16838" w:orient="portrait"/>
          <w:cols w:equalWidth="0" w:num="1">
            <w:col w:w="9019"/>
          </w:cols>
          <w:pgMar w:left="1440" w:top="1409" w:right="1440" w:bottom="1440" w:gutter="0" w:footer="0" w:header="0"/>
        </w:sectPr>
      </w:pPr>
    </w:p>
    <w:bookmarkStart w:id="19" w:name="page20"/>
    <w:bookmarkEnd w:id="19"/>
    <w:p>
      <w:pPr>
        <w:ind w:left="2780"/>
        <w:spacing w:after="0"/>
        <w:rPr>
          <w:sz w:val="20"/>
          <w:szCs w:val="20"/>
          <w:color w:val="auto"/>
        </w:rPr>
      </w:pPr>
      <w:r>
        <w:rPr>
          <w:rFonts w:ascii="Times New Roman" w:cs="Times New Roman" w:eastAsia="Times New Roman" w:hAnsi="Times New Roman"/>
          <w:sz w:val="19"/>
          <w:szCs w:val="19"/>
          <w:b w:val="1"/>
          <w:bCs w:val="1"/>
          <w:color w:val="auto"/>
        </w:rPr>
        <w:t>PRIORITY ACCOUNT ADMINISTRATION SERVICES, INC.</w:t>
      </w:r>
      <w:r>
        <w:rPr>
          <w:rFonts w:ascii="Times New Roman" w:cs="Times New Roman" w:eastAsia="Times New Roman" w:hAnsi="Times New Roman"/>
          <w:sz w:val="19"/>
          <w:szCs w:val="19"/>
          <w:color w:val="auto"/>
        </w:rPr>
        <w:t>, as a Guarantor</w:t>
      </w:r>
    </w:p>
    <w:p>
      <w:pPr>
        <w:spacing w:after="0" w:line="200" w:lineRule="exact"/>
        <w:rPr>
          <w:sz w:val="20"/>
          <w:szCs w:val="20"/>
          <w:color w:val="auto"/>
        </w:rPr>
      </w:pPr>
    </w:p>
    <w:p>
      <w:pPr>
        <w:spacing w:after="0" w:line="31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PRIORITY TECH VENTURES,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ectPr>
          <w:pgSz w:w="11900" w:h="16838" w:orient="portrait"/>
          <w:cols w:equalWidth="0" w:num="1">
            <w:col w:w="9440"/>
          </w:cols>
          <w:pgMar w:left="1440" w:top="1409" w:right="1019" w:bottom="1440" w:gutter="0" w:footer="0" w:header="0"/>
        </w:sectPr>
      </w:pPr>
    </w:p>
    <w:bookmarkStart w:id="20" w:name="page21"/>
    <w:bookmarkEnd w:id="20"/>
    <w:p>
      <w:pPr>
        <w:spacing w:after="0" w:line="266" w:lineRule="exact"/>
        <w:rPr>
          <w:sz w:val="20"/>
          <w:szCs w:val="20"/>
          <w:color w:val="auto"/>
        </w:rPr>
      </w:pPr>
    </w:p>
    <w:p>
      <w:pPr>
        <w:jc w:val="both"/>
        <w:ind w:left="4520"/>
        <w:spacing w:after="0" w:line="263" w:lineRule="auto"/>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the Administrative Agent, Collateral Agent,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2025-1 Incremental Term Lender and the 2025-1 Designated Fronting Lender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20"/>
          <w:szCs w:val="20"/>
          <w:color w:val="auto"/>
        </w:rPr>
        <w:t>By:</w:t>
        <w:tab/>
        <w:t>/s/ Tyler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Name: Tyler Stephens</w:t>
      </w:r>
    </w:p>
    <w:p>
      <w:pPr>
        <w:spacing w:after="0" w:line="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060"/>
          </w:cols>
          <w:pgMar w:left="1440" w:top="1440" w:right="399" w:bottom="1440" w:gutter="0" w:footer="0" w:header="0"/>
        </w:sectPr>
      </w:pPr>
    </w:p>
    <w:bookmarkStart w:id="21" w:name="page22"/>
    <w:bookmarkEnd w:id="21"/>
    <w:p>
      <w:pPr>
        <w:spacing w:after="0" w:line="23" w:lineRule="exact"/>
        <w:rPr>
          <w:sz w:val="20"/>
          <w:szCs w:val="20"/>
          <w:color w:val="auto"/>
        </w:rPr>
      </w:pPr>
    </w:p>
    <w:p>
      <w:pPr>
        <w:ind w:left="4520"/>
        <w:spacing w:after="0" w:line="287" w:lineRule="auto"/>
        <w:rPr>
          <w:sz w:val="20"/>
          <w:szCs w:val="20"/>
          <w:color w:val="auto"/>
        </w:rPr>
      </w:pPr>
      <w:r>
        <w:rPr>
          <w:rFonts w:ascii="Times New Roman" w:cs="Times New Roman" w:eastAsia="Times New Roman" w:hAnsi="Times New Roman"/>
          <w:sz w:val="20"/>
          <w:szCs w:val="20"/>
          <w:b w:val="1"/>
          <w:bCs w:val="1"/>
          <w:color w:val="auto"/>
        </w:rPr>
        <w:t>GOLDMAN SACHS PRIVATE CREDIT CORP</w:t>
      </w:r>
      <w:r>
        <w:rPr>
          <w:rFonts w:ascii="Times New Roman" w:cs="Times New Roman" w:eastAsia="Times New Roman" w:hAnsi="Times New Roman"/>
          <w:sz w:val="20"/>
          <w:szCs w:val="20"/>
          <w:color w:val="auto"/>
        </w:rPr>
        <w:t>, as a New 2025-1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Refinancing Term Lender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20"/>
          <w:szCs w:val="20"/>
          <w:color w:val="auto"/>
        </w:rPr>
        <w:t>By:</w:t>
        <w:tab/>
        <w:t>/s/ Matthew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1067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Name: Matthew Carter</w:t>
      </w:r>
    </w:p>
    <w:p>
      <w:pPr>
        <w:spacing w:after="0" w:line="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[Signature Page to Second Amendment]</w:t>
      </w:r>
    </w:p>
    <w:p>
      <w:pPr>
        <w:sectPr>
          <w:pgSz w:w="11900" w:h="16838" w:orient="portrait"/>
          <w:cols w:equalWidth="0" w:num="1">
            <w:col w:w="10040"/>
          </w:cols>
          <w:pgMar w:left="1440" w:top="1440" w:right="419" w:bottom="1440" w:gutter="0" w:footer="0" w:header="0"/>
        </w:sectPr>
      </w:pPr>
    </w:p>
    <w:bookmarkStart w:id="22" w:name="page23"/>
    <w:bookmarkEnd w:id="22"/>
    <w:p>
      <w:pPr>
        <w:spacing w:after="0" w:line="200" w:lineRule="exact"/>
        <w:rPr>
          <w:sz w:val="20"/>
          <w:szCs w:val="20"/>
          <w:color w:val="auto"/>
        </w:rPr>
      </w:pPr>
    </w:p>
    <w:p>
      <w:pPr>
        <w:spacing w:after="0" w:line="251" w:lineRule="exact"/>
        <w:rPr>
          <w:sz w:val="20"/>
          <w:szCs w:val="20"/>
          <w:color w:val="auto"/>
        </w:rPr>
      </w:pPr>
    </w:p>
    <w:p>
      <w:pPr>
        <w:jc w:val="both"/>
        <w:ind w:left="4520"/>
        <w:spacing w:after="0" w:line="256" w:lineRule="auto"/>
        <w:rPr>
          <w:sz w:val="20"/>
          <w:szCs w:val="20"/>
          <w:color w:val="auto"/>
        </w:rPr>
      </w:pPr>
      <w:r>
        <w:rPr>
          <w:rFonts w:ascii="Times New Roman" w:cs="Times New Roman" w:eastAsia="Times New Roman" w:hAnsi="Times New Roman"/>
          <w:sz w:val="22"/>
          <w:szCs w:val="22"/>
          <w:b w:val="1"/>
          <w:bCs w:val="1"/>
          <w:color w:val="auto"/>
        </w:rPr>
        <w:t>SYNOVUS BANK</w:t>
      </w:r>
      <w:r>
        <w:rPr>
          <w:rFonts w:ascii="Times New Roman" w:cs="Times New Roman" w:eastAsia="Times New Roman" w:hAnsi="Times New Roman"/>
          <w:sz w:val="19"/>
          <w:szCs w:val="19"/>
          <w:color w:val="auto"/>
        </w:rPr>
        <w:t>, as a Revolving Credit Lender and a 2025-1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Incremental Revolving Credit Lender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4520"/>
        <w:spacing w:after="0"/>
        <w:tabs>
          <w:tab w:leader="none" w:pos="5040" w:val="left"/>
        </w:tabs>
        <w:rPr>
          <w:sz w:val="20"/>
          <w:szCs w:val="20"/>
          <w:color w:val="auto"/>
        </w:rPr>
      </w:pPr>
      <w:r>
        <w:rPr>
          <w:rFonts w:ascii="Times New Roman" w:cs="Times New Roman" w:eastAsia="Times New Roman" w:hAnsi="Times New Roman"/>
          <w:sz w:val="20"/>
          <w:szCs w:val="20"/>
          <w:color w:val="auto"/>
        </w:rPr>
        <w:t>By:</w:t>
        <w:tab/>
        <w:t>/s/ Brooks Asger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970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8"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20"/>
          <w:szCs w:val="20"/>
          <w:color w:val="auto"/>
        </w:rPr>
        <w:t>Name: Brooks Asger</w:t>
      </w:r>
    </w:p>
    <w:p>
      <w:pPr>
        <w:spacing w:after="0" w:line="13"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8" w:lineRule="exact"/>
        <w:rPr>
          <w:sz w:val="20"/>
          <w:szCs w:val="20"/>
          <w:color w:val="auto"/>
        </w:rPr>
      </w:pPr>
    </w:p>
    <w:p>
      <w:pPr>
        <w:ind w:left="4540"/>
        <w:spacing w:after="0" w:line="256" w:lineRule="auto"/>
        <w:rPr>
          <w:sz w:val="20"/>
          <w:szCs w:val="20"/>
          <w:color w:val="auto"/>
        </w:rPr>
      </w:pPr>
      <w:r>
        <w:rPr>
          <w:rFonts w:ascii="Times New Roman" w:cs="Times New Roman" w:eastAsia="Times New Roman" w:hAnsi="Times New Roman"/>
          <w:sz w:val="22"/>
          <w:szCs w:val="22"/>
          <w:b w:val="1"/>
          <w:bCs w:val="1"/>
          <w:color w:val="auto"/>
        </w:rPr>
        <w:t>THE HUNTINGTON NATIONAL BANK</w:t>
      </w:r>
      <w:r>
        <w:rPr>
          <w:rFonts w:ascii="Times New Roman" w:cs="Times New Roman" w:eastAsia="Times New Roman" w:hAnsi="Times New Roman"/>
          <w:sz w:val="19"/>
          <w:szCs w:val="19"/>
          <w:color w:val="auto"/>
        </w:rPr>
        <w:t>, as a Revolving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Credit Lender and a 2025-1 Incremental Revolving Credit Lender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Michelle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-10795</wp:posOffset>
            </wp:positionV>
            <wp:extent cx="12350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Michelle Frederick</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6" w:lineRule="exact"/>
        <w:rPr>
          <w:sz w:val="20"/>
          <w:szCs w:val="20"/>
          <w:color w:val="auto"/>
        </w:rPr>
      </w:pPr>
    </w:p>
    <w:p>
      <w:pPr>
        <w:jc w:val="both"/>
        <w:ind w:left="4520"/>
        <w:spacing w:after="0" w:line="263" w:lineRule="auto"/>
        <w:rPr>
          <w:sz w:val="20"/>
          <w:szCs w:val="20"/>
          <w:color w:val="auto"/>
        </w:rPr>
      </w:pPr>
      <w:r>
        <w:rPr>
          <w:rFonts w:ascii="Times New Roman" w:cs="Times New Roman" w:eastAsia="Times New Roman" w:hAnsi="Times New Roman"/>
          <w:sz w:val="20"/>
          <w:szCs w:val="20"/>
          <w:b w:val="1"/>
          <w:bCs w:val="1"/>
          <w:color w:val="auto"/>
        </w:rPr>
        <w:t>THE TORONTO-DOMINION BANK, NEW YORK BRANCH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Revolving Credit Lender and a 2025-1 Incremental Revolving Credit Lender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4520"/>
        <w:spacing w:after="0"/>
        <w:tabs>
          <w:tab w:leader="none" w:pos="5040" w:val="left"/>
        </w:tabs>
        <w:rPr>
          <w:sz w:val="20"/>
          <w:szCs w:val="20"/>
          <w:color w:val="auto"/>
        </w:rPr>
      </w:pPr>
      <w:r>
        <w:rPr>
          <w:rFonts w:ascii="Times New Roman" w:cs="Times New Roman" w:eastAsia="Times New Roman" w:hAnsi="Times New Roman"/>
          <w:sz w:val="20"/>
          <w:szCs w:val="20"/>
          <w:color w:val="auto"/>
        </w:rPr>
        <w:t>By:</w:t>
        <w:tab/>
        <w:t>/s/ Archana Joshee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1067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2"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20"/>
          <w:szCs w:val="20"/>
          <w:color w:val="auto"/>
        </w:rPr>
        <w:t>Name: Archana Joshee</w:t>
      </w:r>
    </w:p>
    <w:p>
      <w:pPr>
        <w:spacing w:after="0" w:line="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SOUTHSTATE BANK, N.A.</w:t>
      </w:r>
      <w:r>
        <w:rPr>
          <w:rFonts w:ascii="Times New Roman" w:cs="Times New Roman" w:eastAsia="Times New Roman" w:hAnsi="Times New Roman"/>
          <w:sz w:val="20"/>
          <w:szCs w:val="20"/>
          <w:color w:val="auto"/>
        </w:rPr>
        <w:t>, as a Revolving Credit Lender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20"/>
          <w:szCs w:val="20"/>
          <w:color w:val="auto"/>
        </w:rPr>
        <w:t>By:</w:t>
        <w:tab/>
        <w:t>/s/ Blair J.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942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Name: Blair J. Bond</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Title: SVP</w:t>
      </w:r>
    </w:p>
    <w:p>
      <w:pPr>
        <w:sectPr>
          <w:pgSz w:w="11900" w:h="16838" w:orient="portrait"/>
          <w:cols w:equalWidth="0" w:num="1">
            <w:col w:w="10040"/>
          </w:cols>
          <w:pgMar w:left="1440" w:top="1440" w:right="41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9"/>
          <w:szCs w:val="19"/>
          <w:color w:val="auto"/>
        </w:rPr>
        <w:t>[2025-1 Converting Lender Signature Pages on file with Administrative Agent]</w:t>
      </w:r>
    </w:p>
    <w:p>
      <w:pPr>
        <w:sectPr>
          <w:pgSz w:w="11900" w:h="16838" w:orient="portrait"/>
          <w:cols w:equalWidth="0" w:num="1">
            <w:col w:w="9019"/>
          </w:cols>
          <w:pgMar w:left="1440" w:top="1413" w:right="1440"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20"/>
          <w:szCs w:val="20"/>
          <w:color w:val="auto"/>
        </w:rPr>
        <w:t>ANNEX I</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2025-1 Incremental Revolving Credit Commitments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2025-1 Incremental Revolving Credit Lender</w:t>
            </w:r>
          </w:p>
        </w:tc>
        <w:tc>
          <w:tcPr>
            <w:tcW w:w="5620" w:type="dxa"/>
            <w:vAlign w:val="bottom"/>
            <w:tcBorders>
              <w:top w:val="single" w:sz="8" w:color="auto"/>
              <w:bottom w:val="single" w:sz="8" w:color="auto"/>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0"/>
                <w:szCs w:val="20"/>
                <w:color w:val="auto"/>
              </w:rPr>
              <w:t>2025-1 Incremental Revolving Credit Commitment</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Synovus Bank</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$15,000,000.00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The Huntington National Bank</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The Toronto-Dominion Bank, New York Branch</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$30,000,000.00</w:t>
            </w:r>
          </w:p>
        </w:tc>
      </w:tr>
    </w:tbl>
    <w:p>
      <w:pPr>
        <w:sectPr>
          <w:pgSz w:w="11900" w:h="16838" w:orient="portrait"/>
          <w:cols w:equalWidth="0" w:num="1">
            <w:col w:w="11260"/>
          </w:cols>
          <w:pgMar w:left="320" w:top="1413"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color w:val="FF0000"/>
          <w:strike w:val="1"/>
        </w:rPr>
        <w:t>A</w:t>
      </w:r>
      <w:r>
        <w:rPr>
          <w:rFonts w:ascii="Times New Roman" w:cs="Times New Roman" w:eastAsia="Times New Roman" w:hAnsi="Times New Roman"/>
          <w:sz w:val="18"/>
          <w:szCs w:val="18"/>
          <w:b w:val="1"/>
          <w:bCs w:val="1"/>
          <w:u w:val="single" w:color="auto"/>
          <w:color w:val="0000FF"/>
        </w:rPr>
        <w:t>C</w:t>
      </w:r>
      <w:r>
        <w:rPr>
          <w:rFonts w:ascii="Times New Roman" w:cs="Times New Roman" w:eastAsia="Times New Roman" w:hAnsi="Times New Roman"/>
          <w:sz w:val="18"/>
          <w:szCs w:val="18"/>
          <w:b w:val="1"/>
          <w:bCs w:val="1"/>
          <w:color w:val="auto"/>
        </w:rPr>
        <w:t xml:space="preserve"> to Amendment No. </w:t>
      </w:r>
      <w:r>
        <w:rPr>
          <w:rFonts w:ascii="Times New Roman" w:cs="Times New Roman" w:eastAsia="Times New Roman" w:hAnsi="Times New Roman"/>
          <w:sz w:val="18"/>
          <w:szCs w:val="18"/>
          <w:b w:val="1"/>
          <w:bCs w:val="1"/>
          <w:color w:val="FF0000"/>
          <w:strike w:val="1"/>
        </w:rPr>
        <w:t>1</w:t>
      </w:r>
      <w:r>
        <w:rPr>
          <w:rFonts w:ascii="Times New Roman" w:cs="Times New Roman" w:eastAsia="Times New Roman" w:hAnsi="Times New Roman"/>
          <w:sz w:val="18"/>
          <w:szCs w:val="18"/>
          <w:b w:val="1"/>
          <w:bCs w:val="1"/>
          <w:u w:val="single" w:color="auto"/>
          <w:color w:val="0000FF"/>
        </w:rPr>
        <w:t>2</w:t>
      </w:r>
      <w:r>
        <w:rPr>
          <w:rFonts w:ascii="Times New Roman" w:cs="Times New Roman" w:eastAsia="Times New Roman" w:hAnsi="Times New Roman"/>
          <w:sz w:val="18"/>
          <w:szCs w:val="18"/>
          <w:b w:val="1"/>
          <w:bCs w:val="1"/>
          <w:color w:val="auto"/>
        </w:rPr>
        <w:t xml:space="preserve">, dated </w:t>
      </w:r>
      <w:r>
        <w:rPr>
          <w:rFonts w:ascii="Times New Roman" w:cs="Times New Roman" w:eastAsia="Times New Roman" w:hAnsi="Times New Roman"/>
          <w:sz w:val="18"/>
          <w:szCs w:val="18"/>
          <w:b w:val="1"/>
          <w:bCs w:val="1"/>
          <w:color w:val="FF0000"/>
          <w:strike w:val="1"/>
        </w:rPr>
        <w:t>November 21</w:t>
      </w:r>
      <w:r>
        <w:rPr>
          <w:rFonts w:ascii="Times New Roman" w:cs="Times New Roman" w:eastAsia="Times New Roman" w:hAnsi="Times New Roman"/>
          <w:sz w:val="18"/>
          <w:szCs w:val="18"/>
          <w:b w:val="1"/>
          <w:bCs w:val="1"/>
          <w:u w:val="single" w:color="auto"/>
          <w:color w:val="0000FF"/>
        </w:rPr>
        <w:t>July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FF0000"/>
          <w:strike w:val="1"/>
        </w:rPr>
        <w:t>2024</w:t>
      </w:r>
      <w:r>
        <w:rPr>
          <w:rFonts w:ascii="Times New Roman" w:cs="Times New Roman" w:eastAsia="Times New Roman" w:hAnsi="Times New Roman"/>
          <w:sz w:val="18"/>
          <w:szCs w:val="18"/>
          <w:b w:val="1"/>
          <w:bCs w:val="1"/>
          <w:u w:val="single" w:color="auto"/>
          <w:color w:val="0000FF"/>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Dated May 16,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2"/>
          <w:szCs w:val="22"/>
          <w:u w:val="single" w:color="auto"/>
          <w:color w:val="0000FF"/>
        </w:rPr>
        <w:t>(as amended by Amendment No. 1 to the Credit and Guaranty Agreement, dated as of November 21, 2024 and Amendment No. 2 to the Credit and Guaranty Agreement, dated as of July 31, 2025)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 Borrower and the Borrower Representative,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OTHER CREDIT PARTIES PARTY HERETO FROM TIME TO TIME,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 FROM TIME TO TIME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TRUIST BANK,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SOUTHSTATE BANK, N.A.,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ectPr>
          <w:pgSz w:w="11900" w:h="16838" w:orient="portrait"/>
          <w:cols w:equalWidth="0" w:num="1">
            <w:col w:w="11220"/>
          </w:cols>
          <w:pgMar w:left="340" w:top="1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3"/>
          <w:szCs w:val="23"/>
          <w:b w:val="1"/>
          <w:bCs w:val="1"/>
          <w:color w:val="auto"/>
        </w:rPr>
        <w:t>Table of Contents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1.</w:t>
            </w:r>
          </w:p>
        </w:tc>
        <w:tc>
          <w:tcPr>
            <w:tcW w:w="2980" w:type="dxa"/>
            <w:vAlign w:val="bottom"/>
            <w:gridSpan w:val="41"/>
          </w:tcPr>
          <w:p>
            <w:pPr>
              <w:ind w:left="220"/>
              <w:spacing w:after="0"/>
              <w:rPr>
                <w:sz w:val="20"/>
                <w:szCs w:val="20"/>
                <w:color w:val="auto"/>
              </w:rPr>
            </w:pPr>
            <w:r>
              <w:rPr>
                <w:rFonts w:ascii="Times New Roman" w:cs="Times New Roman" w:eastAsia="Times New Roman" w:hAnsi="Times New Roman"/>
                <w:sz w:val="20"/>
                <w:szCs w:val="20"/>
                <w:color w:val="auto"/>
              </w:rPr>
              <w:t>Definitions and Interpretation  1</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322"/>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1.01</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Definitions</w:t>
            </w:r>
          </w:p>
        </w:tc>
        <w:tc>
          <w:tcPr>
            <w:tcW w:w="6660" w:type="dxa"/>
            <w:vAlign w:val="bottom"/>
            <w:gridSpan w:val="65"/>
          </w:tcPr>
          <w:p>
            <w:pPr>
              <w:ind w:left="60"/>
              <w:spacing w:after="0"/>
              <w:rPr>
                <w:sz w:val="20"/>
                <w:szCs w:val="20"/>
                <w:color w:val="auto"/>
              </w:rPr>
            </w:pPr>
            <w:r>
              <w:rPr>
                <w:rFonts w:ascii="Times New Roman" w:cs="Times New Roman" w:eastAsia="Times New Roman" w:hAnsi="Times New Roman"/>
                <w:sz w:val="20"/>
                <w:szCs w:val="20"/>
                <w:color w:val="auto"/>
                <w:w w:val="99"/>
              </w:rPr>
              <w:t>1</w:t>
            </w:r>
          </w:p>
        </w:tc>
      </w:tr>
      <w:tr>
        <w:trPr>
          <w:trHeight w:val="212"/>
        </w:trPr>
        <w:tc>
          <w:tcPr>
            <w:tcW w:w="800" w:type="dxa"/>
            <w:vAlign w:val="bottom"/>
          </w:tcPr>
          <w:p>
            <w:pPr>
              <w:ind w:left="260"/>
              <w:spacing w:after="0" w:line="212" w:lineRule="exact"/>
              <w:rPr>
                <w:sz w:val="20"/>
                <w:szCs w:val="20"/>
                <w:color w:val="auto"/>
              </w:rPr>
            </w:pPr>
            <w:r>
              <w:rPr>
                <w:rFonts w:ascii="Times New Roman" w:cs="Times New Roman" w:eastAsia="Times New Roman" w:hAnsi="Times New Roman"/>
                <w:sz w:val="20"/>
                <w:szCs w:val="20"/>
                <w:color w:val="auto"/>
              </w:rPr>
              <w:t>1.02</w:t>
            </w:r>
          </w:p>
        </w:tc>
        <w:tc>
          <w:tcPr>
            <w:tcW w:w="1660" w:type="dxa"/>
            <w:vAlign w:val="bottom"/>
            <w:gridSpan w:val="19"/>
          </w:tcPr>
          <w:p>
            <w:pPr>
              <w:ind w:left="20"/>
              <w:spacing w:after="0" w:line="212" w:lineRule="exact"/>
              <w:rPr>
                <w:sz w:val="20"/>
                <w:szCs w:val="20"/>
                <w:color w:val="auto"/>
              </w:rPr>
            </w:pPr>
            <w:r>
              <w:rPr>
                <w:rFonts w:ascii="Times New Roman" w:cs="Times New Roman" w:eastAsia="Times New Roman" w:hAnsi="Times New Roman"/>
                <w:sz w:val="20"/>
                <w:szCs w:val="20"/>
                <w:color w:val="auto"/>
              </w:rPr>
              <w:t>Accounting Terms</w:t>
            </w:r>
          </w:p>
        </w:tc>
        <w:tc>
          <w:tcPr>
            <w:tcW w:w="28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9"/>
              </w:rPr>
              <w:t>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74"/>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2740" w:type="dxa"/>
            <w:vAlign w:val="bottom"/>
            <w:tcBorders>
              <w:right w:val="single" w:sz="8" w:color="0000FF"/>
            </w:tcBorders>
            <w:gridSpan w:val="24"/>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0" w:type="dxa"/>
            <w:vAlign w:val="bottom"/>
            <w:gridSpan w:val="44"/>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1.03</w:t>
            </w:r>
          </w:p>
        </w:tc>
        <w:tc>
          <w:tcPr>
            <w:tcW w:w="16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auto"/>
              </w:rPr>
              <w:t>Interpretation, Etc.</w:t>
            </w:r>
          </w:p>
        </w:tc>
        <w:tc>
          <w:tcPr>
            <w:tcW w:w="20" w:type="dxa"/>
            <w:vAlign w:val="bottom"/>
          </w:tcPr>
          <w:p>
            <w:pPr>
              <w:spacing w:after="0"/>
              <w:rPr>
                <w:sz w:val="19"/>
                <w:szCs w:val="19"/>
                <w:color w:val="auto"/>
              </w:rPr>
            </w:pPr>
          </w:p>
        </w:tc>
        <w:tc>
          <w:tcPr>
            <w:tcW w:w="2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58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0000FF"/>
                <w:w w:val="73"/>
              </w:rPr>
              <w:t>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1040" w:type="dxa"/>
            <w:vAlign w:val="bottom"/>
            <w:gridSpan w:val="4"/>
          </w:tcPr>
          <w:p>
            <w:pPr>
              <w:ind w:left="20"/>
              <w:spacing w:after="0" w:line="209" w:lineRule="exact"/>
              <w:rPr>
                <w:sz w:val="20"/>
                <w:szCs w:val="20"/>
                <w:color w:val="auto"/>
              </w:rPr>
            </w:pPr>
            <w:r>
              <w:rPr>
                <w:rFonts w:ascii="Times New Roman" w:cs="Times New Roman" w:eastAsia="Times New Roman" w:hAnsi="Times New Roman"/>
                <w:sz w:val="20"/>
                <w:szCs w:val="20"/>
                <w:color w:val="auto"/>
              </w:rPr>
              <w:t>Rounding</w:t>
            </w:r>
          </w:p>
        </w:tc>
        <w:tc>
          <w:tcPr>
            <w:tcW w:w="16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19"/>
                <w:szCs w:val="19"/>
                <w:color w:val="FF0000"/>
                <w:strike w:val="1"/>
                <w:w w:val="73"/>
              </w:rPr>
              <w:t>59</w:t>
            </w:r>
          </w:p>
        </w:tc>
        <w:tc>
          <w:tcPr>
            <w:tcW w:w="200" w:type="dxa"/>
            <w:vAlign w:val="bottom"/>
            <w:tcBorders>
              <w:bottom w:val="single" w:sz="8" w:color="0000FF"/>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FF"/>
                <w:w w:val="89"/>
              </w:rPr>
              <w:t>60</w:t>
            </w:r>
          </w:p>
        </w:tc>
        <w:tc>
          <w:tcPr>
            <w:tcW w:w="540" w:type="dxa"/>
            <w:vAlign w:val="bottom"/>
            <w:gridSpan w:val="10"/>
          </w:tcPr>
          <w:p>
            <w:pPr>
              <w:spacing w:after="0"/>
              <w:rPr>
                <w:sz w:val="18"/>
                <w:szCs w:val="18"/>
                <w:color w:val="auto"/>
              </w:rPr>
            </w:pPr>
          </w:p>
        </w:tc>
        <w:tc>
          <w:tcPr>
            <w:tcW w:w="160" w:type="dxa"/>
            <w:vAlign w:val="bottom"/>
            <w:tcBorders>
              <w:top w:val="single" w:sz="8" w:color="0000FF"/>
            </w:tcBorders>
            <w:gridSpan w:val="2"/>
          </w:tcPr>
          <w:p>
            <w:pPr>
              <w:spacing w:after="0"/>
              <w:rPr>
                <w:sz w:val="18"/>
                <w:szCs w:val="18"/>
                <w:color w:val="auto"/>
              </w:rPr>
            </w:pPr>
          </w:p>
        </w:tc>
        <w:tc>
          <w:tcPr>
            <w:tcW w:w="5600" w:type="dxa"/>
            <w:vAlign w:val="bottom"/>
            <w:gridSpan w:val="44"/>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1.05</w:t>
            </w:r>
          </w:p>
        </w:tc>
        <w:tc>
          <w:tcPr>
            <w:tcW w:w="5320" w:type="dxa"/>
            <w:vAlign w:val="bottom"/>
            <w:gridSpan w:val="62"/>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References to Organizational Documents, Agreements, Laws, Etc.</w:t>
            </w:r>
          </w:p>
        </w:tc>
        <w:tc>
          <w:tcPr>
            <w:tcW w:w="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59</w:t>
            </w:r>
          </w:p>
        </w:tc>
        <w:tc>
          <w:tcPr>
            <w:tcW w:w="1460" w:type="dxa"/>
            <w:vAlign w:val="bottom"/>
            <w:gridSpan w:val="3"/>
          </w:tcPr>
          <w:p>
            <w:pPr>
              <w:jc w:val="right"/>
              <w:ind w:right="1260"/>
              <w:spacing w:after="0" w:line="223" w:lineRule="exact"/>
              <w:rPr>
                <w:sz w:val="20"/>
                <w:szCs w:val="20"/>
                <w:color w:val="auto"/>
              </w:rPr>
            </w:pPr>
            <w:r>
              <w:rPr>
                <w:rFonts w:ascii="Times New Roman" w:cs="Times New Roman" w:eastAsia="Times New Roman" w:hAnsi="Times New Roman"/>
                <w:sz w:val="20"/>
                <w:szCs w:val="20"/>
                <w:color w:val="0000FF"/>
                <w:w w:val="89"/>
              </w:rPr>
              <w:t>61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1.06</w:t>
            </w:r>
          </w:p>
        </w:tc>
        <w:tc>
          <w:tcPr>
            <w:tcW w:w="1220" w:type="dxa"/>
            <w:vAlign w:val="bottom"/>
            <w:gridSpan w:val="9"/>
          </w:tcPr>
          <w:p>
            <w:pPr>
              <w:ind w:left="20"/>
              <w:spacing w:after="0" w:line="209" w:lineRule="exact"/>
              <w:rPr>
                <w:sz w:val="20"/>
                <w:szCs w:val="20"/>
                <w:color w:val="auto"/>
              </w:rPr>
            </w:pPr>
            <w:r>
              <w:rPr>
                <w:rFonts w:ascii="Times New Roman" w:cs="Times New Roman" w:eastAsia="Times New Roman" w:hAnsi="Times New Roman"/>
                <w:sz w:val="20"/>
                <w:szCs w:val="20"/>
                <w:color w:val="auto"/>
              </w:rPr>
              <w:t>Time of Day</w:t>
            </w:r>
          </w:p>
        </w:tc>
        <w:tc>
          <w:tcPr>
            <w:tcW w:w="2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61</w:t>
            </w:r>
          </w:p>
        </w:tc>
        <w:tc>
          <w:tcPr>
            <w:tcW w:w="4040" w:type="dxa"/>
            <w:vAlign w:val="bottom"/>
            <w:gridSpan w:val="47"/>
          </w:tcPr>
          <w:p>
            <w:pPr>
              <w:spacing w:after="0"/>
              <w:rPr>
                <w:sz w:val="18"/>
                <w:szCs w:val="18"/>
                <w:color w:val="auto"/>
              </w:rPr>
            </w:pPr>
          </w:p>
        </w:tc>
        <w:tc>
          <w:tcPr>
            <w:tcW w:w="200" w:type="dxa"/>
            <w:vAlign w:val="bottom"/>
            <w:tcBorders>
              <w:top w:val="single" w:sz="8" w:color="0000FF"/>
            </w:tcBorders>
            <w:gridSpan w:val="2"/>
          </w:tcPr>
          <w:p>
            <w:pPr>
              <w:spacing w:after="0"/>
              <w:rPr>
                <w:sz w:val="18"/>
                <w:szCs w:val="18"/>
                <w:color w:val="auto"/>
              </w:rPr>
            </w:pPr>
          </w:p>
        </w:tc>
        <w:tc>
          <w:tcPr>
            <w:tcW w:w="1840" w:type="dxa"/>
            <w:vAlign w:val="bottom"/>
            <w:gridSpan w:val="3"/>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1.07</w:t>
            </w:r>
          </w:p>
        </w:tc>
        <w:tc>
          <w:tcPr>
            <w:tcW w:w="2980" w:type="dxa"/>
            <w:vAlign w:val="bottom"/>
            <w:gridSpan w:val="41"/>
          </w:tcPr>
          <w:p>
            <w:pPr>
              <w:ind w:left="20"/>
              <w:spacing w:after="0" w:line="223" w:lineRule="exact"/>
              <w:rPr>
                <w:sz w:val="20"/>
                <w:szCs w:val="20"/>
                <w:color w:val="auto"/>
              </w:rPr>
            </w:pPr>
            <w:r>
              <w:rPr>
                <w:rFonts w:ascii="Times New Roman" w:cs="Times New Roman" w:eastAsia="Times New Roman" w:hAnsi="Times New Roman"/>
                <w:sz w:val="20"/>
                <w:szCs w:val="20"/>
                <w:color w:val="auto"/>
              </w:rPr>
              <w:t>Timing of Payment of Performance</w:t>
            </w:r>
          </w:p>
        </w:tc>
        <w:tc>
          <w:tcPr>
            <w:tcW w:w="2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59</w:t>
            </w:r>
          </w:p>
        </w:tc>
        <w:tc>
          <w:tcPr>
            <w:tcW w:w="24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1.08</w:t>
            </w:r>
          </w:p>
        </w:tc>
        <w:tc>
          <w:tcPr>
            <w:tcW w:w="2100" w:type="dxa"/>
            <w:vAlign w:val="bottom"/>
            <w:gridSpan w:val="25"/>
          </w:tcPr>
          <w:p>
            <w:pPr>
              <w:ind w:left="20"/>
              <w:spacing w:after="0" w:line="223" w:lineRule="exact"/>
              <w:rPr>
                <w:sz w:val="20"/>
                <w:szCs w:val="20"/>
                <w:color w:val="auto"/>
              </w:rPr>
            </w:pPr>
            <w:r>
              <w:rPr>
                <w:rFonts w:ascii="Times New Roman" w:cs="Times New Roman" w:eastAsia="Times New Roman" w:hAnsi="Times New Roman"/>
                <w:sz w:val="20"/>
                <w:szCs w:val="20"/>
                <w:color w:val="auto"/>
              </w:rPr>
              <w:t>Pro Forma Calculations</w:t>
            </w:r>
          </w:p>
        </w:tc>
        <w:tc>
          <w:tcPr>
            <w:tcW w:w="20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59</w:t>
            </w:r>
          </w:p>
        </w:tc>
        <w:tc>
          <w:tcPr>
            <w:tcW w:w="20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61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1.09</w:t>
            </w:r>
          </w:p>
        </w:tc>
        <w:tc>
          <w:tcPr>
            <w:tcW w:w="16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auto"/>
              </w:rPr>
              <w:t>Currency Generally</w:t>
            </w:r>
          </w:p>
        </w:tc>
        <w:tc>
          <w:tcPr>
            <w:tcW w:w="20" w:type="dxa"/>
            <w:vAlign w:val="bottom"/>
          </w:tcPr>
          <w:p>
            <w:pPr>
              <w:spacing w:after="0"/>
              <w:rPr>
                <w:sz w:val="18"/>
                <w:szCs w:val="18"/>
                <w:color w:val="auto"/>
              </w:rPr>
            </w:pPr>
          </w:p>
        </w:tc>
        <w:tc>
          <w:tcPr>
            <w:tcW w:w="2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62</w:t>
            </w:r>
          </w:p>
        </w:tc>
        <w:tc>
          <w:tcPr>
            <w:tcW w:w="24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rPr>
              <w:t>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1.10</w:t>
            </w:r>
          </w:p>
        </w:tc>
        <w:tc>
          <w:tcPr>
            <w:tcW w:w="2100" w:type="dxa"/>
            <w:vAlign w:val="bottom"/>
            <w:gridSpan w:val="25"/>
          </w:tcPr>
          <w:p>
            <w:pPr>
              <w:ind w:left="20"/>
              <w:spacing w:after="0" w:line="223" w:lineRule="exact"/>
              <w:rPr>
                <w:sz w:val="20"/>
                <w:szCs w:val="20"/>
                <w:color w:val="auto"/>
              </w:rPr>
            </w:pPr>
            <w:r>
              <w:rPr>
                <w:rFonts w:ascii="Times New Roman" w:cs="Times New Roman" w:eastAsia="Times New Roman" w:hAnsi="Times New Roman"/>
                <w:sz w:val="20"/>
                <w:szCs w:val="20"/>
                <w:color w:val="auto"/>
              </w:rPr>
              <w:t>Letter of Credit Amounts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0"/>
                <w:szCs w:val="20"/>
                <w:color w:val="FF0000"/>
                <w:strike w:val="1"/>
                <w:w w:val="89"/>
              </w:rPr>
              <w:t>62</w:t>
            </w:r>
          </w:p>
        </w:tc>
        <w:tc>
          <w:tcPr>
            <w:tcW w:w="380" w:type="dxa"/>
            <w:vAlign w:val="bottom"/>
            <w:gridSpan w:val="7"/>
          </w:tcPr>
          <w:p>
            <w:pPr>
              <w:jc w:val="right"/>
              <w:ind w:right="180"/>
              <w:spacing w:after="0" w:line="223" w:lineRule="exact"/>
              <w:rPr>
                <w:sz w:val="20"/>
                <w:szCs w:val="20"/>
                <w:color w:val="auto"/>
              </w:rPr>
            </w:pPr>
            <w:r>
              <w:rPr>
                <w:rFonts w:ascii="Times New Roman" w:cs="Times New Roman" w:eastAsia="Times New Roman" w:hAnsi="Times New Roman"/>
                <w:sz w:val="20"/>
                <w:szCs w:val="20"/>
                <w:color w:val="0000FF"/>
                <w:w w:val="89"/>
              </w:rPr>
              <w:t>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1.11</w:t>
            </w:r>
          </w:p>
        </w:tc>
        <w:tc>
          <w:tcPr>
            <w:tcW w:w="1660" w:type="dxa"/>
            <w:vAlign w:val="bottom"/>
            <w:gridSpan w:val="19"/>
          </w:tcPr>
          <w:p>
            <w:pPr>
              <w:spacing w:after="0" w:line="209" w:lineRule="exact"/>
              <w:rPr>
                <w:sz w:val="20"/>
                <w:szCs w:val="20"/>
                <w:color w:val="auto"/>
              </w:rPr>
            </w:pPr>
            <w:r>
              <w:rPr>
                <w:rFonts w:ascii="Times New Roman" w:cs="Times New Roman" w:eastAsia="Times New Roman" w:hAnsi="Times New Roman"/>
                <w:sz w:val="20"/>
                <w:szCs w:val="20"/>
                <w:color w:val="auto"/>
              </w:rPr>
              <w:t>Cashless Rollovers</w:t>
            </w:r>
          </w:p>
        </w:tc>
        <w:tc>
          <w:tcPr>
            <w:tcW w:w="20" w:type="dxa"/>
            <w:vAlign w:val="bottom"/>
          </w:tcPr>
          <w:p>
            <w:pPr>
              <w:spacing w:after="0"/>
              <w:rPr>
                <w:sz w:val="18"/>
                <w:szCs w:val="18"/>
                <w:color w:val="auto"/>
              </w:rPr>
            </w:pPr>
          </w:p>
        </w:tc>
        <w:tc>
          <w:tcPr>
            <w:tcW w:w="2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62</w:t>
            </w:r>
          </w:p>
        </w:tc>
        <w:tc>
          <w:tcPr>
            <w:tcW w:w="200" w:type="dxa"/>
            <w:vAlign w:val="bottom"/>
            <w:gridSpan w:val="4"/>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79"/>
              </w:rPr>
              <w:t>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1.12</w:t>
            </w:r>
          </w:p>
        </w:tc>
        <w:tc>
          <w:tcPr>
            <w:tcW w:w="58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Rates</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62</w:t>
            </w:r>
          </w:p>
        </w:tc>
        <w:tc>
          <w:tcPr>
            <w:tcW w:w="1040" w:type="dxa"/>
            <w:vAlign w:val="bottom"/>
            <w:gridSpan w:val="20"/>
          </w:tcPr>
          <w:p>
            <w:pPr>
              <w:jc w:val="right"/>
              <w:ind w:right="781"/>
              <w:spacing w:after="0"/>
              <w:rPr>
                <w:sz w:val="20"/>
                <w:szCs w:val="20"/>
                <w:color w:val="auto"/>
              </w:rPr>
            </w:pPr>
            <w:r>
              <w:rPr>
                <w:rFonts w:ascii="Times New Roman" w:cs="Times New Roman" w:eastAsia="Times New Roman" w:hAnsi="Times New Roman"/>
                <w:sz w:val="19"/>
                <w:szCs w:val="19"/>
                <w:color w:val="0000FF"/>
                <w:w w:val="73"/>
              </w:rPr>
              <w:t>64</w:t>
            </w:r>
          </w:p>
        </w:tc>
        <w:tc>
          <w:tcPr>
            <w:tcW w:w="180" w:type="dxa"/>
            <w:vAlign w:val="bottom"/>
            <w:tcBorders>
              <w:top w:val="single" w:sz="8" w:color="0000FF"/>
            </w:tcBorders>
            <w:gridSpan w:val="3"/>
          </w:tcPr>
          <w:p>
            <w:pPr>
              <w:spacing w:after="0"/>
              <w:rPr>
                <w:sz w:val="19"/>
                <w:szCs w:val="19"/>
                <w:color w:val="auto"/>
              </w:rPr>
            </w:pPr>
          </w:p>
        </w:tc>
        <w:tc>
          <w:tcPr>
            <w:tcW w:w="5580" w:type="dxa"/>
            <w:vAlign w:val="bottom"/>
            <w:gridSpan w:val="43"/>
          </w:tcPr>
          <w:p>
            <w:pPr>
              <w:spacing w:after="0"/>
              <w:rPr>
                <w:sz w:val="19"/>
                <w:szCs w:val="19"/>
                <w:color w:val="auto"/>
              </w:rPr>
            </w:pPr>
          </w:p>
        </w:tc>
      </w:tr>
      <w:tr>
        <w:trPr>
          <w:trHeight w:val="20"/>
        </w:trPr>
        <w:tc>
          <w:tcPr>
            <w:tcW w:w="170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60" w:type="dxa"/>
            <w:vAlign w:val="bottom"/>
            <w:gridSpan w:val="65"/>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1.13</w:t>
            </w:r>
          </w:p>
        </w:tc>
        <w:tc>
          <w:tcPr>
            <w:tcW w:w="1040" w:type="dxa"/>
            <w:vAlign w:val="bottom"/>
            <w:gridSpan w:val="4"/>
          </w:tcPr>
          <w:p>
            <w:pPr>
              <w:ind w:left="20"/>
              <w:spacing w:after="0" w:line="223" w:lineRule="exact"/>
              <w:rPr>
                <w:sz w:val="20"/>
                <w:szCs w:val="20"/>
                <w:color w:val="auto"/>
              </w:rPr>
            </w:pPr>
            <w:r>
              <w:rPr>
                <w:rFonts w:ascii="Times New Roman" w:cs="Times New Roman" w:eastAsia="Times New Roman" w:hAnsi="Times New Roman"/>
                <w:sz w:val="20"/>
                <w:szCs w:val="20"/>
                <w:color w:val="auto"/>
              </w:rPr>
              <w:t>Divisions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FF0000"/>
                <w:strike w:val="1"/>
                <w:w w:val="74"/>
              </w:rPr>
              <w:t>62</w:t>
            </w:r>
          </w:p>
        </w:tc>
        <w:tc>
          <w:tcPr>
            <w:tcW w:w="18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64</w:t>
            </w:r>
          </w:p>
        </w:tc>
        <w:tc>
          <w:tcPr>
            <w:tcW w:w="6340" w:type="dxa"/>
            <w:vAlign w:val="bottom"/>
            <w:gridSpan w:val="57"/>
          </w:tcPr>
          <w:p>
            <w:pPr>
              <w:spacing w:after="0"/>
              <w:rPr>
                <w:sz w:val="19"/>
                <w:szCs w:val="19"/>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1.14</w:t>
            </w:r>
          </w:p>
        </w:tc>
        <w:tc>
          <w:tcPr>
            <w:tcW w:w="2100" w:type="dxa"/>
            <w:vAlign w:val="bottom"/>
            <w:gridSpan w:val="25"/>
          </w:tcPr>
          <w:p>
            <w:pPr>
              <w:ind w:left="20"/>
              <w:spacing w:after="0" w:line="209" w:lineRule="exact"/>
              <w:rPr>
                <w:sz w:val="20"/>
                <w:szCs w:val="20"/>
                <w:color w:val="auto"/>
              </w:rPr>
            </w:pPr>
            <w:r>
              <w:rPr>
                <w:rFonts w:ascii="Times New Roman" w:cs="Times New Roman" w:eastAsia="Times New Roman" w:hAnsi="Times New Roman"/>
                <w:sz w:val="20"/>
                <w:szCs w:val="20"/>
                <w:color w:val="auto"/>
              </w:rPr>
              <w:t>Certain Determinations</w:t>
            </w:r>
          </w:p>
        </w:tc>
        <w:tc>
          <w:tcPr>
            <w:tcW w:w="160" w:type="dxa"/>
            <w:vAlign w:val="bottom"/>
            <w:gridSpan w:val="4"/>
          </w:tcPr>
          <w:p>
            <w:pPr>
              <w:spacing w:after="0" w:line="210" w:lineRule="exact"/>
              <w:rPr>
                <w:sz w:val="20"/>
                <w:szCs w:val="20"/>
                <w:color w:val="auto"/>
              </w:rPr>
            </w:pPr>
            <w:r>
              <w:rPr>
                <w:rFonts w:ascii="Times New Roman" w:cs="Times New Roman" w:eastAsia="Times New Roman" w:hAnsi="Times New Roman"/>
                <w:sz w:val="19"/>
                <w:szCs w:val="19"/>
                <w:color w:val="FF0000"/>
                <w:strike w:val="1"/>
                <w:w w:val="73"/>
              </w:rPr>
              <w:t>63</w:t>
            </w:r>
          </w:p>
        </w:tc>
        <w:tc>
          <w:tcPr>
            <w:tcW w:w="220" w:type="dxa"/>
            <w:vAlign w:val="bottom"/>
            <w:gridSpan w:val="5"/>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89"/>
              </w:rPr>
              <w:t>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2.</w:t>
            </w: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Loans</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89"/>
              </w:rPr>
              <w:t>63</w:t>
            </w:r>
          </w:p>
        </w:tc>
        <w:tc>
          <w:tcPr>
            <w:tcW w:w="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79"/>
              </w:rPr>
              <w:t>65</w:t>
            </w:r>
          </w:p>
        </w:tc>
        <w:tc>
          <w:tcPr>
            <w:tcW w:w="960" w:type="dxa"/>
            <w:vAlign w:val="bottom"/>
            <w:gridSpan w:val="19"/>
          </w:tcPr>
          <w:p>
            <w:pPr>
              <w:spacing w:after="0"/>
              <w:rPr>
                <w:sz w:val="24"/>
                <w:szCs w:val="24"/>
                <w:color w:val="auto"/>
              </w:rPr>
            </w:pPr>
          </w:p>
        </w:tc>
        <w:tc>
          <w:tcPr>
            <w:tcW w:w="200" w:type="dxa"/>
            <w:vAlign w:val="bottom"/>
            <w:tcBorders>
              <w:top w:val="single" w:sz="8" w:color="0000FF"/>
            </w:tcBorders>
            <w:gridSpan w:val="4"/>
          </w:tcPr>
          <w:p>
            <w:pPr>
              <w:spacing w:after="0"/>
              <w:rPr>
                <w:sz w:val="24"/>
                <w:szCs w:val="24"/>
                <w:color w:val="auto"/>
              </w:rPr>
            </w:pPr>
          </w:p>
        </w:tc>
        <w:tc>
          <w:tcPr>
            <w:tcW w:w="5240" w:type="dxa"/>
            <w:vAlign w:val="bottom"/>
            <w:gridSpan w:val="36"/>
          </w:tcPr>
          <w:p>
            <w:pPr>
              <w:spacing w:after="0"/>
              <w:rPr>
                <w:sz w:val="24"/>
                <w:szCs w:val="24"/>
                <w:color w:val="auto"/>
              </w:rPr>
            </w:pPr>
          </w:p>
        </w:tc>
      </w:tr>
      <w:tr>
        <w:trPr>
          <w:trHeight w:val="318"/>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2.01</w:t>
            </w:r>
          </w:p>
        </w:tc>
        <w:tc>
          <w:tcPr>
            <w:tcW w:w="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63</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65</w:t>
            </w:r>
          </w:p>
        </w:tc>
        <w:tc>
          <w:tcPr>
            <w:tcW w:w="6600" w:type="dxa"/>
            <w:vAlign w:val="bottom"/>
            <w:gridSpan w:val="64"/>
          </w:tcPr>
          <w:p>
            <w:pPr>
              <w:spacing w:after="0"/>
              <w:rPr>
                <w:sz w:val="24"/>
                <w:szCs w:val="24"/>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2.02</w:t>
            </w:r>
          </w:p>
        </w:tc>
        <w:tc>
          <w:tcPr>
            <w:tcW w:w="112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Borrowings</w:t>
            </w:r>
          </w:p>
        </w:tc>
        <w:tc>
          <w:tcPr>
            <w:tcW w:w="2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64</w:t>
            </w:r>
          </w:p>
        </w:tc>
        <w:tc>
          <w:tcPr>
            <w:tcW w:w="6360" w:type="dxa"/>
            <w:vAlign w:val="bottom"/>
            <w:gridSpan w:val="58"/>
          </w:tcPr>
          <w:p>
            <w:pPr>
              <w:jc w:val="right"/>
              <w:ind w:right="6061"/>
              <w:spacing w:after="0" w:line="223" w:lineRule="exact"/>
              <w:rPr>
                <w:sz w:val="20"/>
                <w:szCs w:val="20"/>
                <w:color w:val="auto"/>
              </w:rPr>
            </w:pPr>
            <w:r>
              <w:rPr>
                <w:rFonts w:ascii="Times New Roman" w:cs="Times New Roman" w:eastAsia="Times New Roman" w:hAnsi="Times New Roman"/>
                <w:sz w:val="20"/>
                <w:szCs w:val="20"/>
                <w:color w:val="0000FF"/>
                <w:w w:val="89"/>
              </w:rPr>
              <w:t>66</w:t>
            </w:r>
          </w:p>
        </w:tc>
      </w:tr>
      <w:tr>
        <w:trPr>
          <w:trHeight w:val="20"/>
        </w:trPr>
        <w:tc>
          <w:tcPr>
            <w:tcW w:w="8500" w:type="dxa"/>
            <w:vAlign w:val="bottom"/>
            <w:gridSpan w:val="70"/>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2.03</w:t>
            </w:r>
          </w:p>
        </w:tc>
        <w:tc>
          <w:tcPr>
            <w:tcW w:w="1340" w:type="dxa"/>
            <w:vAlign w:val="bottom"/>
            <w:gridSpan w:val="11"/>
          </w:tcPr>
          <w:p>
            <w:pPr>
              <w:ind w:left="20"/>
              <w:spacing w:after="0" w:line="223" w:lineRule="exact"/>
              <w:rPr>
                <w:sz w:val="20"/>
                <w:szCs w:val="20"/>
                <w:color w:val="auto"/>
              </w:rPr>
            </w:pPr>
            <w:r>
              <w:rPr>
                <w:rFonts w:ascii="Times New Roman" w:cs="Times New Roman" w:eastAsia="Times New Roman" w:hAnsi="Times New Roman"/>
                <w:sz w:val="20"/>
                <w:szCs w:val="20"/>
                <w:color w:val="auto"/>
              </w:rPr>
              <w:t>Letter of Credit</w:t>
            </w:r>
          </w:p>
        </w:tc>
        <w:tc>
          <w:tcPr>
            <w:tcW w:w="80" w:type="dxa"/>
            <w:vAlign w:val="bottom"/>
            <w:gridSpan w:val="3"/>
          </w:tcPr>
          <w:p>
            <w:pPr>
              <w:spacing w:after="0"/>
              <w:rPr>
                <w:sz w:val="19"/>
                <w:szCs w:val="19"/>
                <w:color w:val="auto"/>
              </w:rPr>
            </w:pPr>
          </w:p>
        </w:tc>
        <w:tc>
          <w:tcPr>
            <w:tcW w:w="22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65</w:t>
            </w:r>
          </w:p>
        </w:tc>
        <w:tc>
          <w:tcPr>
            <w:tcW w:w="2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2.04</w:t>
            </w:r>
          </w:p>
        </w:tc>
        <w:tc>
          <w:tcPr>
            <w:tcW w:w="16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auto"/>
              </w:rPr>
              <w:t>Swing Line Loans</w:t>
            </w:r>
          </w:p>
        </w:tc>
        <w:tc>
          <w:tcPr>
            <w:tcW w:w="28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73</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4"/>
                <w:szCs w:val="14"/>
                <w:color w:val="0000FF"/>
                <w:w w:val="71"/>
              </w:rPr>
              <w:t>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2.05</w:t>
            </w:r>
          </w:p>
        </w:tc>
        <w:tc>
          <w:tcPr>
            <w:tcW w:w="3260" w:type="dxa"/>
            <w:vAlign w:val="bottom"/>
            <w:gridSpan w:val="45"/>
          </w:tcPr>
          <w:p>
            <w:pPr>
              <w:ind w:left="20"/>
              <w:spacing w:after="0" w:line="223" w:lineRule="exact"/>
              <w:rPr>
                <w:sz w:val="20"/>
                <w:szCs w:val="20"/>
                <w:color w:val="auto"/>
              </w:rPr>
            </w:pPr>
            <w:r>
              <w:rPr>
                <w:rFonts w:ascii="Times New Roman" w:cs="Times New Roman" w:eastAsia="Times New Roman" w:hAnsi="Times New Roman"/>
                <w:sz w:val="20"/>
                <w:szCs w:val="20"/>
                <w:color w:val="auto"/>
              </w:rPr>
              <w:t>Pro Rata Shares; Availability of Funds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76</w:t>
            </w:r>
          </w:p>
        </w:tc>
        <w:tc>
          <w:tcPr>
            <w:tcW w:w="20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2.06</w:t>
            </w:r>
          </w:p>
        </w:tc>
        <w:tc>
          <w:tcPr>
            <w:tcW w:w="5320" w:type="dxa"/>
            <w:vAlign w:val="bottom"/>
            <w:gridSpan w:val="62"/>
          </w:tcPr>
          <w:p>
            <w:pPr>
              <w:ind w:left="20"/>
              <w:spacing w:after="0" w:line="209" w:lineRule="exact"/>
              <w:rPr>
                <w:sz w:val="20"/>
                <w:szCs w:val="20"/>
                <w:color w:val="auto"/>
              </w:rPr>
            </w:pPr>
            <w:r>
              <w:rPr>
                <w:rFonts w:ascii="Times New Roman" w:cs="Times New Roman" w:eastAsia="Times New Roman" w:hAnsi="Times New Roman"/>
                <w:sz w:val="20"/>
                <w:szCs w:val="20"/>
                <w:color w:val="auto"/>
              </w:rPr>
              <w:t>Evidence of Debt; Register; Lenders’ Books and Records; Notes</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340" w:type="dxa"/>
            <w:vAlign w:val="bottom"/>
            <w:gridSpan w:val="3"/>
          </w:tcPr>
          <w:p>
            <w:pPr>
              <w:jc w:val="right"/>
              <w:ind w:right="140"/>
              <w:spacing w:after="0" w:line="209" w:lineRule="exact"/>
              <w:rPr>
                <w:sz w:val="20"/>
                <w:szCs w:val="20"/>
                <w:color w:val="auto"/>
              </w:rPr>
            </w:pPr>
            <w:r>
              <w:rPr>
                <w:rFonts w:ascii="Times New Roman" w:cs="Times New Roman" w:eastAsia="Times New Roman" w:hAnsi="Times New Roman"/>
                <w:sz w:val="20"/>
                <w:szCs w:val="20"/>
                <w:color w:val="0000FF"/>
                <w:w w:val="89"/>
              </w:rPr>
              <w:t>79</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2.07</w:t>
            </w:r>
          </w:p>
        </w:tc>
        <w:tc>
          <w:tcPr>
            <w:tcW w:w="1420" w:type="dxa"/>
            <w:vAlign w:val="bottom"/>
            <w:gridSpan w:val="14"/>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Interest on Loans</w:t>
            </w:r>
          </w:p>
        </w:tc>
        <w:tc>
          <w:tcPr>
            <w:tcW w:w="160" w:type="dxa"/>
            <w:vAlign w:val="bottom"/>
            <w:gridSpan w:val="2"/>
          </w:tcPr>
          <w:p>
            <w:pPr>
              <w:spacing w:after="0"/>
              <w:rPr>
                <w:sz w:val="19"/>
                <w:szCs w:val="19"/>
                <w:color w:val="auto"/>
              </w:rPr>
            </w:pPr>
          </w:p>
        </w:tc>
        <w:tc>
          <w:tcPr>
            <w:tcW w:w="20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78</w:t>
            </w:r>
          </w:p>
        </w:tc>
        <w:tc>
          <w:tcPr>
            <w:tcW w:w="16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80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2.08</w:t>
            </w:r>
          </w:p>
        </w:tc>
        <w:tc>
          <w:tcPr>
            <w:tcW w:w="2100" w:type="dxa"/>
            <w:vAlign w:val="bottom"/>
            <w:gridSpan w:val="25"/>
          </w:tcPr>
          <w:p>
            <w:pPr>
              <w:ind w:left="20"/>
              <w:spacing w:after="0" w:line="223" w:lineRule="exact"/>
              <w:rPr>
                <w:sz w:val="20"/>
                <w:szCs w:val="20"/>
                <w:color w:val="auto"/>
              </w:rPr>
            </w:pPr>
            <w:r>
              <w:rPr>
                <w:rFonts w:ascii="Times New Roman" w:cs="Times New Roman" w:eastAsia="Times New Roman" w:hAnsi="Times New Roman"/>
                <w:sz w:val="20"/>
                <w:szCs w:val="20"/>
                <w:color w:val="auto"/>
              </w:rPr>
              <w:t>Conversion/Continuation</w:t>
            </w: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0"/>
                <w:szCs w:val="20"/>
                <w:color w:val="FF0000"/>
                <w:strike w:val="1"/>
                <w:w w:val="89"/>
              </w:rPr>
              <w:t>79</w:t>
            </w:r>
          </w:p>
        </w:tc>
        <w:tc>
          <w:tcPr>
            <w:tcW w:w="200" w:type="dxa"/>
            <w:vAlign w:val="bottom"/>
            <w:tcBorders>
              <w:bottom w:val="single" w:sz="8" w:color="0000FF"/>
            </w:tcBorders>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81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2.09</w:t>
            </w:r>
          </w:p>
        </w:tc>
        <w:tc>
          <w:tcPr>
            <w:tcW w:w="1420" w:type="dxa"/>
            <w:vAlign w:val="bottom"/>
            <w:gridSpan w:val="14"/>
          </w:tcPr>
          <w:p>
            <w:pPr>
              <w:ind w:left="20"/>
              <w:spacing w:after="0" w:line="209" w:lineRule="exact"/>
              <w:rPr>
                <w:sz w:val="20"/>
                <w:szCs w:val="20"/>
                <w:color w:val="auto"/>
              </w:rPr>
            </w:pPr>
            <w:r>
              <w:rPr>
                <w:rFonts w:ascii="Times New Roman" w:cs="Times New Roman" w:eastAsia="Times New Roman" w:hAnsi="Times New Roman"/>
                <w:sz w:val="20"/>
                <w:szCs w:val="20"/>
                <w:color w:val="auto"/>
              </w:rPr>
              <w:t>Default Interest</w:t>
            </w:r>
          </w:p>
        </w:tc>
        <w:tc>
          <w:tcPr>
            <w:tcW w:w="22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79</w:t>
            </w:r>
          </w:p>
        </w:tc>
        <w:tc>
          <w:tcPr>
            <w:tcW w:w="200" w:type="dxa"/>
            <w:vAlign w:val="bottom"/>
            <w:tcBorders>
              <w:bottom w:val="single" w:sz="8" w:color="0000FF"/>
            </w:tcBorders>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2.10</w:t>
            </w:r>
          </w:p>
        </w:tc>
        <w:tc>
          <w:tcPr>
            <w:tcW w:w="58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Fees</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26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82</w:t>
            </w:r>
          </w:p>
        </w:tc>
        <w:tc>
          <w:tcPr>
            <w:tcW w:w="6660" w:type="dxa"/>
            <w:vAlign w:val="bottom"/>
            <w:gridSpan w:val="65"/>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2.11</w:t>
            </w:r>
          </w:p>
        </w:tc>
        <w:tc>
          <w:tcPr>
            <w:tcW w:w="1660" w:type="dxa"/>
            <w:vAlign w:val="bottom"/>
            <w:gridSpan w:val="19"/>
          </w:tcPr>
          <w:p>
            <w:pPr>
              <w:spacing w:after="0" w:line="209" w:lineRule="exact"/>
              <w:rPr>
                <w:sz w:val="20"/>
                <w:szCs w:val="20"/>
                <w:color w:val="auto"/>
              </w:rPr>
            </w:pPr>
            <w:r>
              <w:rPr>
                <w:rFonts w:ascii="Times New Roman" w:cs="Times New Roman" w:eastAsia="Times New Roman" w:hAnsi="Times New Roman"/>
                <w:sz w:val="20"/>
                <w:szCs w:val="20"/>
                <w:color w:val="auto"/>
                <w:w w:val="98"/>
              </w:rPr>
              <w:t>Repayment of Loans</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80</w:t>
            </w:r>
          </w:p>
        </w:tc>
        <w:tc>
          <w:tcPr>
            <w:tcW w:w="200" w:type="dxa"/>
            <w:vAlign w:val="bottom"/>
            <w:tcBorders>
              <w:bottom w:val="single" w:sz="8" w:color="0000FF"/>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FF"/>
                <w:w w:val="89"/>
              </w:rPr>
              <w:t>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2.12</w:t>
            </w:r>
          </w:p>
        </w:tc>
        <w:tc>
          <w:tcPr>
            <w:tcW w:w="4100" w:type="dxa"/>
            <w:vAlign w:val="bottom"/>
            <w:gridSpan w:val="54"/>
          </w:tcPr>
          <w:p>
            <w:pPr>
              <w:ind w:left="20"/>
              <w:spacing w:after="0" w:line="223" w:lineRule="exact"/>
              <w:rPr>
                <w:sz w:val="20"/>
                <w:szCs w:val="20"/>
                <w:color w:val="auto"/>
              </w:rPr>
            </w:pPr>
            <w:r>
              <w:rPr>
                <w:rFonts w:ascii="Times New Roman" w:cs="Times New Roman" w:eastAsia="Times New Roman" w:hAnsi="Times New Roman"/>
                <w:sz w:val="20"/>
                <w:szCs w:val="20"/>
                <w:color w:val="auto"/>
              </w:rPr>
              <w:t>Voluntary Prepayments/Commitment Reductions</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82</w:t>
            </w:r>
          </w:p>
        </w:tc>
        <w:tc>
          <w:tcPr>
            <w:tcW w:w="2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2.13</w:t>
            </w:r>
          </w:p>
        </w:tc>
        <w:tc>
          <w:tcPr>
            <w:tcW w:w="4100" w:type="dxa"/>
            <w:vAlign w:val="bottom"/>
            <w:gridSpan w:val="54"/>
          </w:tcPr>
          <w:p>
            <w:pPr>
              <w:ind w:left="20"/>
              <w:spacing w:after="0" w:line="223" w:lineRule="exact"/>
              <w:rPr>
                <w:sz w:val="20"/>
                <w:szCs w:val="20"/>
                <w:color w:val="auto"/>
              </w:rPr>
            </w:pPr>
            <w:r>
              <w:rPr>
                <w:rFonts w:ascii="Times New Roman" w:cs="Times New Roman" w:eastAsia="Times New Roman" w:hAnsi="Times New Roman"/>
                <w:sz w:val="20"/>
                <w:szCs w:val="20"/>
                <w:color w:val="auto"/>
              </w:rPr>
              <w:t>Mandatory Prepayments/Commitment Reductions</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83</w:t>
            </w:r>
          </w:p>
        </w:tc>
        <w:tc>
          <w:tcPr>
            <w:tcW w:w="18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2.14</w:t>
            </w:r>
          </w:p>
        </w:tc>
        <w:tc>
          <w:tcPr>
            <w:tcW w:w="4800" w:type="dxa"/>
            <w:vAlign w:val="bottom"/>
            <w:gridSpan w:val="59"/>
          </w:tcPr>
          <w:p>
            <w:pPr>
              <w:ind w:left="20"/>
              <w:spacing w:after="0" w:line="209" w:lineRule="exact"/>
              <w:rPr>
                <w:sz w:val="20"/>
                <w:szCs w:val="20"/>
                <w:color w:val="auto"/>
              </w:rPr>
            </w:pPr>
            <w:r>
              <w:rPr>
                <w:rFonts w:ascii="Times New Roman" w:cs="Times New Roman" w:eastAsia="Times New Roman" w:hAnsi="Times New Roman"/>
                <w:sz w:val="20"/>
                <w:szCs w:val="20"/>
                <w:color w:val="auto"/>
              </w:rPr>
              <w:t>Application of Prepayments and Commitment Reductions</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88</w:t>
            </w:r>
          </w:p>
        </w:tc>
        <w:tc>
          <w:tcPr>
            <w:tcW w:w="20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2.15</w:t>
            </w:r>
          </w:p>
        </w:tc>
        <w:tc>
          <w:tcPr>
            <w:tcW w:w="3460" w:type="dxa"/>
            <w:vAlign w:val="bottom"/>
            <w:gridSpan w:val="47"/>
          </w:tcPr>
          <w:p>
            <w:pPr>
              <w:ind w:left="20"/>
              <w:spacing w:after="0" w:line="223" w:lineRule="exact"/>
              <w:rPr>
                <w:sz w:val="20"/>
                <w:szCs w:val="20"/>
                <w:color w:val="auto"/>
              </w:rPr>
            </w:pPr>
            <w:r>
              <w:rPr>
                <w:rFonts w:ascii="Times New Roman" w:cs="Times New Roman" w:eastAsia="Times New Roman" w:hAnsi="Times New Roman"/>
                <w:sz w:val="20"/>
                <w:szCs w:val="20"/>
                <w:color w:val="auto"/>
              </w:rPr>
              <w:t>General Provisions Regarding Payments</w:t>
            </w:r>
          </w:p>
        </w:tc>
        <w:tc>
          <w:tcPr>
            <w:tcW w:w="16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FF0000"/>
                <w:strike w:val="1"/>
                <w:w w:val="79"/>
              </w:rPr>
              <w:t>88</w:t>
            </w:r>
          </w:p>
        </w:tc>
        <w:tc>
          <w:tcPr>
            <w:tcW w:w="2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2.16</w:t>
            </w:r>
          </w:p>
        </w:tc>
        <w:tc>
          <w:tcPr>
            <w:tcW w:w="1420" w:type="dxa"/>
            <w:vAlign w:val="bottom"/>
            <w:gridSpan w:val="14"/>
          </w:tcPr>
          <w:p>
            <w:pPr>
              <w:ind w:left="20"/>
              <w:spacing w:after="0" w:line="209" w:lineRule="exact"/>
              <w:rPr>
                <w:sz w:val="20"/>
                <w:szCs w:val="20"/>
                <w:color w:val="auto"/>
              </w:rPr>
            </w:pPr>
            <w:r>
              <w:rPr>
                <w:rFonts w:ascii="Times New Roman" w:cs="Times New Roman" w:eastAsia="Times New Roman" w:hAnsi="Times New Roman"/>
                <w:sz w:val="20"/>
                <w:szCs w:val="20"/>
                <w:color w:val="auto"/>
              </w:rPr>
              <w:t>Ratable Sharing</w:t>
            </w:r>
          </w:p>
        </w:tc>
        <w:tc>
          <w:tcPr>
            <w:tcW w:w="2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90</w:t>
            </w:r>
          </w:p>
        </w:tc>
        <w:tc>
          <w:tcPr>
            <w:tcW w:w="26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2.17</w:t>
            </w:r>
          </w:p>
        </w:tc>
        <w:tc>
          <w:tcPr>
            <w:tcW w:w="2980" w:type="dxa"/>
            <w:vAlign w:val="bottom"/>
            <w:gridSpan w:val="41"/>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Making or Maintaining SOFR Loans</w:t>
            </w:r>
          </w:p>
        </w:tc>
        <w:tc>
          <w:tcPr>
            <w:tcW w:w="160" w:type="dxa"/>
            <w:vAlign w:val="bottom"/>
          </w:tcPr>
          <w:p>
            <w:pPr>
              <w:spacing w:after="0"/>
              <w:rPr>
                <w:sz w:val="19"/>
                <w:szCs w:val="19"/>
                <w:color w:val="auto"/>
              </w:rPr>
            </w:pPr>
          </w:p>
        </w:tc>
        <w:tc>
          <w:tcPr>
            <w:tcW w:w="2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91</w:t>
            </w:r>
          </w:p>
        </w:tc>
        <w:tc>
          <w:tcPr>
            <w:tcW w:w="2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2.18</w:t>
            </w:r>
          </w:p>
        </w:tc>
        <w:tc>
          <w:tcPr>
            <w:tcW w:w="2980" w:type="dxa"/>
            <w:vAlign w:val="bottom"/>
            <w:gridSpan w:val="41"/>
          </w:tcPr>
          <w:p>
            <w:pPr>
              <w:ind w:left="20"/>
              <w:spacing w:after="0" w:line="223" w:lineRule="exact"/>
              <w:rPr>
                <w:sz w:val="20"/>
                <w:szCs w:val="20"/>
                <w:color w:val="auto"/>
              </w:rPr>
            </w:pPr>
            <w:r>
              <w:rPr>
                <w:rFonts w:ascii="Times New Roman" w:cs="Times New Roman" w:eastAsia="Times New Roman" w:hAnsi="Times New Roman"/>
                <w:sz w:val="20"/>
                <w:szCs w:val="20"/>
                <w:color w:val="auto"/>
              </w:rPr>
              <w:t>Increased Costs; Capital Adequacy</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92</w:t>
            </w:r>
          </w:p>
        </w:tc>
        <w:tc>
          <w:tcPr>
            <w:tcW w:w="28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2.19</w:t>
            </w:r>
          </w:p>
        </w:tc>
        <w:tc>
          <w:tcPr>
            <w:tcW w:w="2100" w:type="dxa"/>
            <w:vAlign w:val="bottom"/>
            <w:gridSpan w:val="25"/>
          </w:tcPr>
          <w:p>
            <w:pPr>
              <w:ind w:left="20"/>
              <w:spacing w:after="0" w:line="209" w:lineRule="exact"/>
              <w:rPr>
                <w:sz w:val="20"/>
                <w:szCs w:val="20"/>
                <w:color w:val="auto"/>
              </w:rPr>
            </w:pPr>
            <w:r>
              <w:rPr>
                <w:rFonts w:ascii="Times New Roman" w:cs="Times New Roman" w:eastAsia="Times New Roman" w:hAnsi="Times New Roman"/>
                <w:sz w:val="20"/>
                <w:szCs w:val="20"/>
                <w:color w:val="auto"/>
              </w:rPr>
              <w:t>Taxes; Withholding, Etc.</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94</w:t>
            </w:r>
          </w:p>
        </w:tc>
        <w:tc>
          <w:tcPr>
            <w:tcW w:w="200" w:type="dxa"/>
            <w:vAlign w:val="bottom"/>
            <w:tcBorders>
              <w:bottom w:val="single" w:sz="8" w:color="0000FF"/>
            </w:tcBorders>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2.20</w:t>
            </w:r>
          </w:p>
        </w:tc>
        <w:tc>
          <w:tcPr>
            <w:tcW w:w="194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auto"/>
              </w:rPr>
              <w:t>Obligation to Mitigate</w:t>
            </w:r>
          </w:p>
        </w:tc>
        <w:tc>
          <w:tcPr>
            <w:tcW w:w="24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96</w:t>
            </w:r>
          </w:p>
        </w:tc>
        <w:tc>
          <w:tcPr>
            <w:tcW w:w="320" w:type="dxa"/>
            <w:vAlign w:val="bottom"/>
            <w:gridSpan w:val="7"/>
          </w:tcPr>
          <w:p>
            <w:pPr>
              <w:jc w:val="right"/>
              <w:ind w:right="120"/>
              <w:spacing w:after="0" w:line="223" w:lineRule="exact"/>
              <w:rPr>
                <w:sz w:val="20"/>
                <w:szCs w:val="20"/>
                <w:color w:val="auto"/>
              </w:rPr>
            </w:pPr>
            <w:r>
              <w:rPr>
                <w:rFonts w:ascii="Times New Roman" w:cs="Times New Roman" w:eastAsia="Times New Roman" w:hAnsi="Times New Roman"/>
                <w:sz w:val="20"/>
                <w:szCs w:val="20"/>
                <w:color w:val="0000FF"/>
                <w:w w:val="89"/>
              </w:rPr>
              <w:t>98</w:t>
            </w:r>
          </w:p>
        </w:tc>
        <w:tc>
          <w:tcPr>
            <w:tcW w:w="40" w:type="dxa"/>
            <w:vAlign w:val="bottom"/>
          </w:tcPr>
          <w:p>
            <w:pPr>
              <w:spacing w:after="0"/>
              <w:rPr>
                <w:sz w:val="19"/>
                <w:szCs w:val="19"/>
                <w:color w:val="auto"/>
              </w:rPr>
            </w:pPr>
          </w:p>
        </w:tc>
        <w:tc>
          <w:tcPr>
            <w:tcW w:w="2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2.21</w:t>
            </w:r>
          </w:p>
        </w:tc>
        <w:tc>
          <w:tcPr>
            <w:tcW w:w="16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auto"/>
              </w:rPr>
              <w:t>Defaulting Lenders</w:t>
            </w:r>
          </w:p>
        </w:tc>
        <w:tc>
          <w:tcPr>
            <w:tcW w:w="20" w:type="dxa"/>
            <w:vAlign w:val="bottom"/>
          </w:tcPr>
          <w:p>
            <w:pPr>
              <w:spacing w:after="0"/>
              <w:rPr>
                <w:sz w:val="18"/>
                <w:szCs w:val="18"/>
                <w:color w:val="auto"/>
              </w:rPr>
            </w:pPr>
          </w:p>
        </w:tc>
        <w:tc>
          <w:tcPr>
            <w:tcW w:w="2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97</w:t>
            </w:r>
          </w:p>
        </w:tc>
        <w:tc>
          <w:tcPr>
            <w:tcW w:w="240" w:type="dxa"/>
            <w:vAlign w:val="bottom"/>
            <w:gridSpan w:val="5"/>
          </w:tcPr>
          <w:p>
            <w:pPr>
              <w:jc w:val="right"/>
              <w:ind w:right="40"/>
              <w:spacing w:after="0" w:line="209" w:lineRule="exact"/>
              <w:rPr>
                <w:sz w:val="20"/>
                <w:szCs w:val="20"/>
                <w:color w:val="auto"/>
              </w:rPr>
            </w:pPr>
            <w:r>
              <w:rPr>
                <w:rFonts w:ascii="Times New Roman" w:cs="Times New Roman" w:eastAsia="Times New Roman" w:hAnsi="Times New Roman"/>
                <w:sz w:val="20"/>
                <w:szCs w:val="20"/>
                <w:color w:val="0000FF"/>
                <w:w w:val="89"/>
              </w:rPr>
              <w:t>99</w:t>
            </w: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2.22</w:t>
            </w:r>
          </w:p>
        </w:tc>
        <w:tc>
          <w:tcPr>
            <w:tcW w:w="2980" w:type="dxa"/>
            <w:vAlign w:val="bottom"/>
            <w:gridSpan w:val="41"/>
          </w:tcPr>
          <w:p>
            <w:pPr>
              <w:ind w:left="20"/>
              <w:spacing w:after="0" w:line="223" w:lineRule="exact"/>
              <w:rPr>
                <w:sz w:val="20"/>
                <w:szCs w:val="20"/>
                <w:color w:val="auto"/>
              </w:rPr>
            </w:pPr>
            <w:r>
              <w:rPr>
                <w:rFonts w:ascii="Times New Roman" w:cs="Times New Roman" w:eastAsia="Times New Roman" w:hAnsi="Times New Roman"/>
                <w:sz w:val="20"/>
                <w:szCs w:val="20"/>
                <w:color w:val="auto"/>
                <w:w w:val="97"/>
              </w:rPr>
              <w:t>Removal or Replacement of a Lender</w:t>
            </w:r>
          </w:p>
        </w:tc>
        <w:tc>
          <w:tcPr>
            <w:tcW w:w="160" w:type="dxa"/>
            <w:vAlign w:val="bottom"/>
          </w:tcPr>
          <w:p>
            <w:pPr>
              <w:spacing w:after="0"/>
              <w:rPr>
                <w:sz w:val="19"/>
                <w:szCs w:val="19"/>
                <w:color w:val="auto"/>
              </w:rPr>
            </w:pPr>
          </w:p>
        </w:tc>
        <w:tc>
          <w:tcPr>
            <w:tcW w:w="3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98</w:t>
            </w:r>
          </w:p>
        </w:tc>
        <w:tc>
          <w:tcPr>
            <w:tcW w:w="340" w:type="dxa"/>
            <w:vAlign w:val="bottom"/>
            <w:gridSpan w:val="5"/>
          </w:tcPr>
          <w:p>
            <w:pPr>
              <w:jc w:val="center"/>
              <w:ind w:right="120"/>
              <w:spacing w:after="0" w:line="223" w:lineRule="exact"/>
              <w:rPr>
                <w:sz w:val="20"/>
                <w:szCs w:val="20"/>
                <w:color w:val="auto"/>
              </w:rPr>
            </w:pPr>
            <w:r>
              <w:rPr>
                <w:rFonts w:ascii="Times New Roman" w:cs="Times New Roman" w:eastAsia="Times New Roman" w:hAnsi="Times New Roman"/>
                <w:sz w:val="20"/>
                <w:szCs w:val="20"/>
                <w:color w:val="0000FF"/>
                <w:w w:val="73"/>
              </w:rPr>
              <w:t>100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gridSpan w:val="5"/>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2.23</w:t>
            </w:r>
          </w:p>
        </w:tc>
        <w:tc>
          <w:tcPr>
            <w:tcW w:w="3460" w:type="dxa"/>
            <w:vAlign w:val="bottom"/>
            <w:gridSpan w:val="47"/>
          </w:tcPr>
          <w:p>
            <w:pPr>
              <w:ind w:left="20"/>
              <w:spacing w:after="0" w:line="209" w:lineRule="exact"/>
              <w:rPr>
                <w:sz w:val="20"/>
                <w:szCs w:val="20"/>
                <w:color w:val="auto"/>
              </w:rPr>
            </w:pPr>
            <w:r>
              <w:rPr>
                <w:rFonts w:ascii="Times New Roman" w:cs="Times New Roman" w:eastAsia="Times New Roman" w:hAnsi="Times New Roman"/>
                <w:sz w:val="20"/>
                <w:szCs w:val="20"/>
                <w:color w:val="auto"/>
              </w:rPr>
              <w:t>Appointment of Borrower Representative</w:t>
            </w:r>
          </w:p>
        </w:tc>
        <w:tc>
          <w:tcPr>
            <w:tcW w:w="34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100</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2.24</w:t>
            </w:r>
          </w:p>
        </w:tc>
        <w:tc>
          <w:tcPr>
            <w:tcW w:w="2540" w:type="dxa"/>
            <w:vAlign w:val="bottom"/>
            <w:gridSpan w:val="36"/>
          </w:tcPr>
          <w:p>
            <w:pPr>
              <w:ind w:left="20"/>
              <w:spacing w:after="0" w:line="223" w:lineRule="exact"/>
              <w:rPr>
                <w:sz w:val="20"/>
                <w:szCs w:val="20"/>
                <w:color w:val="auto"/>
              </w:rPr>
            </w:pPr>
            <w:r>
              <w:rPr>
                <w:rFonts w:ascii="Times New Roman" w:cs="Times New Roman" w:eastAsia="Times New Roman" w:hAnsi="Times New Roman"/>
                <w:sz w:val="20"/>
                <w:szCs w:val="20"/>
                <w:color w:val="auto"/>
              </w:rPr>
              <w:t>Incremental Credit Extension</w:t>
            </w:r>
          </w:p>
        </w:tc>
        <w:tc>
          <w:tcPr>
            <w:tcW w:w="3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100</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102</w:t>
            </w:r>
          </w:p>
        </w:tc>
        <w:tc>
          <w:tcPr>
            <w:tcW w:w="320" w:type="dxa"/>
            <w:vAlign w:val="bottom"/>
            <w:gridSpan w:val="5"/>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2.25</w:t>
            </w:r>
          </w:p>
        </w:tc>
        <w:tc>
          <w:tcPr>
            <w:tcW w:w="2100" w:type="dxa"/>
            <w:vAlign w:val="bottom"/>
            <w:gridSpan w:val="25"/>
          </w:tcPr>
          <w:p>
            <w:pPr>
              <w:ind w:left="20"/>
              <w:spacing w:after="0" w:line="223" w:lineRule="exact"/>
              <w:rPr>
                <w:sz w:val="20"/>
                <w:szCs w:val="20"/>
                <w:color w:val="auto"/>
              </w:rPr>
            </w:pPr>
            <w:r>
              <w:rPr>
                <w:rFonts w:ascii="Times New Roman" w:cs="Times New Roman" w:eastAsia="Times New Roman" w:hAnsi="Times New Roman"/>
                <w:sz w:val="20"/>
                <w:szCs w:val="20"/>
                <w:color w:val="auto"/>
              </w:rPr>
              <w:t>Refinancing Amendment</w:t>
            </w:r>
          </w:p>
        </w:tc>
        <w:tc>
          <w:tcPr>
            <w:tcW w:w="80" w:type="dxa"/>
            <w:vAlign w:val="bottom"/>
            <w:gridSpan w:val="3"/>
          </w:tcPr>
          <w:p>
            <w:pPr>
              <w:spacing w:after="0"/>
              <w:rPr>
                <w:sz w:val="19"/>
                <w:szCs w:val="19"/>
                <w:color w:val="auto"/>
              </w:rPr>
            </w:pPr>
          </w:p>
        </w:tc>
        <w:tc>
          <w:tcPr>
            <w:tcW w:w="320" w:type="dxa"/>
            <w:vAlign w:val="bottom"/>
            <w:gridSpan w:val="7"/>
          </w:tcPr>
          <w:p>
            <w:pPr>
              <w:ind w:left="20"/>
              <w:spacing w:after="0" w:line="223" w:lineRule="exact"/>
              <w:rPr>
                <w:sz w:val="20"/>
                <w:szCs w:val="20"/>
                <w:color w:val="auto"/>
              </w:rPr>
            </w:pPr>
            <w:r>
              <w:rPr>
                <w:rFonts w:ascii="Times New Roman" w:cs="Times New Roman" w:eastAsia="Times New Roman" w:hAnsi="Times New Roman"/>
                <w:sz w:val="20"/>
                <w:szCs w:val="20"/>
                <w:color w:val="FF0000"/>
                <w:strike w:val="1"/>
                <w:w w:val="93"/>
              </w:rPr>
              <w:t>107</w:t>
            </w:r>
          </w:p>
        </w:tc>
        <w:tc>
          <w:tcPr>
            <w:tcW w:w="34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93"/>
              </w:rPr>
              <w:t>109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2.26</w:t>
            </w:r>
          </w:p>
        </w:tc>
        <w:tc>
          <w:tcPr>
            <w:tcW w:w="7120" w:type="dxa"/>
            <w:vAlign w:val="bottom"/>
            <w:gridSpan w:val="67"/>
          </w:tcPr>
          <w:p>
            <w:pPr>
              <w:ind w:left="20"/>
              <w:spacing w:after="0" w:line="209" w:lineRule="exact"/>
              <w:rPr>
                <w:sz w:val="20"/>
                <w:szCs w:val="20"/>
                <w:color w:val="auto"/>
              </w:rPr>
            </w:pPr>
            <w:r>
              <w:rPr>
                <w:rFonts w:ascii="Times New Roman" w:cs="Times New Roman" w:eastAsia="Times New Roman" w:hAnsi="Times New Roman"/>
                <w:sz w:val="20"/>
                <w:szCs w:val="20"/>
                <w:color w:val="auto"/>
              </w:rPr>
              <w:t>Extension of Term Loans; Extension of Revolving Loans and Revolving Commitments</w:t>
            </w:r>
          </w:p>
        </w:tc>
        <w:tc>
          <w:tcPr>
            <w:tcW w:w="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108</w:t>
            </w:r>
          </w:p>
        </w:tc>
        <w:tc>
          <w:tcPr>
            <w:tcW w:w="28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110</w:t>
            </w: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2.27</w:t>
            </w:r>
          </w:p>
        </w:tc>
        <w:tc>
          <w:tcPr>
            <w:tcW w:w="2980" w:type="dxa"/>
            <w:vAlign w:val="bottom"/>
            <w:gridSpan w:val="41"/>
          </w:tcPr>
          <w:p>
            <w:pPr>
              <w:ind w:left="20"/>
              <w:spacing w:after="0" w:line="223" w:lineRule="exact"/>
              <w:rPr>
                <w:sz w:val="20"/>
                <w:szCs w:val="20"/>
                <w:color w:val="auto"/>
              </w:rPr>
            </w:pPr>
            <w:r>
              <w:rPr>
                <w:rFonts w:ascii="Times New Roman" w:cs="Times New Roman" w:eastAsia="Times New Roman" w:hAnsi="Times New Roman"/>
                <w:sz w:val="20"/>
                <w:szCs w:val="20"/>
                <w:color w:val="auto"/>
              </w:rPr>
              <w:t>Inability to Determine Interest Rates</w:t>
            </w:r>
          </w:p>
        </w:tc>
        <w:tc>
          <w:tcPr>
            <w:tcW w:w="48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111</w:t>
            </w:r>
          </w:p>
        </w:tc>
        <w:tc>
          <w:tcPr>
            <w:tcW w:w="220" w:type="dxa"/>
            <w:vAlign w:val="bottom"/>
            <w:tcBorders>
              <w:bottom w:val="single" w:sz="8" w:color="0000FF"/>
            </w:tcBorders>
            <w:gridSpan w:val="4"/>
          </w:tcPr>
          <w:p>
            <w:pPr>
              <w:jc w:val="center"/>
              <w:spacing w:after="0" w:line="223" w:lineRule="exact"/>
              <w:rPr>
                <w:sz w:val="20"/>
                <w:szCs w:val="20"/>
                <w:color w:val="auto"/>
              </w:rPr>
            </w:pPr>
            <w:r>
              <w:rPr>
                <w:rFonts w:ascii="Times New Roman" w:cs="Times New Roman" w:eastAsia="Times New Roman" w:hAnsi="Times New Roman"/>
                <w:sz w:val="20"/>
                <w:szCs w:val="20"/>
                <w:color w:val="0000FF"/>
                <w:w w:val="73"/>
              </w:rPr>
              <w:t>113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779" w:right="33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Section 3.</w:t>
            </w:r>
          </w:p>
        </w:tc>
        <w:tc>
          <w:tcPr>
            <w:tcW w:w="1940" w:type="dxa"/>
            <w:vAlign w:val="bottom"/>
            <w:gridSpan w:val="16"/>
            <w:vMerge w:val="restart"/>
          </w:tcPr>
          <w:p>
            <w:pPr>
              <w:ind w:left="220"/>
              <w:spacing w:after="0"/>
              <w:rPr>
                <w:sz w:val="20"/>
                <w:szCs w:val="20"/>
                <w:color w:val="auto"/>
              </w:rPr>
            </w:pPr>
            <w:r>
              <w:rPr>
                <w:rFonts w:ascii="Times New Roman" w:cs="Times New Roman" w:eastAsia="Times New Roman" w:hAnsi="Times New Roman"/>
                <w:sz w:val="20"/>
                <w:szCs w:val="20"/>
                <w:color w:val="auto"/>
                <w:w w:val="99"/>
              </w:rPr>
              <w:t>Conditions Precedent</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FF0000"/>
                <w:strike w:val="1"/>
                <w:w w:val="70"/>
              </w:rPr>
              <w:t>113</w:t>
            </w: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115</w:t>
            </w: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1940" w:type="dxa"/>
            <w:vAlign w:val="bottom"/>
            <w:gridSpan w:val="16"/>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gridSpan w:val="4"/>
            <w:vMerge w:val="continue"/>
          </w:tcPr>
          <w:p>
            <w:pPr>
              <w:spacing w:after="0"/>
              <w:rPr>
                <w:sz w:val="16"/>
                <w:szCs w:val="16"/>
                <w:color w:val="auto"/>
              </w:rPr>
            </w:pPr>
          </w:p>
        </w:tc>
        <w:tc>
          <w:tcPr>
            <w:tcW w:w="300" w:type="dxa"/>
            <w:vAlign w:val="bottom"/>
            <w:tcBorders>
              <w:bottom w:val="single" w:sz="8" w:color="0000FF"/>
            </w:tcBorders>
            <w:gridSpan w:val="6"/>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3.01</w:t>
            </w:r>
          </w:p>
        </w:tc>
        <w:tc>
          <w:tcPr>
            <w:tcW w:w="3200" w:type="dxa"/>
            <w:vAlign w:val="bottom"/>
            <w:gridSpan w:val="37"/>
          </w:tcPr>
          <w:p>
            <w:pPr>
              <w:ind w:left="20"/>
              <w:spacing w:after="0"/>
              <w:rPr>
                <w:sz w:val="20"/>
                <w:szCs w:val="20"/>
                <w:color w:val="auto"/>
              </w:rPr>
            </w:pPr>
            <w:r>
              <w:rPr>
                <w:rFonts w:ascii="Times New Roman" w:cs="Times New Roman" w:eastAsia="Times New Roman" w:hAnsi="Times New Roman"/>
                <w:sz w:val="20"/>
                <w:szCs w:val="20"/>
                <w:color w:val="auto"/>
              </w:rPr>
              <w:t>Conditions to Initial Credit Extension</w:t>
            </w:r>
          </w:p>
        </w:tc>
        <w:tc>
          <w:tcPr>
            <w:tcW w:w="28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86"/>
              </w:rPr>
              <w:t>113</w:t>
            </w: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3.02</w:t>
            </w:r>
          </w:p>
        </w:tc>
        <w:tc>
          <w:tcPr>
            <w:tcW w:w="2900" w:type="dxa"/>
            <w:vAlign w:val="bottom"/>
            <w:gridSpan w:val="34"/>
          </w:tcPr>
          <w:p>
            <w:pPr>
              <w:ind w:left="20"/>
              <w:spacing w:after="0" w:line="209" w:lineRule="exact"/>
              <w:rPr>
                <w:sz w:val="20"/>
                <w:szCs w:val="20"/>
                <w:color w:val="auto"/>
              </w:rPr>
            </w:pPr>
            <w:r>
              <w:rPr>
                <w:rFonts w:ascii="Times New Roman" w:cs="Times New Roman" w:eastAsia="Times New Roman" w:hAnsi="Times New Roman"/>
                <w:sz w:val="20"/>
                <w:szCs w:val="20"/>
                <w:color w:val="auto"/>
                <w:w w:val="96"/>
              </w:rPr>
              <w:t>Conditions to Each Credit Extension</w:t>
            </w:r>
          </w:p>
        </w:tc>
        <w:tc>
          <w:tcPr>
            <w:tcW w:w="100" w:type="dxa"/>
            <w:vAlign w:val="bottom"/>
          </w:tcPr>
          <w:p>
            <w:pPr>
              <w:spacing w:after="0"/>
              <w:rPr>
                <w:sz w:val="18"/>
                <w:szCs w:val="18"/>
                <w:color w:val="auto"/>
              </w:rPr>
            </w:pPr>
          </w:p>
        </w:tc>
        <w:tc>
          <w:tcPr>
            <w:tcW w:w="40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115</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4.</w:t>
            </w:r>
          </w:p>
        </w:tc>
        <w:tc>
          <w:tcPr>
            <w:tcW w:w="2900" w:type="dxa"/>
            <w:vAlign w:val="bottom"/>
            <w:gridSpan w:val="34"/>
          </w:tcPr>
          <w:p>
            <w:pPr>
              <w:ind w:left="22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116</w:t>
            </w:r>
          </w:p>
        </w:tc>
        <w:tc>
          <w:tcPr>
            <w:tcW w:w="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3"/>
              </w:rPr>
              <w:t>118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4.01</w:t>
            </w:r>
          </w:p>
        </w:tc>
        <w:tc>
          <w:tcPr>
            <w:tcW w:w="4960" w:type="dxa"/>
            <w:vAlign w:val="bottom"/>
            <w:gridSpan w:val="52"/>
          </w:tcPr>
          <w:p>
            <w:pPr>
              <w:ind w:left="20"/>
              <w:spacing w:after="0"/>
              <w:rPr>
                <w:sz w:val="20"/>
                <w:szCs w:val="20"/>
                <w:color w:val="auto"/>
              </w:rPr>
            </w:pPr>
            <w:r>
              <w:rPr>
                <w:rFonts w:ascii="Times New Roman" w:cs="Times New Roman" w:eastAsia="Times New Roman" w:hAnsi="Times New Roman"/>
                <w:sz w:val="20"/>
                <w:szCs w:val="20"/>
                <w:color w:val="auto"/>
              </w:rPr>
              <w:t>Organization; Requisite Power and Authority; Qualification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116</w:t>
            </w: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118</w:t>
            </w: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4.02</w:t>
            </w:r>
          </w:p>
        </w:tc>
        <w:tc>
          <w:tcPr>
            <w:tcW w:w="240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Capital Stock and Ownership</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FF0000"/>
                <w:strike w:val="1"/>
                <w:w w:val="86"/>
              </w:rPr>
              <w:t>116</w:t>
            </w:r>
          </w:p>
        </w:tc>
        <w:tc>
          <w:tcPr>
            <w:tcW w:w="34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4.03</w:t>
            </w:r>
          </w:p>
        </w:tc>
        <w:tc>
          <w:tcPr>
            <w:tcW w:w="1620" w:type="dxa"/>
            <w:vAlign w:val="bottom"/>
            <w:gridSpan w:val="9"/>
          </w:tcPr>
          <w:p>
            <w:pPr>
              <w:ind w:left="20"/>
              <w:spacing w:after="0" w:line="209" w:lineRule="exact"/>
              <w:rPr>
                <w:sz w:val="20"/>
                <w:szCs w:val="20"/>
                <w:color w:val="auto"/>
              </w:rPr>
            </w:pPr>
            <w:r>
              <w:rPr>
                <w:rFonts w:ascii="Times New Roman" w:cs="Times New Roman" w:eastAsia="Times New Roman" w:hAnsi="Times New Roman"/>
                <w:sz w:val="20"/>
                <w:szCs w:val="20"/>
                <w:color w:val="auto"/>
              </w:rPr>
              <w:t>Due Authorization</w:t>
            </w:r>
          </w:p>
        </w:tc>
        <w:tc>
          <w:tcPr>
            <w:tcW w:w="60" w:type="dxa"/>
            <w:vAlign w:val="bottom"/>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117</w:t>
            </w:r>
          </w:p>
        </w:tc>
        <w:tc>
          <w:tcPr>
            <w:tcW w:w="340" w:type="dxa"/>
            <w:vAlign w:val="bottom"/>
            <w:tcBorders>
              <w:bottom w:val="single" w:sz="8" w:color="0000FF"/>
            </w:tcBorders>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4.04</w:t>
            </w:r>
          </w:p>
        </w:tc>
        <w:tc>
          <w:tcPr>
            <w:tcW w:w="11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No Conflict</w:t>
            </w:r>
          </w:p>
        </w:tc>
        <w:tc>
          <w:tcPr>
            <w:tcW w:w="3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117</w:t>
            </w:r>
          </w:p>
        </w:tc>
        <w:tc>
          <w:tcPr>
            <w:tcW w:w="300" w:type="dxa"/>
            <w:vAlign w:val="bottom"/>
            <w:tcBorders>
              <w:bottom w:val="single" w:sz="8" w:color="0000FF"/>
            </w:tcBorders>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4.05</w:t>
            </w:r>
          </w:p>
        </w:tc>
        <w:tc>
          <w:tcPr>
            <w:tcW w:w="19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auto"/>
                <w:w w:val="98"/>
              </w:rPr>
              <w:t>Governmental Consents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FF0000"/>
                <w:strike w:val="1"/>
                <w:w w:val="79"/>
              </w:rPr>
              <w:t>117</w:t>
            </w:r>
          </w:p>
        </w:tc>
        <w:tc>
          <w:tcPr>
            <w:tcW w:w="28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119</w:t>
            </w:r>
          </w:p>
        </w:tc>
        <w:tc>
          <w:tcPr>
            <w:tcW w:w="20" w:type="dxa"/>
            <w:vAlign w:val="bottom"/>
            <w:tcBorders>
              <w:bottom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4.06</w:t>
            </w:r>
          </w:p>
        </w:tc>
        <w:tc>
          <w:tcPr>
            <w:tcW w:w="1620" w:type="dxa"/>
            <w:vAlign w:val="bottom"/>
            <w:gridSpan w:val="9"/>
          </w:tcPr>
          <w:p>
            <w:pPr>
              <w:ind w:left="20"/>
              <w:spacing w:after="0" w:line="209" w:lineRule="exact"/>
              <w:rPr>
                <w:sz w:val="20"/>
                <w:szCs w:val="20"/>
                <w:color w:val="auto"/>
              </w:rPr>
            </w:pPr>
            <w:r>
              <w:rPr>
                <w:rFonts w:ascii="Times New Roman" w:cs="Times New Roman" w:eastAsia="Times New Roman" w:hAnsi="Times New Roman"/>
                <w:sz w:val="20"/>
                <w:szCs w:val="20"/>
                <w:color w:val="auto"/>
              </w:rPr>
              <w:t>Binding Obligation</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8"/>
          </w:tcPr>
          <w:p>
            <w:pPr>
              <w:jc w:val="right"/>
              <w:ind w:right="21"/>
              <w:spacing w:after="0" w:line="209" w:lineRule="exact"/>
              <w:rPr>
                <w:sz w:val="20"/>
                <w:szCs w:val="20"/>
                <w:color w:val="auto"/>
              </w:rPr>
            </w:pPr>
            <w:r>
              <w:rPr>
                <w:rFonts w:ascii="Times New Roman" w:cs="Times New Roman" w:eastAsia="Times New Roman" w:hAnsi="Times New Roman"/>
                <w:sz w:val="20"/>
                <w:szCs w:val="20"/>
                <w:color w:val="FF0000"/>
                <w:strike w:val="1"/>
                <w:w w:val="93"/>
              </w:rPr>
              <w:t>117</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FF"/>
                <w:w w:val="71"/>
              </w:rPr>
              <w:t>119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4.07</w:t>
            </w:r>
          </w:p>
        </w:tc>
        <w:tc>
          <w:tcPr>
            <w:tcW w:w="1860" w:type="dxa"/>
            <w:vAlign w:val="bottom"/>
            <w:gridSpan w:val="13"/>
          </w:tcPr>
          <w:p>
            <w:pPr>
              <w:ind w:left="20"/>
              <w:spacing w:after="0" w:line="223" w:lineRule="exact"/>
              <w:rPr>
                <w:sz w:val="20"/>
                <w:szCs w:val="20"/>
                <w:color w:val="auto"/>
              </w:rPr>
            </w:pPr>
            <w:r>
              <w:rPr>
                <w:rFonts w:ascii="Times New Roman" w:cs="Times New Roman" w:eastAsia="Times New Roman" w:hAnsi="Times New Roman"/>
                <w:sz w:val="20"/>
                <w:szCs w:val="20"/>
                <w:color w:val="auto"/>
              </w:rPr>
              <w:t>Financial Statements</w:t>
            </w:r>
          </w:p>
        </w:tc>
        <w:tc>
          <w:tcPr>
            <w:tcW w:w="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117</w:t>
            </w:r>
          </w:p>
        </w:tc>
        <w:tc>
          <w:tcPr>
            <w:tcW w:w="380" w:type="dxa"/>
            <w:vAlign w:val="bottom"/>
            <w:gridSpan w:val="7"/>
          </w:tcPr>
          <w:p>
            <w:pPr>
              <w:jc w:val="right"/>
              <w:ind w:right="100"/>
              <w:spacing w:after="0" w:line="223" w:lineRule="exact"/>
              <w:rPr>
                <w:sz w:val="20"/>
                <w:szCs w:val="20"/>
                <w:color w:val="auto"/>
              </w:rPr>
            </w:pPr>
            <w:r>
              <w:rPr>
                <w:rFonts w:ascii="Times New Roman" w:cs="Times New Roman" w:eastAsia="Times New Roman" w:hAnsi="Times New Roman"/>
                <w:sz w:val="20"/>
                <w:szCs w:val="20"/>
                <w:color w:val="0000FF"/>
                <w:w w:val="86"/>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4.08</w:t>
            </w:r>
          </w:p>
        </w:tc>
        <w:tc>
          <w:tcPr>
            <w:tcW w:w="9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Projections</w:t>
            </w:r>
          </w:p>
        </w:tc>
        <w:tc>
          <w:tcPr>
            <w:tcW w:w="140" w:type="dxa"/>
            <w:vAlign w:val="bottom"/>
          </w:tcPr>
          <w:p>
            <w:pPr>
              <w:spacing w:after="0"/>
              <w:rPr>
                <w:sz w:val="18"/>
                <w:szCs w:val="18"/>
                <w:color w:val="auto"/>
              </w:rPr>
            </w:pPr>
          </w:p>
        </w:tc>
        <w:tc>
          <w:tcPr>
            <w:tcW w:w="3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26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119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4.09</w:t>
            </w:r>
          </w:p>
        </w:tc>
        <w:tc>
          <w:tcPr>
            <w:tcW w:w="240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auto"/>
              </w:rPr>
              <w:t>No Material Adverse Effect</w:t>
            </w:r>
          </w:p>
        </w:tc>
        <w:tc>
          <w:tcPr>
            <w:tcW w:w="20" w:type="dxa"/>
            <w:vAlign w:val="bottom"/>
          </w:tcPr>
          <w:p>
            <w:pPr>
              <w:spacing w:after="0"/>
              <w:rPr>
                <w:sz w:val="19"/>
                <w:szCs w:val="19"/>
                <w:color w:val="auto"/>
              </w:rPr>
            </w:pPr>
          </w:p>
        </w:tc>
        <w:tc>
          <w:tcPr>
            <w:tcW w:w="28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118</w:t>
            </w:r>
          </w:p>
        </w:tc>
        <w:tc>
          <w:tcPr>
            <w:tcW w:w="300" w:type="dxa"/>
            <w:vAlign w:val="bottom"/>
            <w:tcBorders>
              <w:bottom w:val="single" w:sz="8" w:color="0000FF"/>
            </w:tcBorders>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4.10</w:t>
            </w:r>
          </w:p>
        </w:tc>
        <w:tc>
          <w:tcPr>
            <w:tcW w:w="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118</w:t>
            </w:r>
          </w:p>
        </w:tc>
        <w:tc>
          <w:tcPr>
            <w:tcW w:w="2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color w:val="0000FF"/>
                <w:w w:val="70"/>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4.11</w:t>
            </w:r>
          </w:p>
        </w:tc>
        <w:tc>
          <w:tcPr>
            <w:tcW w:w="2160" w:type="dxa"/>
            <w:vAlign w:val="bottom"/>
            <w:gridSpan w:val="19"/>
          </w:tcPr>
          <w:p>
            <w:pPr>
              <w:spacing w:after="0" w:line="209" w:lineRule="exact"/>
              <w:rPr>
                <w:sz w:val="20"/>
                <w:szCs w:val="20"/>
                <w:color w:val="auto"/>
              </w:rPr>
            </w:pPr>
            <w:r>
              <w:rPr>
                <w:rFonts w:ascii="Times New Roman" w:cs="Times New Roman" w:eastAsia="Times New Roman" w:hAnsi="Times New Roman"/>
                <w:sz w:val="20"/>
                <w:szCs w:val="20"/>
                <w:color w:val="auto"/>
              </w:rPr>
              <w:t>Adverse Proceedings, Etc</w:t>
            </w:r>
          </w:p>
        </w:tc>
        <w:tc>
          <w:tcPr>
            <w:tcW w:w="80" w:type="dxa"/>
            <w:vAlign w:val="bottom"/>
          </w:tcPr>
          <w:p>
            <w:pPr>
              <w:spacing w:after="0"/>
              <w:rPr>
                <w:sz w:val="18"/>
                <w:szCs w:val="18"/>
                <w:color w:val="auto"/>
              </w:rPr>
            </w:pPr>
          </w:p>
        </w:tc>
        <w:tc>
          <w:tcPr>
            <w:tcW w:w="30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32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0000FF"/>
                <w:w w:val="99"/>
              </w:rPr>
              <w:t>120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4.12</w:t>
            </w:r>
          </w:p>
        </w:tc>
        <w:tc>
          <w:tcPr>
            <w:tcW w:w="162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auto"/>
              </w:rPr>
              <w:t>Payment of Taxes</w:t>
            </w:r>
          </w:p>
        </w:tc>
        <w:tc>
          <w:tcPr>
            <w:tcW w:w="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3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4.13</w:t>
            </w:r>
          </w:p>
        </w:tc>
        <w:tc>
          <w:tcPr>
            <w:tcW w:w="9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Properties</w:t>
            </w:r>
          </w:p>
        </w:tc>
        <w:tc>
          <w:tcPr>
            <w:tcW w:w="4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118</w:t>
            </w:r>
          </w:p>
        </w:tc>
        <w:tc>
          <w:tcPr>
            <w:tcW w:w="260" w:type="dxa"/>
            <w:vAlign w:val="bottom"/>
            <w:tcBorders>
              <w:bottom w:val="single" w:sz="8" w:color="0000FF"/>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FF"/>
                <w:w w:val="79"/>
              </w:rPr>
              <w:t>120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4.14</w:t>
            </w:r>
          </w:p>
        </w:tc>
        <w:tc>
          <w:tcPr>
            <w:tcW w:w="19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auto"/>
              </w:rPr>
              <w:t>Environmental Matters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FF0000"/>
                <w:strike w:val="1"/>
                <w:w w:val="70"/>
              </w:rPr>
              <w:t>118</w:t>
            </w:r>
          </w:p>
        </w:tc>
        <w:tc>
          <w:tcPr>
            <w:tcW w:w="24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70"/>
              </w:rPr>
              <w:t>120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4.15</w:t>
            </w:r>
          </w:p>
        </w:tc>
        <w:tc>
          <w:tcPr>
            <w:tcW w:w="154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Use of Proceeds</w:t>
            </w:r>
          </w:p>
        </w:tc>
        <w:tc>
          <w:tcPr>
            <w:tcW w:w="24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3"/>
              </w:rPr>
              <w:t>119</w:t>
            </w:r>
          </w:p>
        </w:tc>
        <w:tc>
          <w:tcPr>
            <w:tcW w:w="380" w:type="dxa"/>
            <w:vAlign w:val="bottom"/>
            <w:tcBorders>
              <w:bottom w:val="single" w:sz="8" w:color="0000FF"/>
            </w:tcBorders>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4.16</w:t>
            </w:r>
          </w:p>
        </w:tc>
        <w:tc>
          <w:tcPr>
            <w:tcW w:w="1940" w:type="dxa"/>
            <w:vAlign w:val="bottom"/>
            <w:gridSpan w:val="16"/>
          </w:tcPr>
          <w:p>
            <w:pPr>
              <w:ind w:left="20"/>
              <w:spacing w:after="0" w:line="209" w:lineRule="exact"/>
              <w:rPr>
                <w:sz w:val="20"/>
                <w:szCs w:val="20"/>
                <w:color w:val="auto"/>
              </w:rPr>
            </w:pPr>
            <w:r>
              <w:rPr>
                <w:rFonts w:ascii="Times New Roman" w:cs="Times New Roman" w:eastAsia="Times New Roman" w:hAnsi="Times New Roman"/>
                <w:sz w:val="20"/>
                <w:szCs w:val="20"/>
                <w:color w:val="auto"/>
              </w:rPr>
              <w:t>Collateral Documents</w:t>
            </w:r>
          </w:p>
        </w:tc>
        <w:tc>
          <w:tcPr>
            <w:tcW w:w="3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4.17</w:t>
            </w:r>
          </w:p>
        </w:tc>
        <w:tc>
          <w:tcPr>
            <w:tcW w:w="21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auto"/>
              </w:rPr>
              <w:t>Governmental Regulation</w:t>
            </w:r>
          </w:p>
        </w:tc>
        <w:tc>
          <w:tcPr>
            <w:tcW w:w="100" w:type="dxa"/>
            <w:vAlign w:val="bottom"/>
            <w:gridSpan w:val="2"/>
          </w:tcPr>
          <w:p>
            <w:pPr>
              <w:spacing w:after="0"/>
              <w:rPr>
                <w:sz w:val="19"/>
                <w:szCs w:val="19"/>
                <w:color w:val="auto"/>
              </w:rPr>
            </w:pPr>
          </w:p>
        </w:tc>
        <w:tc>
          <w:tcPr>
            <w:tcW w:w="38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70"/>
              </w:rPr>
              <w:t>121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4.18</w:t>
            </w:r>
          </w:p>
        </w:tc>
        <w:tc>
          <w:tcPr>
            <w:tcW w:w="110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0"/>
                <w:szCs w:val="20"/>
                <w:color w:val="auto"/>
                <w:w w:val="96"/>
              </w:rPr>
              <w:t>Margin Stock</w:t>
            </w:r>
          </w:p>
        </w:tc>
        <w:tc>
          <w:tcPr>
            <w:tcW w:w="260" w:type="dxa"/>
            <w:vAlign w:val="bottom"/>
          </w:tcPr>
          <w:p>
            <w:pPr>
              <w:spacing w:after="0"/>
              <w:rPr>
                <w:sz w:val="18"/>
                <w:szCs w:val="18"/>
                <w:color w:val="auto"/>
              </w:rPr>
            </w:pPr>
          </w:p>
        </w:tc>
        <w:tc>
          <w:tcPr>
            <w:tcW w:w="22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19"/>
                <w:szCs w:val="19"/>
                <w:color w:val="FF0000"/>
                <w:strike w:val="1"/>
                <w:w w:val="70"/>
              </w:rPr>
              <w:t>119</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4.19</w:t>
            </w:r>
          </w:p>
        </w:tc>
        <w:tc>
          <w:tcPr>
            <w:tcW w:w="162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auto"/>
              </w:rPr>
              <w:t>Employee Matters</w:t>
            </w:r>
          </w:p>
        </w:tc>
        <w:tc>
          <w:tcPr>
            <w:tcW w:w="60" w:type="dxa"/>
            <w:vAlign w:val="bottom"/>
          </w:tcPr>
          <w:p>
            <w:pPr>
              <w:spacing w:after="0"/>
              <w:rPr>
                <w:sz w:val="19"/>
                <w:szCs w:val="19"/>
                <w:color w:val="auto"/>
              </w:rPr>
            </w:pPr>
          </w:p>
        </w:tc>
        <w:tc>
          <w:tcPr>
            <w:tcW w:w="28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119</w:t>
            </w:r>
          </w:p>
        </w:tc>
        <w:tc>
          <w:tcPr>
            <w:tcW w:w="3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4.20</w:t>
            </w:r>
          </w:p>
        </w:tc>
        <w:tc>
          <w:tcPr>
            <w:tcW w:w="19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auto"/>
                <w:w w:val="98"/>
              </w:rPr>
              <w:t>Employee Benefit Plans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FF0000"/>
                <w:strike w:val="1"/>
                <w:w w:val="79"/>
              </w:rPr>
              <w:t>120</w:t>
            </w:r>
          </w:p>
        </w:tc>
        <w:tc>
          <w:tcPr>
            <w:tcW w:w="400" w:type="dxa"/>
            <w:vAlign w:val="bottom"/>
            <w:gridSpan w:val="7"/>
          </w:tcPr>
          <w:p>
            <w:pPr>
              <w:jc w:val="right"/>
              <w:ind w:right="100"/>
              <w:spacing w:after="0" w:line="223" w:lineRule="exact"/>
              <w:rPr>
                <w:sz w:val="20"/>
                <w:szCs w:val="20"/>
                <w:color w:val="auto"/>
              </w:rPr>
            </w:pPr>
            <w:r>
              <w:rPr>
                <w:rFonts w:ascii="Times New Roman" w:cs="Times New Roman" w:eastAsia="Times New Roman" w:hAnsi="Times New Roman"/>
                <w:sz w:val="20"/>
                <w:szCs w:val="20"/>
                <w:color w:val="0000FF"/>
                <w:w w:val="93"/>
              </w:rPr>
              <w:t>121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4.21</w:t>
            </w:r>
          </w:p>
        </w:tc>
        <w:tc>
          <w:tcPr>
            <w:tcW w:w="9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Solvency</w:t>
            </w:r>
          </w:p>
        </w:tc>
        <w:tc>
          <w:tcPr>
            <w:tcW w:w="400" w:type="dxa"/>
            <w:vAlign w:val="bottom"/>
            <w:gridSpan w:val="2"/>
          </w:tcPr>
          <w:p>
            <w:pPr>
              <w:jc w:val="right"/>
              <w:ind w:right="21"/>
              <w:spacing w:after="0" w:line="209" w:lineRule="exact"/>
              <w:rPr>
                <w:sz w:val="20"/>
                <w:szCs w:val="20"/>
                <w:color w:val="auto"/>
              </w:rPr>
            </w:pPr>
            <w:r>
              <w:rPr>
                <w:rFonts w:ascii="Times New Roman" w:cs="Times New Roman" w:eastAsia="Times New Roman" w:hAnsi="Times New Roman"/>
                <w:sz w:val="20"/>
                <w:szCs w:val="20"/>
                <w:color w:val="FF0000"/>
                <w:strike w:val="1"/>
                <w:w w:val="86"/>
              </w:rPr>
              <w:t>120</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0000FF"/>
                <w:w w:val="70"/>
              </w:rPr>
              <w:t>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4.22</w:t>
            </w:r>
          </w:p>
        </w:tc>
        <w:tc>
          <w:tcPr>
            <w:tcW w:w="2660" w:type="dxa"/>
            <w:vAlign w:val="bottom"/>
            <w:gridSpan w:val="28"/>
          </w:tcPr>
          <w:p>
            <w:pPr>
              <w:ind w:left="20"/>
              <w:spacing w:after="0" w:line="223" w:lineRule="exact"/>
              <w:rPr>
                <w:sz w:val="20"/>
                <w:szCs w:val="20"/>
                <w:color w:val="auto"/>
              </w:rPr>
            </w:pPr>
            <w:r>
              <w:rPr>
                <w:rFonts w:ascii="Times New Roman" w:cs="Times New Roman" w:eastAsia="Times New Roman" w:hAnsi="Times New Roman"/>
                <w:sz w:val="20"/>
                <w:szCs w:val="20"/>
                <w:color w:val="auto"/>
              </w:rPr>
              <w:t>Compliance with Statutes, Etc.</w:t>
            </w:r>
          </w:p>
        </w:tc>
        <w:tc>
          <w:tcPr>
            <w:tcW w:w="24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120</w:t>
            </w:r>
          </w:p>
        </w:tc>
        <w:tc>
          <w:tcPr>
            <w:tcW w:w="460" w:type="dxa"/>
            <w:vAlign w:val="bottom"/>
            <w:gridSpan w:val="5"/>
          </w:tcPr>
          <w:p>
            <w:pPr>
              <w:jc w:val="right"/>
              <w:ind w:right="100"/>
              <w:spacing w:after="0" w:line="223" w:lineRule="exact"/>
              <w:rPr>
                <w:sz w:val="20"/>
                <w:szCs w:val="20"/>
                <w:color w:val="auto"/>
              </w:rPr>
            </w:pPr>
            <w:r>
              <w:rPr>
                <w:rFonts w:ascii="Times New Roman" w:cs="Times New Roman" w:eastAsia="Times New Roman" w:hAnsi="Times New Roman"/>
                <w:sz w:val="20"/>
                <w:szCs w:val="20"/>
                <w:color w:val="0000FF"/>
              </w:rPr>
              <w:t>122</w:t>
            </w:r>
          </w:p>
        </w:tc>
        <w:tc>
          <w:tcPr>
            <w:tcW w:w="300" w:type="dxa"/>
            <w:vAlign w:val="bottom"/>
            <w:gridSpan w:val="4"/>
          </w:tcPr>
          <w:p>
            <w:pPr>
              <w:spacing w:after="0"/>
              <w:rPr>
                <w:sz w:val="19"/>
                <w:szCs w:val="19"/>
                <w:color w:val="auto"/>
              </w:rPr>
            </w:pPr>
          </w:p>
        </w:tc>
        <w:tc>
          <w:tcPr>
            <w:tcW w:w="30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4.23</w:t>
            </w:r>
          </w:p>
        </w:tc>
        <w:tc>
          <w:tcPr>
            <w:tcW w:w="9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Disclosure</w:t>
            </w:r>
          </w:p>
        </w:tc>
        <w:tc>
          <w:tcPr>
            <w:tcW w:w="4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120</w:t>
            </w:r>
          </w:p>
        </w:tc>
        <w:tc>
          <w:tcPr>
            <w:tcW w:w="32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4.24</w:t>
            </w:r>
          </w:p>
        </w:tc>
        <w:tc>
          <w:tcPr>
            <w:tcW w:w="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400" w:type="dxa"/>
            <w:vAlign w:val="bottom"/>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FF0000"/>
                <w:strike w:val="1"/>
                <w:w w:val="86"/>
              </w:rPr>
              <w:t>121</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0000FF"/>
                <w:w w:val="70"/>
              </w:rPr>
              <w:t>122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4.25</w:t>
            </w:r>
          </w:p>
        </w:tc>
        <w:tc>
          <w:tcPr>
            <w:tcW w:w="4000" w:type="dxa"/>
            <w:vAlign w:val="bottom"/>
            <w:gridSpan w:val="47"/>
          </w:tcPr>
          <w:p>
            <w:pPr>
              <w:ind w:left="20"/>
              <w:spacing w:after="0" w:line="223" w:lineRule="exact"/>
              <w:rPr>
                <w:sz w:val="20"/>
                <w:szCs w:val="20"/>
                <w:color w:val="auto"/>
              </w:rPr>
            </w:pPr>
            <w:r>
              <w:rPr>
                <w:rFonts w:ascii="Times New Roman" w:cs="Times New Roman" w:eastAsia="Times New Roman" w:hAnsi="Times New Roman"/>
                <w:sz w:val="20"/>
                <w:szCs w:val="20"/>
                <w:color w:val="auto"/>
              </w:rPr>
              <w:t>Patents, Trademarks, Copyrights, Licenses, Etc.</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121</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122</w:t>
            </w:r>
          </w:p>
        </w:tc>
        <w:tc>
          <w:tcPr>
            <w:tcW w:w="1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4.26</w:t>
            </w:r>
          </w:p>
        </w:tc>
        <w:tc>
          <w:tcPr>
            <w:tcW w:w="4420" w:type="dxa"/>
            <w:vAlign w:val="bottom"/>
            <w:gridSpan w:val="49"/>
          </w:tcPr>
          <w:p>
            <w:pPr>
              <w:ind w:left="20"/>
              <w:spacing w:after="0" w:line="209" w:lineRule="exact"/>
              <w:rPr>
                <w:sz w:val="20"/>
                <w:szCs w:val="20"/>
                <w:color w:val="auto"/>
              </w:rPr>
            </w:pPr>
            <w:r>
              <w:rPr>
                <w:rFonts w:ascii="Times New Roman" w:cs="Times New Roman" w:eastAsia="Times New Roman" w:hAnsi="Times New Roman"/>
                <w:sz w:val="20"/>
                <w:szCs w:val="20"/>
                <w:color w:val="auto"/>
              </w:rPr>
              <w:t>Sanctions; Anti-Corruption; and Anti-Terrorism Law</w:t>
            </w:r>
          </w:p>
        </w:tc>
        <w:tc>
          <w:tcPr>
            <w:tcW w:w="2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121</w:t>
            </w:r>
          </w:p>
        </w:tc>
        <w:tc>
          <w:tcPr>
            <w:tcW w:w="840" w:type="dxa"/>
            <w:vAlign w:val="bottom"/>
            <w:gridSpan w:val="4"/>
          </w:tcPr>
          <w:p>
            <w:pPr>
              <w:jc w:val="right"/>
              <w:ind w:right="441"/>
              <w:spacing w:after="0" w:line="209" w:lineRule="exact"/>
              <w:rPr>
                <w:sz w:val="20"/>
                <w:szCs w:val="20"/>
                <w:color w:val="auto"/>
              </w:rPr>
            </w:pPr>
            <w:r>
              <w:rPr>
                <w:rFonts w:ascii="Times New Roman" w:cs="Times New Roman" w:eastAsia="Times New Roman" w:hAnsi="Times New Roman"/>
                <w:sz w:val="20"/>
                <w:szCs w:val="20"/>
                <w:color w:val="0000FF"/>
                <w:w w:val="93"/>
              </w:rPr>
              <w:t>123</w:t>
            </w:r>
          </w:p>
        </w:tc>
        <w:tc>
          <w:tcPr>
            <w:tcW w:w="0" w:type="dxa"/>
            <w:vAlign w:val="bottom"/>
          </w:tcPr>
          <w:p>
            <w:pPr>
              <w:spacing w:after="0"/>
              <w:rPr>
                <w:sz w:val="1"/>
                <w:szCs w:val="1"/>
                <w:color w:val="auto"/>
              </w:rPr>
            </w:pPr>
          </w:p>
        </w:tc>
      </w:tr>
      <w:tr>
        <w:trPr>
          <w:trHeight w:val="331"/>
        </w:trPr>
        <w:tc>
          <w:tcPr>
            <w:tcW w:w="31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Section 5.  Affirmative Covenants.</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79"/>
              </w:rPr>
              <w:t>122</w:t>
            </w: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0000FF"/>
                <w:w w:val="73"/>
              </w:rPr>
              <w:t>123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gridSpan w:val="4"/>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5.01</w:t>
            </w:r>
          </w:p>
        </w:tc>
        <w:tc>
          <w:tcPr>
            <w:tcW w:w="3200" w:type="dxa"/>
            <w:vAlign w:val="bottom"/>
            <w:gridSpan w:val="37"/>
          </w:tcPr>
          <w:p>
            <w:pPr>
              <w:ind w:left="20"/>
              <w:spacing w:after="0"/>
              <w:rPr>
                <w:sz w:val="20"/>
                <w:szCs w:val="20"/>
                <w:color w:val="auto"/>
              </w:rPr>
            </w:pPr>
            <w:r>
              <w:rPr>
                <w:rFonts w:ascii="Times New Roman" w:cs="Times New Roman" w:eastAsia="Times New Roman" w:hAnsi="Times New Roman"/>
                <w:sz w:val="20"/>
                <w:szCs w:val="20"/>
                <w:color w:val="auto"/>
                <w:w w:val="99"/>
              </w:rPr>
              <w:t>Financial Statements and Other Reports</w:t>
            </w:r>
          </w:p>
        </w:tc>
        <w:tc>
          <w:tcPr>
            <w:tcW w:w="160" w:type="dxa"/>
            <w:vAlign w:val="bottom"/>
            <w:gridSpan w:val="2"/>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3"/>
              </w:rPr>
              <w:t>122</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0000FF"/>
                <w:w w:val="93"/>
              </w:rPr>
              <w:t>123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5.02</w:t>
            </w:r>
          </w:p>
        </w:tc>
        <w:tc>
          <w:tcPr>
            <w:tcW w:w="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Existence</w:t>
            </w:r>
          </w:p>
        </w:tc>
        <w:tc>
          <w:tcPr>
            <w:tcW w:w="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125</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9"/>
                <w:szCs w:val="19"/>
                <w:color w:val="0000FF"/>
                <w:w w:val="70"/>
              </w:rPr>
              <w:t>127</w:t>
            </w:r>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5.03</w:t>
            </w:r>
          </w:p>
        </w:tc>
        <w:tc>
          <w:tcPr>
            <w:tcW w:w="240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auto"/>
                <w:w w:val="97"/>
              </w:rPr>
              <w:t>Payment of Taxes and Claims</w:t>
            </w:r>
          </w:p>
        </w:tc>
        <w:tc>
          <w:tcPr>
            <w:tcW w:w="240" w:type="dxa"/>
            <w:vAlign w:val="bottom"/>
            <w:gridSpan w:val="4"/>
          </w:tcPr>
          <w:p>
            <w:pPr>
              <w:spacing w:after="0"/>
              <w:rPr>
                <w:sz w:val="19"/>
                <w:szCs w:val="19"/>
                <w:color w:val="auto"/>
              </w:rPr>
            </w:pPr>
          </w:p>
        </w:tc>
        <w:tc>
          <w:tcPr>
            <w:tcW w:w="26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3"/>
              </w:rPr>
              <w:t>125</w:t>
            </w:r>
          </w:p>
        </w:tc>
        <w:tc>
          <w:tcPr>
            <w:tcW w:w="3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79"/>
              </w:rPr>
              <w:t>127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5.04</w:t>
            </w:r>
          </w:p>
        </w:tc>
        <w:tc>
          <w:tcPr>
            <w:tcW w:w="21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Maintenance of Properties</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125</w:t>
            </w:r>
          </w:p>
        </w:tc>
        <w:tc>
          <w:tcPr>
            <w:tcW w:w="26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5.05</w:t>
            </w:r>
          </w:p>
        </w:tc>
        <w:tc>
          <w:tcPr>
            <w:tcW w:w="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Insurance</w:t>
            </w:r>
          </w:p>
        </w:tc>
        <w:tc>
          <w:tcPr>
            <w:tcW w:w="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126</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9"/>
                <w:szCs w:val="19"/>
                <w:color w:val="0000FF"/>
                <w:w w:val="70"/>
              </w:rPr>
              <w:t>127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5.06</w:t>
            </w:r>
          </w:p>
        </w:tc>
        <w:tc>
          <w:tcPr>
            <w:tcW w:w="9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Inspections</w:t>
            </w:r>
          </w:p>
        </w:tc>
        <w:tc>
          <w:tcPr>
            <w:tcW w:w="140" w:type="dxa"/>
            <w:vAlign w:val="bottom"/>
          </w:tcPr>
          <w:p>
            <w:pPr>
              <w:spacing w:after="0"/>
              <w:rPr>
                <w:sz w:val="18"/>
                <w:szCs w:val="18"/>
                <w:color w:val="auto"/>
              </w:rPr>
            </w:pPr>
          </w:p>
        </w:tc>
        <w:tc>
          <w:tcPr>
            <w:tcW w:w="3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126</w:t>
            </w:r>
          </w:p>
        </w:tc>
        <w:tc>
          <w:tcPr>
            <w:tcW w:w="32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5.07</w:t>
            </w:r>
          </w:p>
        </w:tc>
        <w:tc>
          <w:tcPr>
            <w:tcW w:w="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127</w:t>
            </w:r>
          </w:p>
        </w:tc>
        <w:tc>
          <w:tcPr>
            <w:tcW w:w="240" w:type="dxa"/>
            <w:vAlign w:val="bottom"/>
            <w:tcBorders>
              <w:bottom w:val="single" w:sz="8" w:color="0000FF"/>
            </w:tcBorders>
            <w:gridSpan w:val="5"/>
          </w:tcPr>
          <w:p>
            <w:pPr>
              <w:spacing w:after="0" w:line="223" w:lineRule="exact"/>
              <w:rPr>
                <w:sz w:val="20"/>
                <w:szCs w:val="20"/>
                <w:color w:val="auto"/>
              </w:rPr>
            </w:pPr>
            <w:r>
              <w:rPr>
                <w:rFonts w:ascii="Times New Roman" w:cs="Times New Roman" w:eastAsia="Times New Roman" w:hAnsi="Times New Roman"/>
                <w:sz w:val="20"/>
                <w:szCs w:val="20"/>
                <w:color w:val="0000FF"/>
                <w:w w:val="73"/>
              </w:rPr>
              <w:t>128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5.08</w:t>
            </w:r>
          </w:p>
        </w:tc>
        <w:tc>
          <w:tcPr>
            <w:tcW w:w="1940" w:type="dxa"/>
            <w:vAlign w:val="bottom"/>
            <w:gridSpan w:val="16"/>
          </w:tcPr>
          <w:p>
            <w:pPr>
              <w:ind w:left="20"/>
              <w:spacing w:after="0" w:line="209" w:lineRule="exact"/>
              <w:rPr>
                <w:sz w:val="20"/>
                <w:szCs w:val="20"/>
                <w:color w:val="auto"/>
              </w:rPr>
            </w:pPr>
            <w:r>
              <w:rPr>
                <w:rFonts w:ascii="Times New Roman" w:cs="Times New Roman" w:eastAsia="Times New Roman" w:hAnsi="Times New Roman"/>
                <w:sz w:val="20"/>
                <w:szCs w:val="20"/>
                <w:color w:val="auto"/>
              </w:rPr>
              <w:t>Compliance with Laws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FF0000"/>
                <w:strike w:val="1"/>
                <w:w w:val="70"/>
              </w:rPr>
              <w:t>127</w:t>
            </w:r>
          </w:p>
        </w:tc>
        <w:tc>
          <w:tcPr>
            <w:tcW w:w="26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w w:val="79"/>
              </w:rPr>
              <w:t>128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5.09</w:t>
            </w:r>
          </w:p>
        </w:tc>
        <w:tc>
          <w:tcPr>
            <w:tcW w:w="240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auto"/>
              </w:rPr>
              <w:t>Designation of Subsidiaries</w:t>
            </w:r>
          </w:p>
        </w:tc>
        <w:tc>
          <w:tcPr>
            <w:tcW w:w="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127</w:t>
            </w:r>
          </w:p>
        </w:tc>
        <w:tc>
          <w:tcPr>
            <w:tcW w:w="300" w:type="dxa"/>
            <w:vAlign w:val="bottom"/>
            <w:tcBorders>
              <w:bottom w:val="single" w:sz="8" w:color="0000FF"/>
            </w:tcBorders>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128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5.10</w:t>
            </w:r>
          </w:p>
        </w:tc>
        <w:tc>
          <w:tcPr>
            <w:tcW w:w="19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auto"/>
              </w:rPr>
              <w:t>Additional Guarantors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127</w:t>
            </w:r>
          </w:p>
        </w:tc>
        <w:tc>
          <w:tcPr>
            <w:tcW w:w="32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5.11</w:t>
            </w:r>
          </w:p>
        </w:tc>
        <w:tc>
          <w:tcPr>
            <w:tcW w:w="24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w w:val="99"/>
              </w:rPr>
              <w:t>Additional Real Estate Assets</w:t>
            </w:r>
          </w:p>
        </w:tc>
        <w:tc>
          <w:tcPr>
            <w:tcW w:w="240" w:type="dxa"/>
            <w:vAlign w:val="bottom"/>
            <w:gridSpan w:val="4"/>
          </w:tcPr>
          <w:p>
            <w:pPr>
              <w:spacing w:after="0"/>
              <w:rPr>
                <w:sz w:val="18"/>
                <w:szCs w:val="18"/>
                <w:color w:val="auto"/>
              </w:rPr>
            </w:pPr>
          </w:p>
        </w:tc>
        <w:tc>
          <w:tcPr>
            <w:tcW w:w="220" w:type="dxa"/>
            <w:vAlign w:val="bottom"/>
            <w:gridSpan w:val="6"/>
          </w:tcPr>
          <w:p>
            <w:pPr>
              <w:spacing w:after="0" w:line="210" w:lineRule="exact"/>
              <w:rPr>
                <w:sz w:val="20"/>
                <w:szCs w:val="20"/>
                <w:color w:val="auto"/>
              </w:rPr>
            </w:pPr>
            <w:r>
              <w:rPr>
                <w:rFonts w:ascii="Times New Roman" w:cs="Times New Roman" w:eastAsia="Times New Roman" w:hAnsi="Times New Roman"/>
                <w:sz w:val="19"/>
                <w:szCs w:val="19"/>
                <w:color w:val="FF0000"/>
                <w:strike w:val="1"/>
                <w:w w:val="70"/>
              </w:rPr>
              <w:t>128</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5.12</w:t>
            </w:r>
          </w:p>
        </w:tc>
        <w:tc>
          <w:tcPr>
            <w:tcW w:w="162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auto"/>
              </w:rPr>
              <w:t>Corporate Ratings</w:t>
            </w:r>
          </w:p>
        </w:tc>
        <w:tc>
          <w:tcPr>
            <w:tcW w:w="60" w:type="dxa"/>
            <w:vAlign w:val="bottom"/>
          </w:tcPr>
          <w:p>
            <w:pPr>
              <w:spacing w:after="0"/>
              <w:rPr>
                <w:sz w:val="19"/>
                <w:szCs w:val="19"/>
                <w:color w:val="auto"/>
              </w:rPr>
            </w:pPr>
          </w:p>
        </w:tc>
        <w:tc>
          <w:tcPr>
            <w:tcW w:w="28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129</w:t>
            </w:r>
          </w:p>
        </w:tc>
        <w:tc>
          <w:tcPr>
            <w:tcW w:w="3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1031"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5.13</w:t>
            </w:r>
          </w:p>
        </w:tc>
        <w:tc>
          <w:tcPr>
            <w:tcW w:w="1760" w:type="dxa"/>
            <w:vAlign w:val="bottom"/>
            <w:gridSpan w:val="17"/>
            <w:vMerge w:val="restart"/>
          </w:tcPr>
          <w:p>
            <w:pPr>
              <w:ind w:left="20"/>
              <w:spacing w:after="0"/>
              <w:rPr>
                <w:sz w:val="20"/>
                <w:szCs w:val="20"/>
                <w:color w:val="auto"/>
              </w:rPr>
            </w:pPr>
            <w:r>
              <w:rPr>
                <w:rFonts w:ascii="Times New Roman" w:cs="Times New Roman" w:eastAsia="Times New Roman" w:hAnsi="Times New Roman"/>
                <w:sz w:val="20"/>
                <w:szCs w:val="20"/>
                <w:color w:val="auto"/>
              </w:rPr>
              <w:t>Further Assurances</w:t>
            </w:r>
          </w:p>
        </w:tc>
        <w:tc>
          <w:tcPr>
            <w:tcW w:w="28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6"/>
              </w:rPr>
              <w:t>129</w:t>
            </w:r>
          </w:p>
        </w:tc>
        <w:tc>
          <w:tcPr>
            <w:tcW w:w="3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FF"/>
                <w:w w:val="93"/>
              </w:rPr>
              <w:t>131</w:t>
            </w: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1760" w:type="dxa"/>
            <w:vAlign w:val="bottom"/>
            <w:gridSpan w:val="17"/>
            <w:vMerge w:val="continue"/>
          </w:tcPr>
          <w:p>
            <w:pPr>
              <w:spacing w:after="0"/>
              <w:rPr>
                <w:sz w:val="16"/>
                <w:szCs w:val="16"/>
                <w:color w:val="auto"/>
              </w:rPr>
            </w:pPr>
          </w:p>
        </w:tc>
        <w:tc>
          <w:tcPr>
            <w:tcW w:w="280" w:type="dxa"/>
            <w:vAlign w:val="bottom"/>
            <w:gridSpan w:val="6"/>
            <w:vMerge w:val="continue"/>
          </w:tcPr>
          <w:p>
            <w:pPr>
              <w:spacing w:after="0"/>
              <w:rPr>
                <w:sz w:val="16"/>
                <w:szCs w:val="16"/>
                <w:color w:val="auto"/>
              </w:rPr>
            </w:pPr>
          </w:p>
        </w:tc>
        <w:tc>
          <w:tcPr>
            <w:tcW w:w="300" w:type="dxa"/>
            <w:vAlign w:val="bottom"/>
            <w:tcBorders>
              <w:bottom w:val="single" w:sz="8" w:color="0000FF"/>
            </w:tcBorders>
            <w:gridSpan w:val="8"/>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5.14</w:t>
            </w:r>
          </w:p>
        </w:tc>
        <w:tc>
          <w:tcPr>
            <w:tcW w:w="96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130</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131</w:t>
            </w:r>
          </w:p>
        </w:tc>
        <w:tc>
          <w:tcPr>
            <w:tcW w:w="5220" w:type="dxa"/>
            <w:vAlign w:val="bottom"/>
            <w:gridSpan w:val="6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5.15</w:t>
            </w:r>
          </w:p>
        </w:tc>
        <w:tc>
          <w:tcPr>
            <w:tcW w:w="176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rPr>
              <w:t>Post-Closing Matters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7"/>
          </w:tcPr>
          <w:p>
            <w:pPr>
              <w:ind w:left="40"/>
              <w:spacing w:after="0" w:line="209" w:lineRule="exact"/>
              <w:rPr>
                <w:sz w:val="20"/>
                <w:szCs w:val="20"/>
                <w:color w:val="auto"/>
              </w:rPr>
            </w:pPr>
            <w:r>
              <w:rPr>
                <w:rFonts w:ascii="Times New Roman" w:cs="Times New Roman" w:eastAsia="Times New Roman" w:hAnsi="Times New Roman"/>
                <w:sz w:val="20"/>
                <w:szCs w:val="20"/>
                <w:color w:val="FF0000"/>
                <w:strike w:val="1"/>
                <w:w w:val="86"/>
              </w:rPr>
              <w:t>130</w:t>
            </w:r>
          </w:p>
        </w:tc>
        <w:tc>
          <w:tcPr>
            <w:tcW w:w="320" w:type="dxa"/>
            <w:vAlign w:val="bottom"/>
            <w:tcBorders>
              <w:bottom w:val="single" w:sz="8" w:color="0000FF"/>
            </w:tcBorders>
            <w:gridSpan w:val="9"/>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5.16</w:t>
            </w:r>
          </w:p>
        </w:tc>
        <w:tc>
          <w:tcPr>
            <w:tcW w:w="176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auto"/>
              </w:rPr>
              <w:t>Books and Records</w:t>
            </w: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130</w:t>
            </w:r>
          </w:p>
        </w:tc>
        <w:tc>
          <w:tcPr>
            <w:tcW w:w="300" w:type="dxa"/>
            <w:vAlign w:val="bottom"/>
            <w:tcBorders>
              <w:bottom w:val="single" w:sz="8" w:color="0000FF"/>
            </w:tcBorders>
            <w:gridSpan w:val="8"/>
          </w:tcPr>
          <w:p>
            <w:pPr>
              <w:spacing w:after="0" w:line="223" w:lineRule="exact"/>
              <w:rPr>
                <w:sz w:val="20"/>
                <w:szCs w:val="20"/>
                <w:color w:val="auto"/>
              </w:rPr>
            </w:pPr>
            <w:r>
              <w:rPr>
                <w:rFonts w:ascii="Times New Roman" w:cs="Times New Roman" w:eastAsia="Times New Roman" w:hAnsi="Times New Roman"/>
                <w:sz w:val="20"/>
                <w:szCs w:val="20"/>
                <w:color w:val="0000FF"/>
                <w:w w:val="93"/>
              </w:rPr>
              <w:t>131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5.17</w:t>
            </w:r>
          </w:p>
        </w:tc>
        <w:tc>
          <w:tcPr>
            <w:tcW w:w="2020" w:type="dxa"/>
            <w:vAlign w:val="bottom"/>
            <w:gridSpan w:val="22"/>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Underwriting Guidelines</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130</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5.18</w:t>
            </w:r>
          </w:p>
        </w:tc>
        <w:tc>
          <w:tcPr>
            <w:tcW w:w="96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130</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132</w:t>
            </w:r>
          </w:p>
        </w:tc>
        <w:tc>
          <w:tcPr>
            <w:tcW w:w="5220" w:type="dxa"/>
            <w:vAlign w:val="bottom"/>
            <w:gridSpan w:val="6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5.19</w:t>
            </w:r>
          </w:p>
        </w:tc>
        <w:tc>
          <w:tcPr>
            <w:tcW w:w="1540" w:type="dxa"/>
            <w:vAlign w:val="bottom"/>
            <w:gridSpan w:val="13"/>
          </w:tcPr>
          <w:p>
            <w:pPr>
              <w:ind w:left="2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26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130</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132</w:t>
            </w:r>
          </w:p>
        </w:tc>
        <w:tc>
          <w:tcPr>
            <w:tcW w:w="4680" w:type="dxa"/>
            <w:vAlign w:val="bottom"/>
            <w:gridSpan w:val="5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5.20</w:t>
            </w:r>
          </w:p>
        </w:tc>
        <w:tc>
          <w:tcPr>
            <w:tcW w:w="96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131</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132</w:t>
            </w:r>
          </w:p>
        </w:tc>
        <w:tc>
          <w:tcPr>
            <w:tcW w:w="5220" w:type="dxa"/>
            <w:vAlign w:val="bottom"/>
            <w:gridSpan w:val="6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5.21</w:t>
            </w:r>
          </w:p>
        </w:tc>
        <w:tc>
          <w:tcPr>
            <w:tcW w:w="176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auto"/>
              </w:rPr>
              <w:t>Accounting Policies</w:t>
            </w:r>
          </w:p>
        </w:tc>
        <w:tc>
          <w:tcPr>
            <w:tcW w:w="40" w:type="dxa"/>
            <w:vAlign w:val="bottom"/>
          </w:tcPr>
          <w:p>
            <w:pPr>
              <w:spacing w:after="0"/>
              <w:rPr>
                <w:sz w:val="19"/>
                <w:szCs w:val="19"/>
                <w:color w:val="auto"/>
              </w:rPr>
            </w:pPr>
          </w:p>
        </w:tc>
        <w:tc>
          <w:tcPr>
            <w:tcW w:w="34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FF0000"/>
                <w:strike w:val="1"/>
                <w:w w:val="93"/>
              </w:rPr>
              <w:t>131</w:t>
            </w:r>
          </w:p>
        </w:tc>
        <w:tc>
          <w:tcPr>
            <w:tcW w:w="28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132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right w:val="single" w:sz="8" w:color="0000FF"/>
            </w:tcBorders>
            <w:gridSpan w:val="28"/>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38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5.22</w:t>
            </w:r>
          </w:p>
        </w:tc>
        <w:tc>
          <w:tcPr>
            <w:tcW w:w="3680" w:type="dxa"/>
            <w:vAlign w:val="bottom"/>
            <w:gridSpan w:val="61"/>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Transactions with Shareholders and Affiliates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131</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5.23</w:t>
            </w:r>
          </w:p>
        </w:tc>
        <w:tc>
          <w:tcPr>
            <w:tcW w:w="176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auto"/>
              </w:rPr>
              <w:t>Conduct of Business</w:t>
            </w: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131</w:t>
            </w:r>
          </w:p>
        </w:tc>
        <w:tc>
          <w:tcPr>
            <w:tcW w:w="340" w:type="dxa"/>
            <w:vAlign w:val="bottom"/>
            <w:gridSpan w:val="9"/>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93"/>
              </w:rPr>
              <w:t>133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5.24</w:t>
            </w:r>
          </w:p>
        </w:tc>
        <w:tc>
          <w:tcPr>
            <w:tcW w:w="1100" w:type="dxa"/>
            <w:vAlign w:val="bottom"/>
            <w:gridSpan w:val="7"/>
          </w:tcPr>
          <w:p>
            <w:pPr>
              <w:ind w:left="20"/>
              <w:spacing w:after="0" w:line="209" w:lineRule="exact"/>
              <w:rPr>
                <w:sz w:val="20"/>
                <w:szCs w:val="20"/>
                <w:color w:val="auto"/>
              </w:rPr>
            </w:pPr>
            <w:r>
              <w:rPr>
                <w:rFonts w:ascii="Times New Roman" w:cs="Times New Roman" w:eastAsia="Times New Roman" w:hAnsi="Times New Roman"/>
                <w:sz w:val="20"/>
                <w:szCs w:val="20"/>
                <w:color w:val="auto"/>
                <w:w w:val="98"/>
              </w:rPr>
              <w:t>Fiscal Year</w:t>
            </w:r>
          </w:p>
        </w:tc>
        <w:tc>
          <w:tcPr>
            <w:tcW w:w="3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131</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133</w:t>
            </w:r>
          </w:p>
        </w:tc>
        <w:tc>
          <w:tcPr>
            <w:tcW w:w="440" w:type="dxa"/>
            <w:vAlign w:val="bottom"/>
            <w:gridSpan w:val="11"/>
          </w:tcPr>
          <w:p>
            <w:pPr>
              <w:spacing w:after="0"/>
              <w:rPr>
                <w:sz w:val="18"/>
                <w:szCs w:val="18"/>
                <w:color w:val="auto"/>
              </w:rPr>
            </w:pPr>
          </w:p>
        </w:tc>
        <w:tc>
          <w:tcPr>
            <w:tcW w:w="300" w:type="dxa"/>
            <w:vAlign w:val="bottom"/>
            <w:tcBorders>
              <w:top w:val="single" w:sz="8" w:color="0000FF"/>
            </w:tcBorders>
            <w:gridSpan w:val="8"/>
          </w:tcPr>
          <w:p>
            <w:pPr>
              <w:spacing w:after="0"/>
              <w:rPr>
                <w:sz w:val="18"/>
                <w:szCs w:val="18"/>
                <w:color w:val="auto"/>
              </w:rPr>
            </w:pPr>
          </w:p>
        </w:tc>
        <w:tc>
          <w:tcPr>
            <w:tcW w:w="4340" w:type="dxa"/>
            <w:vAlign w:val="bottom"/>
            <w:gridSpan w:val="4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5.25</w:t>
            </w:r>
          </w:p>
        </w:tc>
        <w:tc>
          <w:tcPr>
            <w:tcW w:w="5040" w:type="dxa"/>
            <w:vAlign w:val="bottom"/>
            <w:gridSpan w:val="73"/>
          </w:tcPr>
          <w:p>
            <w:pPr>
              <w:ind w:left="20"/>
              <w:spacing w:after="0" w:line="223" w:lineRule="exact"/>
              <w:rPr>
                <w:sz w:val="20"/>
                <w:szCs w:val="20"/>
                <w:color w:val="auto"/>
              </w:rPr>
            </w:pPr>
            <w:r>
              <w:rPr>
                <w:rFonts w:ascii="Times New Roman" w:cs="Times New Roman" w:eastAsia="Times New Roman" w:hAnsi="Times New Roman"/>
                <w:sz w:val="20"/>
                <w:szCs w:val="20"/>
                <w:color w:val="auto"/>
              </w:rPr>
              <w:t>Anti-Corruption Laws; Anti-Terrorism Laws; Sanctions, Etc.</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131</w:t>
            </w:r>
          </w:p>
        </w:tc>
        <w:tc>
          <w:tcPr>
            <w:tcW w:w="860" w:type="dxa"/>
            <w:vAlign w:val="bottom"/>
            <w:gridSpan w:val="2"/>
          </w:tcPr>
          <w:p>
            <w:pPr>
              <w:jc w:val="right"/>
              <w:ind w:right="560"/>
              <w:spacing w:after="0" w:line="223" w:lineRule="exact"/>
              <w:rPr>
                <w:sz w:val="20"/>
                <w:szCs w:val="20"/>
                <w:color w:val="auto"/>
              </w:rPr>
            </w:pPr>
            <w:r>
              <w:rPr>
                <w:rFonts w:ascii="Times New Roman" w:cs="Times New Roman" w:eastAsia="Times New Roman" w:hAnsi="Times New Roman"/>
                <w:sz w:val="20"/>
                <w:szCs w:val="20"/>
                <w:color w:val="0000FF"/>
                <w:w w:val="93"/>
              </w:rPr>
              <w:t>133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6.</w:t>
            </w:r>
          </w:p>
        </w:tc>
        <w:tc>
          <w:tcPr>
            <w:tcW w:w="2020" w:type="dxa"/>
            <w:vAlign w:val="bottom"/>
            <w:gridSpan w:val="22"/>
          </w:tcPr>
          <w:p>
            <w:pPr>
              <w:ind w:left="220"/>
              <w:spacing w:after="0"/>
              <w:rPr>
                <w:sz w:val="20"/>
                <w:szCs w:val="20"/>
                <w:color w:val="auto"/>
              </w:rPr>
            </w:pPr>
            <w:r>
              <w:rPr>
                <w:rFonts w:ascii="Times New Roman" w:cs="Times New Roman" w:eastAsia="Times New Roman" w:hAnsi="Times New Roman"/>
                <w:sz w:val="20"/>
                <w:szCs w:val="20"/>
                <w:color w:val="auto"/>
              </w:rPr>
              <w:t>Negative Covenants</w:t>
            </w: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132</w:t>
            </w:r>
          </w:p>
        </w:tc>
        <w:tc>
          <w:tcPr>
            <w:tcW w:w="300" w:type="dxa"/>
            <w:vAlign w:val="bottom"/>
            <w:gridSpan w:val="10"/>
          </w:tcPr>
          <w:p>
            <w:pPr>
              <w:jc w:val="right"/>
              <w:ind w:right="20"/>
              <w:spacing w:after="0"/>
              <w:rPr>
                <w:sz w:val="20"/>
                <w:szCs w:val="20"/>
                <w:color w:val="auto"/>
              </w:rPr>
            </w:pPr>
            <w:r>
              <w:rPr>
                <w:rFonts w:ascii="Times New Roman" w:cs="Times New Roman" w:eastAsia="Times New Roman" w:hAnsi="Times New Roman"/>
                <w:sz w:val="20"/>
                <w:szCs w:val="20"/>
                <w:color w:val="0000FF"/>
                <w:w w:val="86"/>
              </w:rPr>
              <w:t>134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6.01</w:t>
            </w:r>
          </w:p>
        </w:tc>
        <w:tc>
          <w:tcPr>
            <w:tcW w:w="126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Indebtedness</w:t>
            </w: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86"/>
              </w:rPr>
              <w:t>132</w:t>
            </w:r>
          </w:p>
        </w:tc>
        <w:tc>
          <w:tcPr>
            <w:tcW w:w="760" w:type="dxa"/>
            <w:vAlign w:val="bottom"/>
            <w:gridSpan w:val="16"/>
          </w:tcPr>
          <w:p>
            <w:pPr>
              <w:jc w:val="right"/>
              <w:ind w:right="381"/>
              <w:spacing w:after="0"/>
              <w:rPr>
                <w:sz w:val="20"/>
                <w:szCs w:val="20"/>
                <w:color w:val="auto"/>
              </w:rPr>
            </w:pPr>
            <w:r>
              <w:rPr>
                <w:rFonts w:ascii="Times New Roman" w:cs="Times New Roman" w:eastAsia="Times New Roman" w:hAnsi="Times New Roman"/>
                <w:sz w:val="20"/>
                <w:szCs w:val="20"/>
                <w:color w:val="0000FF"/>
                <w:w w:val="86"/>
              </w:rPr>
              <w:t>134</w:t>
            </w:r>
          </w:p>
        </w:tc>
        <w:tc>
          <w:tcPr>
            <w:tcW w:w="280" w:type="dxa"/>
            <w:vAlign w:val="bottom"/>
            <w:tcBorders>
              <w:top w:val="single" w:sz="8" w:color="0000FF"/>
            </w:tcBorders>
            <w:gridSpan w:val="9"/>
          </w:tcPr>
          <w:p>
            <w:pPr>
              <w:spacing w:after="0"/>
              <w:rPr>
                <w:sz w:val="24"/>
                <w:szCs w:val="24"/>
                <w:color w:val="auto"/>
              </w:rPr>
            </w:pPr>
          </w:p>
        </w:tc>
        <w:tc>
          <w:tcPr>
            <w:tcW w:w="4180" w:type="dxa"/>
            <w:vAlign w:val="bottom"/>
            <w:gridSpan w:val="39"/>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6.02</w:t>
            </w:r>
          </w:p>
        </w:tc>
        <w:tc>
          <w:tcPr>
            <w:tcW w:w="66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0"/>
                <w:szCs w:val="20"/>
                <w:color w:val="auto"/>
              </w:rPr>
              <w:t>Liens</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136</w:t>
            </w:r>
          </w:p>
        </w:tc>
        <w:tc>
          <w:tcPr>
            <w:tcW w:w="600" w:type="dxa"/>
            <w:vAlign w:val="bottom"/>
            <w:gridSpan w:val="8"/>
          </w:tcPr>
          <w:p>
            <w:pPr>
              <w:jc w:val="right"/>
              <w:ind w:right="223"/>
              <w:spacing w:after="0" w:line="223" w:lineRule="exact"/>
              <w:rPr>
                <w:sz w:val="20"/>
                <w:szCs w:val="20"/>
                <w:color w:val="auto"/>
              </w:rPr>
            </w:pPr>
            <w:r>
              <w:rPr>
                <w:rFonts w:ascii="Times New Roman" w:cs="Times New Roman" w:eastAsia="Times New Roman" w:hAnsi="Times New Roman"/>
                <w:sz w:val="20"/>
                <w:szCs w:val="20"/>
                <w:color w:val="0000FF"/>
                <w:w w:val="86"/>
              </w:rPr>
              <w:t>138</w:t>
            </w:r>
          </w:p>
        </w:tc>
        <w:tc>
          <w:tcPr>
            <w:tcW w:w="280" w:type="dxa"/>
            <w:vAlign w:val="bottom"/>
            <w:tcBorders>
              <w:top w:val="single" w:sz="8" w:color="0000FF"/>
            </w:tcBorders>
            <w:gridSpan w:val="6"/>
          </w:tcPr>
          <w:p>
            <w:pPr>
              <w:spacing w:after="0"/>
              <w:rPr>
                <w:sz w:val="19"/>
                <w:szCs w:val="19"/>
                <w:color w:val="auto"/>
              </w:rPr>
            </w:pPr>
          </w:p>
        </w:tc>
        <w:tc>
          <w:tcPr>
            <w:tcW w:w="4940" w:type="dxa"/>
            <w:vAlign w:val="bottom"/>
            <w:gridSpan w:val="58"/>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6.03</w:t>
            </w:r>
          </w:p>
        </w:tc>
        <w:tc>
          <w:tcPr>
            <w:tcW w:w="960" w:type="dxa"/>
            <w:vAlign w:val="bottom"/>
            <w:gridSpan w:val="6"/>
          </w:tcPr>
          <w:p>
            <w:pPr>
              <w:ind w:left="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tcBorders>
              <w:top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139</w:t>
            </w:r>
          </w:p>
        </w:tc>
        <w:tc>
          <w:tcPr>
            <w:tcW w:w="5520" w:type="dxa"/>
            <w:vAlign w:val="bottom"/>
            <w:gridSpan w:val="69"/>
          </w:tcPr>
          <w:p>
            <w:pPr>
              <w:jc w:val="right"/>
              <w:ind w:right="5141"/>
              <w:spacing w:after="0" w:line="209" w:lineRule="exact"/>
              <w:rPr>
                <w:sz w:val="20"/>
                <w:szCs w:val="20"/>
                <w:color w:val="auto"/>
              </w:rPr>
            </w:pPr>
            <w:r>
              <w:rPr>
                <w:rFonts w:ascii="Times New Roman" w:cs="Times New Roman" w:eastAsia="Times New Roman" w:hAnsi="Times New Roman"/>
                <w:sz w:val="20"/>
                <w:szCs w:val="20"/>
                <w:color w:val="0000FF"/>
                <w:w w:val="86"/>
              </w:rPr>
              <w:t>141</w:t>
            </w: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6.04</w:t>
            </w:r>
          </w:p>
        </w:tc>
        <w:tc>
          <w:tcPr>
            <w:tcW w:w="2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139</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141</w:t>
            </w:r>
          </w:p>
        </w:tc>
        <w:tc>
          <w:tcPr>
            <w:tcW w:w="400" w:type="dxa"/>
            <w:vAlign w:val="bottom"/>
            <w:gridSpan w:val="5"/>
          </w:tcPr>
          <w:p>
            <w:pPr>
              <w:spacing w:after="0"/>
              <w:rPr>
                <w:sz w:val="19"/>
                <w:szCs w:val="19"/>
                <w:color w:val="auto"/>
              </w:rPr>
            </w:pPr>
          </w:p>
        </w:tc>
        <w:tc>
          <w:tcPr>
            <w:tcW w:w="300" w:type="dxa"/>
            <w:vAlign w:val="bottom"/>
            <w:tcBorders>
              <w:top w:val="single" w:sz="8" w:color="0000FF"/>
            </w:tcBorders>
            <w:gridSpan w:val="5"/>
          </w:tcPr>
          <w:p>
            <w:pPr>
              <w:spacing w:after="0"/>
              <w:rPr>
                <w:sz w:val="19"/>
                <w:szCs w:val="19"/>
                <w:color w:val="auto"/>
              </w:rPr>
            </w:pPr>
          </w:p>
        </w:tc>
        <w:tc>
          <w:tcPr>
            <w:tcW w:w="5220" w:type="dxa"/>
            <w:vAlign w:val="bottom"/>
            <w:gridSpan w:val="6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6.04</w:t>
            </w:r>
          </w:p>
        </w:tc>
        <w:tc>
          <w:tcPr>
            <w:tcW w:w="2400" w:type="dxa"/>
            <w:vAlign w:val="bottom"/>
            <w:gridSpan w:val="33"/>
          </w:tcPr>
          <w:p>
            <w:pPr>
              <w:ind w:left="20"/>
              <w:spacing w:after="0" w:line="223" w:lineRule="exact"/>
              <w:rPr>
                <w:sz w:val="20"/>
                <w:szCs w:val="20"/>
                <w:color w:val="auto"/>
              </w:rPr>
            </w:pPr>
            <w:r>
              <w:rPr>
                <w:rFonts w:ascii="Times New Roman" w:cs="Times New Roman" w:eastAsia="Times New Roman" w:hAnsi="Times New Roman"/>
                <w:sz w:val="20"/>
                <w:szCs w:val="20"/>
                <w:color w:val="auto"/>
              </w:rPr>
              <w:t>No Further Negative Pledges</w:t>
            </w: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139</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6.05</w:t>
            </w:r>
          </w:p>
        </w:tc>
        <w:tc>
          <w:tcPr>
            <w:tcW w:w="4000" w:type="dxa"/>
            <w:vAlign w:val="bottom"/>
            <w:gridSpan w:val="66"/>
          </w:tcPr>
          <w:p>
            <w:pPr>
              <w:ind w:left="20"/>
              <w:spacing w:after="0" w:line="209" w:lineRule="exact"/>
              <w:rPr>
                <w:sz w:val="20"/>
                <w:szCs w:val="20"/>
                <w:color w:val="auto"/>
              </w:rPr>
            </w:pPr>
            <w:r>
              <w:rPr>
                <w:rFonts w:ascii="Times New Roman" w:cs="Times New Roman" w:eastAsia="Times New Roman" w:hAnsi="Times New Roman"/>
                <w:sz w:val="20"/>
                <w:szCs w:val="20"/>
                <w:color w:val="auto"/>
              </w:rPr>
              <w:t>Restricted Payments; Restricted Debt Payments</w:t>
            </w: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140</w:t>
            </w:r>
          </w:p>
        </w:tc>
        <w:tc>
          <w:tcPr>
            <w:tcW w:w="280" w:type="dxa"/>
            <w:vAlign w:val="bottom"/>
            <w:tcBorders>
              <w:bottom w:val="single" w:sz="8" w:color="0000FF"/>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142</w:t>
            </w:r>
          </w:p>
        </w:tc>
        <w:tc>
          <w:tcPr>
            <w:tcW w:w="16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6.06</w:t>
            </w:r>
          </w:p>
        </w:tc>
        <w:tc>
          <w:tcPr>
            <w:tcW w:w="3220" w:type="dxa"/>
            <w:vAlign w:val="bottom"/>
            <w:gridSpan w:val="54"/>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Restrictions on Subsidiary Distributions</w:t>
            </w:r>
          </w:p>
        </w:tc>
        <w:tc>
          <w:tcPr>
            <w:tcW w:w="100" w:type="dxa"/>
            <w:vAlign w:val="bottom"/>
          </w:tcPr>
          <w:p>
            <w:pPr>
              <w:spacing w:after="0"/>
              <w:rPr>
                <w:sz w:val="19"/>
                <w:szCs w:val="19"/>
                <w:color w:val="auto"/>
              </w:rPr>
            </w:pPr>
          </w:p>
        </w:tc>
        <w:tc>
          <w:tcPr>
            <w:tcW w:w="36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142</w:t>
            </w:r>
          </w:p>
        </w:tc>
        <w:tc>
          <w:tcPr>
            <w:tcW w:w="3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6.07</w:t>
            </w:r>
          </w:p>
        </w:tc>
        <w:tc>
          <w:tcPr>
            <w:tcW w:w="1100" w:type="dxa"/>
            <w:vAlign w:val="bottom"/>
            <w:gridSpan w:val="7"/>
          </w:tcPr>
          <w:p>
            <w:pPr>
              <w:ind w:left="20"/>
              <w:spacing w:after="0" w:line="209" w:lineRule="exact"/>
              <w:rPr>
                <w:sz w:val="20"/>
                <w:szCs w:val="20"/>
                <w:color w:val="auto"/>
              </w:rPr>
            </w:pPr>
            <w:r>
              <w:rPr>
                <w:rFonts w:ascii="Times New Roman" w:cs="Times New Roman" w:eastAsia="Times New Roman" w:hAnsi="Times New Roman"/>
                <w:sz w:val="20"/>
                <w:szCs w:val="20"/>
                <w:color w:val="auto"/>
              </w:rPr>
              <w:t>Investments</w:t>
            </w:r>
          </w:p>
        </w:tc>
        <w:tc>
          <w:tcPr>
            <w:tcW w:w="44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143</w:t>
            </w:r>
          </w:p>
        </w:tc>
        <w:tc>
          <w:tcPr>
            <w:tcW w:w="5240" w:type="dxa"/>
            <w:vAlign w:val="bottom"/>
            <w:gridSpan w:val="65"/>
          </w:tcPr>
          <w:p>
            <w:pPr>
              <w:jc w:val="right"/>
              <w:ind w:right="4921"/>
              <w:spacing w:after="0" w:line="210" w:lineRule="exact"/>
              <w:rPr>
                <w:sz w:val="20"/>
                <w:szCs w:val="20"/>
                <w:color w:val="auto"/>
              </w:rPr>
            </w:pPr>
            <w:r>
              <w:rPr>
                <w:rFonts w:ascii="Times New Roman" w:cs="Times New Roman" w:eastAsia="Times New Roman" w:hAnsi="Times New Roman"/>
                <w:sz w:val="19"/>
                <w:szCs w:val="19"/>
                <w:color w:val="0000FF"/>
                <w:w w:val="70"/>
              </w:rPr>
              <w:t>145</w:t>
            </w:r>
          </w:p>
        </w:tc>
        <w:tc>
          <w:tcPr>
            <w:tcW w:w="0" w:type="dxa"/>
            <w:vAlign w:val="bottom"/>
          </w:tcPr>
          <w:p>
            <w:pPr>
              <w:spacing w:after="0"/>
              <w:rPr>
                <w:sz w:val="1"/>
                <w:szCs w:val="1"/>
                <w:color w:val="auto"/>
              </w:rPr>
            </w:pPr>
          </w:p>
        </w:tc>
      </w:tr>
      <w:tr>
        <w:trPr>
          <w:trHeight w:val="20"/>
        </w:trPr>
        <w:tc>
          <w:tcPr>
            <w:tcW w:w="2340" w:type="dxa"/>
            <w:vAlign w:val="bottom"/>
            <w:tcBorders>
              <w:right w:val="single" w:sz="8" w:color="0000FF"/>
            </w:tcBorders>
            <w:gridSpan w:val="14"/>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5020" w:type="dxa"/>
            <w:vAlign w:val="bottom"/>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6.08</w:t>
            </w:r>
          </w:p>
        </w:tc>
        <w:tc>
          <w:tcPr>
            <w:tcW w:w="176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auto"/>
              </w:rPr>
              <w:t>Financial Covenant</w:t>
            </w: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146</w:t>
            </w:r>
          </w:p>
        </w:tc>
        <w:tc>
          <w:tcPr>
            <w:tcW w:w="20" w:type="dxa"/>
            <w:vAlign w:val="bottom"/>
          </w:tcPr>
          <w:p>
            <w:pPr>
              <w:spacing w:after="0"/>
              <w:rPr>
                <w:sz w:val="19"/>
                <w:szCs w:val="19"/>
                <w:color w:val="auto"/>
              </w:rPr>
            </w:pPr>
          </w:p>
        </w:tc>
        <w:tc>
          <w:tcPr>
            <w:tcW w:w="280" w:type="dxa"/>
            <w:vAlign w:val="bottom"/>
            <w:tcBorders>
              <w:bottom w:val="single" w:sz="8" w:color="0000FF"/>
            </w:tcBorders>
            <w:gridSpan w:val="7"/>
          </w:tcPr>
          <w:p>
            <w:pPr>
              <w:spacing w:after="0" w:line="223" w:lineRule="exact"/>
              <w:rPr>
                <w:sz w:val="20"/>
                <w:szCs w:val="20"/>
                <w:color w:val="auto"/>
              </w:rPr>
            </w:pPr>
            <w:r>
              <w:rPr>
                <w:rFonts w:ascii="Times New Roman" w:cs="Times New Roman" w:eastAsia="Times New Roman" w:hAnsi="Times New Roman"/>
                <w:sz w:val="20"/>
                <w:szCs w:val="20"/>
                <w:color w:val="0000FF"/>
                <w:w w:val="86"/>
              </w:rPr>
              <w:t>148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6.09</w:t>
            </w:r>
          </w:p>
        </w:tc>
        <w:tc>
          <w:tcPr>
            <w:tcW w:w="3680" w:type="dxa"/>
            <w:vAlign w:val="bottom"/>
            <w:gridSpan w:val="61"/>
          </w:tcPr>
          <w:p>
            <w:pPr>
              <w:ind w:left="20"/>
              <w:spacing w:after="0" w:line="223" w:lineRule="exact"/>
              <w:rPr>
                <w:sz w:val="20"/>
                <w:szCs w:val="20"/>
                <w:color w:val="auto"/>
              </w:rPr>
            </w:pPr>
            <w:r>
              <w:rPr>
                <w:rFonts w:ascii="Times New Roman" w:cs="Times New Roman" w:eastAsia="Times New Roman" w:hAnsi="Times New Roman"/>
                <w:sz w:val="20"/>
                <w:szCs w:val="20"/>
                <w:color w:val="auto"/>
              </w:rPr>
              <w:t>Fundamental Changes; Disposition of Assets</w:t>
            </w:r>
          </w:p>
        </w:tc>
        <w:tc>
          <w:tcPr>
            <w:tcW w:w="4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147</w:t>
            </w:r>
          </w:p>
        </w:tc>
        <w:tc>
          <w:tcPr>
            <w:tcW w:w="28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6.10</w:t>
            </w:r>
          </w:p>
        </w:tc>
        <w:tc>
          <w:tcPr>
            <w:tcW w:w="960" w:type="dxa"/>
            <w:vAlign w:val="bottom"/>
            <w:gridSpan w:val="6"/>
          </w:tcPr>
          <w:p>
            <w:pPr>
              <w:ind w:left="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150</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152</w:t>
            </w:r>
          </w:p>
        </w:tc>
        <w:tc>
          <w:tcPr>
            <w:tcW w:w="5220" w:type="dxa"/>
            <w:vAlign w:val="bottom"/>
            <w:gridSpan w:val="6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6.11</w:t>
            </w:r>
          </w:p>
        </w:tc>
        <w:tc>
          <w:tcPr>
            <w:tcW w:w="94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150</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152</w:t>
            </w:r>
          </w:p>
        </w:tc>
        <w:tc>
          <w:tcPr>
            <w:tcW w:w="5240" w:type="dxa"/>
            <w:vAlign w:val="bottom"/>
            <w:gridSpan w:val="65"/>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6.12</w:t>
            </w:r>
          </w:p>
        </w:tc>
        <w:tc>
          <w:tcPr>
            <w:tcW w:w="2400" w:type="dxa"/>
            <w:vAlign w:val="bottom"/>
            <w:gridSpan w:val="33"/>
          </w:tcPr>
          <w:p>
            <w:pPr>
              <w:ind w:left="20"/>
              <w:spacing w:after="0" w:line="209" w:lineRule="exact"/>
              <w:rPr>
                <w:sz w:val="20"/>
                <w:szCs w:val="20"/>
                <w:color w:val="auto"/>
              </w:rPr>
            </w:pPr>
            <w:r>
              <w:rPr>
                <w:rFonts w:ascii="Times New Roman" w:cs="Times New Roman" w:eastAsia="Times New Roman" w:hAnsi="Times New Roman"/>
                <w:sz w:val="20"/>
                <w:szCs w:val="20"/>
                <w:color w:val="auto"/>
                <w:w w:val="98"/>
              </w:rPr>
              <w:t>Permitted Activities of PRTH</w:t>
            </w: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9"/>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150</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6.13</w:t>
            </w:r>
          </w:p>
        </w:tc>
        <w:tc>
          <w:tcPr>
            <w:tcW w:w="3680" w:type="dxa"/>
            <w:vAlign w:val="bottom"/>
            <w:gridSpan w:val="61"/>
          </w:tcPr>
          <w:p>
            <w:pPr>
              <w:ind w:left="20"/>
              <w:spacing w:after="0" w:line="223" w:lineRule="exact"/>
              <w:rPr>
                <w:sz w:val="20"/>
                <w:szCs w:val="20"/>
                <w:color w:val="auto"/>
              </w:rPr>
            </w:pPr>
            <w:r>
              <w:rPr>
                <w:rFonts w:ascii="Times New Roman" w:cs="Times New Roman" w:eastAsia="Times New Roman" w:hAnsi="Times New Roman"/>
                <w:sz w:val="20"/>
                <w:szCs w:val="20"/>
                <w:color w:val="auto"/>
              </w:rPr>
              <w:t>Amendments or Waivers of Junior Financing</w:t>
            </w:r>
          </w:p>
        </w:tc>
        <w:tc>
          <w:tcPr>
            <w:tcW w:w="4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150</w:t>
            </w:r>
          </w:p>
        </w:tc>
        <w:tc>
          <w:tcPr>
            <w:tcW w:w="28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6.14</w:t>
            </w:r>
          </w:p>
        </w:tc>
        <w:tc>
          <w:tcPr>
            <w:tcW w:w="960" w:type="dxa"/>
            <w:vAlign w:val="bottom"/>
            <w:gridSpan w:val="6"/>
          </w:tcPr>
          <w:p>
            <w:pPr>
              <w:ind w:left="20"/>
              <w:spacing w:after="0" w:line="223" w:lineRule="exact"/>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150</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152</w:t>
            </w:r>
          </w:p>
        </w:tc>
        <w:tc>
          <w:tcPr>
            <w:tcW w:w="5220" w:type="dxa"/>
            <w:vAlign w:val="bottom"/>
            <w:gridSpan w:val="6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6.15</w:t>
            </w:r>
          </w:p>
        </w:tc>
        <w:tc>
          <w:tcPr>
            <w:tcW w:w="6200" w:type="dxa"/>
            <w:vAlign w:val="bottom"/>
            <w:gridSpan w:val="76"/>
          </w:tcPr>
          <w:p>
            <w:pPr>
              <w:ind w:left="20"/>
              <w:spacing w:after="0" w:line="209" w:lineRule="exact"/>
              <w:rPr>
                <w:sz w:val="20"/>
                <w:szCs w:val="20"/>
                <w:color w:val="auto"/>
              </w:rPr>
            </w:pPr>
            <w:r>
              <w:rPr>
                <w:rFonts w:ascii="Times New Roman" w:cs="Times New Roman" w:eastAsia="Times New Roman" w:hAnsi="Times New Roman"/>
                <w:sz w:val="20"/>
                <w:szCs w:val="20"/>
                <w:color w:val="auto"/>
              </w:rPr>
              <w:t>Amendments to Organizational Agreements and Certain Affiliate Contracts</w:t>
            </w:r>
          </w:p>
        </w:tc>
        <w:tc>
          <w:tcPr>
            <w:tcW w:w="2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150</w:t>
            </w:r>
          </w:p>
        </w:tc>
        <w:tc>
          <w:tcPr>
            <w:tcW w:w="300" w:type="dxa"/>
            <w:vAlign w:val="bottom"/>
            <w:tcBorders>
              <w:bottom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152</w:t>
            </w: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7.</w:t>
            </w:r>
          </w:p>
        </w:tc>
        <w:tc>
          <w:tcPr>
            <w:tcW w:w="11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Guaranty</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rPr>
              <w:t>150</w:t>
            </w:r>
          </w:p>
        </w:tc>
        <w:tc>
          <w:tcPr>
            <w:tcW w:w="320" w:type="dxa"/>
            <w:vAlign w:val="bottom"/>
            <w:tcBorders>
              <w:bottom w:val="single" w:sz="8" w:color="0000FF"/>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0000FF"/>
                <w:w w:val="93"/>
              </w:rPr>
              <w:t>152</w:t>
            </w:r>
          </w:p>
        </w:tc>
        <w:tc>
          <w:tcPr>
            <w:tcW w:w="5020" w:type="dxa"/>
            <w:vAlign w:val="bottom"/>
            <w:gridSpan w:val="6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7.01</w:t>
            </w:r>
          </w:p>
        </w:tc>
        <w:tc>
          <w:tcPr>
            <w:tcW w:w="2400" w:type="dxa"/>
            <w:vAlign w:val="bottom"/>
            <w:gridSpan w:val="33"/>
          </w:tcPr>
          <w:p>
            <w:pPr>
              <w:ind w:left="20"/>
              <w:spacing w:after="0"/>
              <w:rPr>
                <w:sz w:val="20"/>
                <w:szCs w:val="20"/>
                <w:color w:val="auto"/>
              </w:rPr>
            </w:pPr>
            <w:r>
              <w:rPr>
                <w:rFonts w:ascii="Times New Roman" w:cs="Times New Roman" w:eastAsia="Times New Roman" w:hAnsi="Times New Roman"/>
                <w:sz w:val="20"/>
                <w:szCs w:val="20"/>
                <w:color w:val="auto"/>
              </w:rPr>
              <w:t>Guaranty of the Obligations</w:t>
            </w:r>
          </w:p>
        </w:tc>
        <w:tc>
          <w:tcPr>
            <w:tcW w:w="20" w:type="dxa"/>
            <w:vAlign w:val="bottom"/>
          </w:tcPr>
          <w:p>
            <w:pPr>
              <w:spacing w:after="0"/>
              <w:rPr>
                <w:sz w:val="24"/>
                <w:szCs w:val="24"/>
                <w:color w:val="auto"/>
              </w:rPr>
            </w:pPr>
          </w:p>
        </w:tc>
        <w:tc>
          <w:tcPr>
            <w:tcW w:w="30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150</w:t>
            </w:r>
          </w:p>
        </w:tc>
        <w:tc>
          <w:tcPr>
            <w:tcW w:w="30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20"/>
                <w:szCs w:val="20"/>
                <w:color w:val="0000FF"/>
                <w:w w:val="93"/>
              </w:rPr>
              <w:t>152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7.02</w:t>
            </w:r>
          </w:p>
        </w:tc>
        <w:tc>
          <w:tcPr>
            <w:tcW w:w="2400" w:type="dxa"/>
            <w:vAlign w:val="bottom"/>
            <w:gridSpan w:val="33"/>
          </w:tcPr>
          <w:p>
            <w:pPr>
              <w:ind w:left="20"/>
              <w:spacing w:after="0" w:line="223" w:lineRule="exact"/>
              <w:rPr>
                <w:sz w:val="20"/>
                <w:szCs w:val="20"/>
                <w:color w:val="auto"/>
              </w:rPr>
            </w:pPr>
            <w:r>
              <w:rPr>
                <w:rFonts w:ascii="Times New Roman" w:cs="Times New Roman" w:eastAsia="Times New Roman" w:hAnsi="Times New Roman"/>
                <w:sz w:val="20"/>
                <w:szCs w:val="20"/>
                <w:color w:val="auto"/>
              </w:rPr>
              <w:t>Contribution by Guarantors</w:t>
            </w:r>
          </w:p>
        </w:tc>
        <w:tc>
          <w:tcPr>
            <w:tcW w:w="30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150</w:t>
            </w:r>
          </w:p>
        </w:tc>
        <w:tc>
          <w:tcPr>
            <w:tcW w:w="320" w:type="dxa"/>
            <w:vAlign w:val="bottom"/>
            <w:gridSpan w:val="7"/>
          </w:tcPr>
          <w:p>
            <w:pPr>
              <w:jc w:val="right"/>
              <w:ind w:right="20"/>
              <w:spacing w:after="0" w:line="223" w:lineRule="exact"/>
              <w:rPr>
                <w:sz w:val="20"/>
                <w:szCs w:val="20"/>
                <w:color w:val="auto"/>
              </w:rPr>
            </w:pPr>
            <w:r>
              <w:rPr>
                <w:rFonts w:ascii="Times New Roman" w:cs="Times New Roman" w:eastAsia="Times New Roman" w:hAnsi="Times New Roman"/>
                <w:sz w:val="20"/>
                <w:szCs w:val="20"/>
                <w:color w:val="0000FF"/>
                <w:w w:val="93"/>
              </w:rPr>
              <w:t>153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7.03</w:t>
            </w:r>
          </w:p>
        </w:tc>
        <w:tc>
          <w:tcPr>
            <w:tcW w:w="202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auto"/>
              </w:rPr>
              <w:t>Payment by Guarantors</w:t>
            </w:r>
          </w:p>
        </w:tc>
        <w:tc>
          <w:tcPr>
            <w:tcW w:w="60" w:type="dxa"/>
            <w:vAlign w:val="bottom"/>
            <w:gridSpan w:val="3"/>
          </w:tcPr>
          <w:p>
            <w:pPr>
              <w:spacing w:after="0"/>
              <w:rPr>
                <w:sz w:val="19"/>
                <w:szCs w:val="19"/>
                <w:color w:val="auto"/>
              </w:rPr>
            </w:pPr>
          </w:p>
        </w:tc>
        <w:tc>
          <w:tcPr>
            <w:tcW w:w="32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FF0000"/>
                <w:strike w:val="1"/>
                <w:w w:val="93"/>
              </w:rPr>
              <w:t>151</w:t>
            </w:r>
          </w:p>
        </w:tc>
        <w:tc>
          <w:tcPr>
            <w:tcW w:w="280" w:type="dxa"/>
            <w:vAlign w:val="bottom"/>
            <w:tcBorders>
              <w:bottom w:val="single" w:sz="8" w:color="0000FF"/>
            </w:tcBorders>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153</w:t>
            </w:r>
          </w:p>
        </w:tc>
        <w:tc>
          <w:tcPr>
            <w:tcW w:w="2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7.04</w:t>
            </w:r>
          </w:p>
        </w:tc>
        <w:tc>
          <w:tcPr>
            <w:tcW w:w="2800" w:type="dxa"/>
            <w:vAlign w:val="bottom"/>
            <w:gridSpan w:val="45"/>
          </w:tcPr>
          <w:p>
            <w:pPr>
              <w:ind w:left="20"/>
              <w:spacing w:after="0" w:line="209" w:lineRule="exact"/>
              <w:rPr>
                <w:sz w:val="20"/>
                <w:szCs w:val="20"/>
                <w:color w:val="auto"/>
              </w:rPr>
            </w:pPr>
            <w:r>
              <w:rPr>
                <w:rFonts w:ascii="Times New Roman" w:cs="Times New Roman" w:eastAsia="Times New Roman" w:hAnsi="Times New Roman"/>
                <w:sz w:val="20"/>
                <w:szCs w:val="20"/>
                <w:color w:val="auto"/>
              </w:rPr>
              <w:t>Liability of Guarantors Absolute</w:t>
            </w:r>
          </w:p>
        </w:tc>
        <w:tc>
          <w:tcPr>
            <w:tcW w:w="30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151</w:t>
            </w:r>
          </w:p>
        </w:tc>
        <w:tc>
          <w:tcPr>
            <w:tcW w:w="380" w:type="dxa"/>
            <w:vAlign w:val="bottom"/>
            <w:gridSpan w:val="7"/>
          </w:tcPr>
          <w:p>
            <w:pPr>
              <w:jc w:val="right"/>
              <w:ind w:right="80"/>
              <w:spacing w:after="0" w:line="209" w:lineRule="exact"/>
              <w:rPr>
                <w:sz w:val="20"/>
                <w:szCs w:val="20"/>
                <w:color w:val="auto"/>
              </w:rPr>
            </w:pPr>
            <w:r>
              <w:rPr>
                <w:rFonts w:ascii="Times New Roman" w:cs="Times New Roman" w:eastAsia="Times New Roman" w:hAnsi="Times New Roman"/>
                <w:sz w:val="20"/>
                <w:szCs w:val="20"/>
                <w:color w:val="0000FF"/>
                <w:w w:val="93"/>
              </w:rPr>
              <w:t>154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7.05</w:t>
            </w:r>
          </w:p>
        </w:tc>
        <w:tc>
          <w:tcPr>
            <w:tcW w:w="202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auto"/>
              </w:rPr>
              <w:t>Waivers by Guarantors</w:t>
            </w:r>
          </w:p>
        </w:tc>
        <w:tc>
          <w:tcPr>
            <w:tcW w:w="32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FF0000"/>
                <w:strike w:val="1"/>
                <w:w w:val="93"/>
              </w:rPr>
              <w:t>154</w:t>
            </w:r>
          </w:p>
        </w:tc>
        <w:tc>
          <w:tcPr>
            <w:tcW w:w="340" w:type="dxa"/>
            <w:vAlign w:val="bottom"/>
            <w:gridSpan w:val="10"/>
          </w:tcPr>
          <w:p>
            <w:pPr>
              <w:jc w:val="right"/>
              <w:ind w:right="60"/>
              <w:spacing w:after="0" w:line="223" w:lineRule="exact"/>
              <w:rPr>
                <w:sz w:val="20"/>
                <w:szCs w:val="20"/>
                <w:color w:val="auto"/>
              </w:rPr>
            </w:pPr>
            <w:r>
              <w:rPr>
                <w:rFonts w:ascii="Times New Roman" w:cs="Times New Roman" w:eastAsia="Times New Roman" w:hAnsi="Times New Roman"/>
                <w:sz w:val="20"/>
                <w:szCs w:val="20"/>
                <w:color w:val="0000FF"/>
                <w:w w:val="86"/>
              </w:rPr>
              <w:t>156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7.06</w:t>
            </w:r>
          </w:p>
        </w:tc>
        <w:tc>
          <w:tcPr>
            <w:tcW w:w="3220" w:type="dxa"/>
            <w:vAlign w:val="bottom"/>
            <w:gridSpan w:val="54"/>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Guarantors’ Rights of Subrogation, Etc.</w:t>
            </w:r>
          </w:p>
        </w:tc>
        <w:tc>
          <w:tcPr>
            <w:tcW w:w="100" w:type="dxa"/>
            <w:vAlign w:val="bottom"/>
          </w:tcPr>
          <w:p>
            <w:pPr>
              <w:spacing w:after="0"/>
              <w:rPr>
                <w:sz w:val="18"/>
                <w:szCs w:val="18"/>
                <w:color w:val="auto"/>
              </w:rPr>
            </w:pPr>
          </w:p>
        </w:tc>
        <w:tc>
          <w:tcPr>
            <w:tcW w:w="34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154</w:t>
            </w:r>
          </w:p>
        </w:tc>
        <w:tc>
          <w:tcPr>
            <w:tcW w:w="320" w:type="dxa"/>
            <w:vAlign w:val="bottom"/>
            <w:gridSpan w:val="5"/>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93"/>
              </w:rPr>
              <w:t>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7.07</w:t>
            </w:r>
          </w:p>
        </w:tc>
        <w:tc>
          <w:tcPr>
            <w:tcW w:w="2860" w:type="dxa"/>
            <w:vAlign w:val="bottom"/>
            <w:gridSpan w:val="47"/>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Subordination of Other Obligations</w:t>
            </w:r>
          </w:p>
        </w:tc>
        <w:tc>
          <w:tcPr>
            <w:tcW w:w="160" w:type="dxa"/>
            <w:vAlign w:val="bottom"/>
            <w:gridSpan w:val="2"/>
          </w:tcPr>
          <w:p>
            <w:pPr>
              <w:spacing w:after="0"/>
              <w:rPr>
                <w:sz w:val="19"/>
                <w:szCs w:val="19"/>
                <w:color w:val="auto"/>
              </w:rPr>
            </w:pPr>
          </w:p>
        </w:tc>
        <w:tc>
          <w:tcPr>
            <w:tcW w:w="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155</w:t>
            </w:r>
          </w:p>
        </w:tc>
        <w:tc>
          <w:tcPr>
            <w:tcW w:w="34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93"/>
              </w:rPr>
              <w:t>157</w:t>
            </w: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7.08</w:t>
            </w:r>
          </w:p>
        </w:tc>
        <w:tc>
          <w:tcPr>
            <w:tcW w:w="176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rPr>
              <w:t>Continuing Guaranty</w:t>
            </w: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320" w:type="dxa"/>
            <w:vAlign w:val="bottom"/>
            <w:gridSpan w:val="7"/>
          </w:tcPr>
          <w:p>
            <w:pPr>
              <w:ind w:left="40"/>
              <w:spacing w:after="0" w:line="209" w:lineRule="exact"/>
              <w:rPr>
                <w:sz w:val="20"/>
                <w:szCs w:val="20"/>
                <w:color w:val="auto"/>
              </w:rPr>
            </w:pPr>
            <w:r>
              <w:rPr>
                <w:rFonts w:ascii="Times New Roman" w:cs="Times New Roman" w:eastAsia="Times New Roman" w:hAnsi="Times New Roman"/>
                <w:sz w:val="20"/>
                <w:szCs w:val="20"/>
                <w:color w:val="FF0000"/>
                <w:strike w:val="1"/>
                <w:w w:val="86"/>
              </w:rPr>
              <w:t>155</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157</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7.09</w:t>
            </w:r>
          </w:p>
        </w:tc>
        <w:tc>
          <w:tcPr>
            <w:tcW w:w="3220" w:type="dxa"/>
            <w:vAlign w:val="bottom"/>
            <w:gridSpan w:val="54"/>
          </w:tcPr>
          <w:p>
            <w:pPr>
              <w:ind w:left="20"/>
              <w:spacing w:after="0" w:line="223" w:lineRule="exact"/>
              <w:rPr>
                <w:sz w:val="20"/>
                <w:szCs w:val="20"/>
                <w:color w:val="auto"/>
              </w:rPr>
            </w:pPr>
            <w:r>
              <w:rPr>
                <w:rFonts w:ascii="Times New Roman" w:cs="Times New Roman" w:eastAsia="Times New Roman" w:hAnsi="Times New Roman"/>
                <w:sz w:val="20"/>
                <w:szCs w:val="20"/>
                <w:color w:val="auto"/>
              </w:rPr>
              <w:t>Authority of Guarantors or Borrowers</w:t>
            </w:r>
          </w:p>
        </w:tc>
        <w:tc>
          <w:tcPr>
            <w:tcW w:w="3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155</w:t>
            </w:r>
          </w:p>
        </w:tc>
        <w:tc>
          <w:tcPr>
            <w:tcW w:w="320" w:type="dxa"/>
            <w:vAlign w:val="bottom"/>
            <w:gridSpan w:val="5"/>
          </w:tcPr>
          <w:p>
            <w:pPr>
              <w:jc w:val="right"/>
              <w:ind w:right="20"/>
              <w:spacing w:after="0" w:line="223" w:lineRule="exact"/>
              <w:rPr>
                <w:sz w:val="20"/>
                <w:szCs w:val="20"/>
                <w:color w:val="auto"/>
              </w:rPr>
            </w:pPr>
            <w:r>
              <w:rPr>
                <w:rFonts w:ascii="Times New Roman" w:cs="Times New Roman" w:eastAsia="Times New Roman" w:hAnsi="Times New Roman"/>
                <w:sz w:val="20"/>
                <w:szCs w:val="20"/>
                <w:color w:val="0000FF"/>
                <w:w w:val="93"/>
              </w:rPr>
              <w:t>158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7.10</w:t>
            </w:r>
          </w:p>
        </w:tc>
        <w:tc>
          <w:tcPr>
            <w:tcW w:w="2860" w:type="dxa"/>
            <w:vAlign w:val="bottom"/>
            <w:gridSpan w:val="47"/>
          </w:tcPr>
          <w:p>
            <w:pPr>
              <w:ind w:left="20"/>
              <w:spacing w:after="0" w:line="223" w:lineRule="exact"/>
              <w:rPr>
                <w:sz w:val="20"/>
                <w:szCs w:val="20"/>
                <w:color w:val="auto"/>
              </w:rPr>
            </w:pPr>
            <w:r>
              <w:rPr>
                <w:rFonts w:ascii="Times New Roman" w:cs="Times New Roman" w:eastAsia="Times New Roman" w:hAnsi="Times New Roman"/>
                <w:sz w:val="20"/>
                <w:szCs w:val="20"/>
                <w:color w:val="auto"/>
              </w:rPr>
              <w:t>Financial Condition of Borrowers</w:t>
            </w:r>
          </w:p>
        </w:tc>
        <w:tc>
          <w:tcPr>
            <w:tcW w:w="32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155</w:t>
            </w:r>
          </w:p>
        </w:tc>
        <w:tc>
          <w:tcPr>
            <w:tcW w:w="34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93"/>
              </w:rPr>
              <w:t>158</w:t>
            </w: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7.11</w:t>
            </w:r>
          </w:p>
        </w:tc>
        <w:tc>
          <w:tcPr>
            <w:tcW w:w="1540" w:type="dxa"/>
            <w:vAlign w:val="bottom"/>
            <w:gridSpan w:val="13"/>
          </w:tcPr>
          <w:p>
            <w:pPr>
              <w:spacing w:after="0" w:line="209" w:lineRule="exact"/>
              <w:rPr>
                <w:sz w:val="20"/>
                <w:szCs w:val="20"/>
                <w:color w:val="auto"/>
              </w:rPr>
            </w:pPr>
            <w:r>
              <w:rPr>
                <w:rFonts w:ascii="Times New Roman" w:cs="Times New Roman" w:eastAsia="Times New Roman" w:hAnsi="Times New Roman"/>
                <w:sz w:val="20"/>
                <w:szCs w:val="20"/>
                <w:color w:val="auto"/>
              </w:rPr>
              <w:t>Bankruptcy, Etc.</w:t>
            </w:r>
          </w:p>
        </w:tc>
        <w:tc>
          <w:tcPr>
            <w:tcW w:w="28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156</w:t>
            </w:r>
          </w:p>
        </w:tc>
        <w:tc>
          <w:tcPr>
            <w:tcW w:w="320" w:type="dxa"/>
            <w:vAlign w:val="bottom"/>
            <w:tcBorders>
              <w:bottom w:val="single" w:sz="8" w:color="0000FF"/>
            </w:tcBorders>
            <w:gridSpan w:val="8"/>
          </w:tcPr>
          <w:p>
            <w:pPr>
              <w:spacing w:after="0" w:line="209" w:lineRule="exact"/>
              <w:rPr>
                <w:sz w:val="20"/>
                <w:szCs w:val="20"/>
                <w:color w:val="auto"/>
              </w:rPr>
            </w:pPr>
            <w:r>
              <w:rPr>
                <w:rFonts w:ascii="Times New Roman" w:cs="Times New Roman" w:eastAsia="Times New Roman" w:hAnsi="Times New Roman"/>
                <w:sz w:val="20"/>
                <w:szCs w:val="20"/>
                <w:color w:val="0000FF"/>
                <w:w w:val="93"/>
              </w:rPr>
              <w:t>158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7.12</w:t>
            </w:r>
          </w:p>
        </w:tc>
        <w:tc>
          <w:tcPr>
            <w:tcW w:w="176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auto"/>
              </w:rPr>
              <w:t>Release of Guarantor</w:t>
            </w:r>
          </w:p>
        </w:tc>
        <w:tc>
          <w:tcPr>
            <w:tcW w:w="100" w:type="dxa"/>
            <w:vAlign w:val="bottom"/>
            <w:gridSpan w:val="4"/>
          </w:tcPr>
          <w:p>
            <w:pPr>
              <w:spacing w:after="0"/>
              <w:rPr>
                <w:sz w:val="19"/>
                <w:szCs w:val="19"/>
                <w:color w:val="auto"/>
              </w:rPr>
            </w:pPr>
          </w:p>
        </w:tc>
        <w:tc>
          <w:tcPr>
            <w:tcW w:w="340" w:type="dxa"/>
            <w:vAlign w:val="bottom"/>
            <w:gridSpan w:val="8"/>
          </w:tcPr>
          <w:p>
            <w:pPr>
              <w:ind w:left="40"/>
              <w:spacing w:after="0" w:line="223" w:lineRule="exact"/>
              <w:rPr>
                <w:sz w:val="20"/>
                <w:szCs w:val="20"/>
                <w:color w:val="auto"/>
              </w:rPr>
            </w:pPr>
            <w:r>
              <w:rPr>
                <w:rFonts w:ascii="Times New Roman" w:cs="Times New Roman" w:eastAsia="Times New Roman" w:hAnsi="Times New Roman"/>
                <w:sz w:val="20"/>
                <w:szCs w:val="20"/>
                <w:color w:val="FF0000"/>
                <w:strike w:val="1"/>
                <w:w w:val="93"/>
              </w:rPr>
              <w:t>156</w:t>
            </w:r>
          </w:p>
        </w:tc>
        <w:tc>
          <w:tcPr>
            <w:tcW w:w="320" w:type="dxa"/>
            <w:vAlign w:val="bottom"/>
            <w:gridSpan w:val="9"/>
          </w:tcPr>
          <w:p>
            <w:pPr>
              <w:jc w:val="right"/>
              <w:ind w:right="40"/>
              <w:spacing w:after="0" w:line="223" w:lineRule="exact"/>
              <w:rPr>
                <w:sz w:val="20"/>
                <w:szCs w:val="20"/>
                <w:color w:val="auto"/>
              </w:rPr>
            </w:pPr>
            <w:r>
              <w:rPr>
                <w:rFonts w:ascii="Times New Roman" w:cs="Times New Roman" w:eastAsia="Times New Roman" w:hAnsi="Times New Roman"/>
                <w:sz w:val="20"/>
                <w:szCs w:val="20"/>
                <w:color w:val="0000FF"/>
                <w:w w:val="86"/>
              </w:rPr>
              <w:t>158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7.13</w:t>
            </w:r>
          </w:p>
        </w:tc>
        <w:tc>
          <w:tcPr>
            <w:tcW w:w="960" w:type="dxa"/>
            <w:vAlign w:val="bottom"/>
            <w:gridSpan w:val="6"/>
          </w:tcPr>
          <w:p>
            <w:pPr>
              <w:ind w:left="20"/>
              <w:spacing w:after="0" w:line="209" w:lineRule="exact"/>
              <w:rPr>
                <w:sz w:val="20"/>
                <w:szCs w:val="20"/>
                <w:color w:val="auto"/>
              </w:rPr>
            </w:pPr>
            <w:r>
              <w:rPr>
                <w:rFonts w:ascii="Times New Roman" w:cs="Times New Roman" w:eastAsia="Times New Roman" w:hAnsi="Times New Roman"/>
                <w:sz w:val="20"/>
                <w:szCs w:val="20"/>
                <w:color w:val="auto"/>
              </w:rPr>
              <w:t>Remedies</w:t>
            </w:r>
          </w:p>
        </w:tc>
        <w:tc>
          <w:tcPr>
            <w:tcW w:w="3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157</w:t>
            </w:r>
          </w:p>
        </w:tc>
        <w:tc>
          <w:tcPr>
            <w:tcW w:w="28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159</w:t>
            </w:r>
          </w:p>
        </w:tc>
        <w:tc>
          <w:tcPr>
            <w:tcW w:w="620" w:type="dxa"/>
            <w:vAlign w:val="bottom"/>
            <w:gridSpan w:val="14"/>
          </w:tcPr>
          <w:p>
            <w:pPr>
              <w:spacing w:after="0"/>
              <w:rPr>
                <w:sz w:val="18"/>
                <w:szCs w:val="18"/>
                <w:color w:val="auto"/>
              </w:rPr>
            </w:pPr>
          </w:p>
        </w:tc>
        <w:tc>
          <w:tcPr>
            <w:tcW w:w="300" w:type="dxa"/>
            <w:vAlign w:val="bottom"/>
            <w:tcBorders>
              <w:top w:val="single" w:sz="8" w:color="0000FF"/>
            </w:tcBorders>
            <w:gridSpan w:val="8"/>
          </w:tcPr>
          <w:p>
            <w:pPr>
              <w:spacing w:after="0"/>
              <w:rPr>
                <w:sz w:val="18"/>
                <w:szCs w:val="18"/>
                <w:color w:val="auto"/>
              </w:rPr>
            </w:pPr>
          </w:p>
        </w:tc>
        <w:tc>
          <w:tcPr>
            <w:tcW w:w="4280" w:type="dxa"/>
            <w:vAlign w:val="bottom"/>
            <w:gridSpan w:val="41"/>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1031" w:right="33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7.14</w:t>
            </w:r>
          </w:p>
        </w:tc>
        <w:tc>
          <w:tcPr>
            <w:tcW w:w="60" w:type="dxa"/>
            <w:vAlign w:val="bottom"/>
          </w:tcPr>
          <w:p>
            <w:pPr>
              <w:spacing w:after="0"/>
              <w:rPr>
                <w:sz w:val="3"/>
                <w:szCs w:val="3"/>
                <w:color w:val="auto"/>
              </w:rPr>
            </w:pPr>
          </w:p>
        </w:tc>
        <w:tc>
          <w:tcPr>
            <w:tcW w:w="3300" w:type="dxa"/>
            <w:vAlign w:val="bottom"/>
            <w:gridSpan w:val="50"/>
            <w:vMerge w:val="restart"/>
          </w:tcPr>
          <w:p>
            <w:pPr>
              <w:ind w:left="60"/>
              <w:spacing w:after="0"/>
              <w:rPr>
                <w:sz w:val="20"/>
                <w:szCs w:val="20"/>
                <w:color w:val="auto"/>
              </w:rPr>
            </w:pPr>
            <w:r>
              <w:rPr>
                <w:rFonts w:ascii="Times New Roman" w:cs="Times New Roman" w:eastAsia="Times New Roman" w:hAnsi="Times New Roman"/>
                <w:sz w:val="20"/>
                <w:szCs w:val="20"/>
                <w:color w:val="auto"/>
              </w:rPr>
              <w:t>Instrument for the Payment of Money</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3"/>
              </w:rPr>
              <w:t>157</w:t>
            </w: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159</w:t>
            </w:r>
          </w:p>
        </w:tc>
        <w:tc>
          <w:tcPr>
            <w:tcW w:w="18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300" w:type="dxa"/>
            <w:vAlign w:val="bottom"/>
            <w:gridSpan w:val="50"/>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300" w:type="dxa"/>
            <w:vAlign w:val="bottom"/>
            <w:tcBorders>
              <w:bottom w:val="single" w:sz="8" w:color="0000FF"/>
            </w:tcBorders>
            <w:gridSpan w:val="7"/>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7.15</w:t>
            </w:r>
          </w:p>
        </w:tc>
        <w:tc>
          <w:tcPr>
            <w:tcW w:w="60" w:type="dxa"/>
            <w:vAlign w:val="bottom"/>
          </w:tcPr>
          <w:p>
            <w:pPr>
              <w:spacing w:after="0"/>
              <w:rPr>
                <w:sz w:val="19"/>
                <w:szCs w:val="19"/>
                <w:color w:val="auto"/>
              </w:rPr>
            </w:pPr>
          </w:p>
        </w:tc>
        <w:tc>
          <w:tcPr>
            <w:tcW w:w="3780" w:type="dxa"/>
            <w:vAlign w:val="bottom"/>
            <w:gridSpan w:val="58"/>
          </w:tcPr>
          <w:p>
            <w:pPr>
              <w:ind w:left="60"/>
              <w:spacing w:after="0" w:line="223" w:lineRule="exact"/>
              <w:rPr>
                <w:sz w:val="20"/>
                <w:szCs w:val="20"/>
                <w:color w:val="auto"/>
              </w:rPr>
            </w:pPr>
            <w:r>
              <w:rPr>
                <w:rFonts w:ascii="Times New Roman" w:cs="Times New Roman" w:eastAsia="Times New Roman" w:hAnsi="Times New Roman"/>
                <w:sz w:val="20"/>
                <w:szCs w:val="20"/>
                <w:color w:val="auto"/>
              </w:rPr>
              <w:t>General Limitation on Guaranty Obligations</w:t>
            </w:r>
          </w:p>
        </w:tc>
        <w:tc>
          <w:tcPr>
            <w:tcW w:w="2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157</w:t>
            </w:r>
          </w:p>
        </w:tc>
        <w:tc>
          <w:tcPr>
            <w:tcW w:w="420" w:type="dxa"/>
            <w:vAlign w:val="bottom"/>
            <w:gridSpan w:val="4"/>
          </w:tcPr>
          <w:p>
            <w:pPr>
              <w:jc w:val="right"/>
              <w:ind w:right="120"/>
              <w:spacing w:after="0" w:line="223" w:lineRule="exact"/>
              <w:rPr>
                <w:sz w:val="20"/>
                <w:szCs w:val="20"/>
                <w:color w:val="auto"/>
              </w:rPr>
            </w:pPr>
            <w:r>
              <w:rPr>
                <w:rFonts w:ascii="Times New Roman" w:cs="Times New Roman" w:eastAsia="Times New Roman" w:hAnsi="Times New Roman"/>
                <w:sz w:val="20"/>
                <w:szCs w:val="20"/>
                <w:color w:val="0000FF"/>
                <w:w w:val="93"/>
              </w:rPr>
              <w:t>159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7.16</w:t>
            </w:r>
          </w:p>
        </w:tc>
        <w:tc>
          <w:tcPr>
            <w:tcW w:w="1080" w:type="dxa"/>
            <w:vAlign w:val="bottom"/>
            <w:gridSpan w:val="4"/>
          </w:tcPr>
          <w:p>
            <w:pPr>
              <w:ind w:left="120"/>
              <w:spacing w:after="0" w:line="209" w:lineRule="exact"/>
              <w:rPr>
                <w:sz w:val="20"/>
                <w:szCs w:val="20"/>
                <w:color w:val="auto"/>
              </w:rPr>
            </w:pPr>
            <w:r>
              <w:rPr>
                <w:rFonts w:ascii="Times New Roman" w:cs="Times New Roman" w:eastAsia="Times New Roman" w:hAnsi="Times New Roman"/>
                <w:sz w:val="20"/>
                <w:szCs w:val="20"/>
                <w:color w:val="auto"/>
              </w:rPr>
              <w:t>Keepwell</w:t>
            </w:r>
          </w:p>
        </w:tc>
        <w:tc>
          <w:tcPr>
            <w:tcW w:w="28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FF0000"/>
                <w:strike w:val="1"/>
                <w:w w:val="86"/>
              </w:rPr>
              <w:t>157</w:t>
            </w:r>
          </w:p>
        </w:tc>
        <w:tc>
          <w:tcPr>
            <w:tcW w:w="32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160</w:t>
            </w:r>
          </w:p>
        </w:tc>
        <w:tc>
          <w:tcPr>
            <w:tcW w:w="2440" w:type="dxa"/>
            <w:vAlign w:val="bottom"/>
            <w:gridSpan w:val="47"/>
          </w:tcPr>
          <w:p>
            <w:pPr>
              <w:spacing w:after="0"/>
              <w:rPr>
                <w:sz w:val="18"/>
                <w:szCs w:val="18"/>
                <w:color w:val="auto"/>
              </w:rPr>
            </w:pPr>
          </w:p>
        </w:tc>
        <w:tc>
          <w:tcPr>
            <w:tcW w:w="320" w:type="dxa"/>
            <w:vAlign w:val="bottom"/>
            <w:tcBorders>
              <w:top w:val="single" w:sz="8" w:color="0000FF"/>
            </w:tcBorders>
            <w:gridSpan w:val="3"/>
          </w:tcPr>
          <w:p>
            <w:pPr>
              <w:spacing w:after="0"/>
              <w:rPr>
                <w:sz w:val="18"/>
                <w:szCs w:val="18"/>
                <w:color w:val="auto"/>
              </w:rPr>
            </w:pPr>
          </w:p>
        </w:tc>
        <w:tc>
          <w:tcPr>
            <w:tcW w:w="20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52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Section 8.  Events of Default</w:t>
            </w:r>
          </w:p>
        </w:tc>
        <w:tc>
          <w:tcPr>
            <w:tcW w:w="8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158</w:t>
            </w:r>
          </w:p>
        </w:tc>
        <w:tc>
          <w:tcPr>
            <w:tcW w:w="300" w:type="dxa"/>
            <w:vAlign w:val="bottom"/>
            <w:tcBorders>
              <w:bottom w:val="single" w:sz="8" w:color="0000FF"/>
            </w:tcBorders>
            <w:gridSpan w:val="10"/>
          </w:tcPr>
          <w:p>
            <w:pPr>
              <w:jc w:val="right"/>
              <w:spacing w:after="0"/>
              <w:rPr>
                <w:sz w:val="20"/>
                <w:szCs w:val="20"/>
                <w:color w:val="auto"/>
              </w:rPr>
            </w:pPr>
            <w:r>
              <w:rPr>
                <w:rFonts w:ascii="Times New Roman" w:cs="Times New Roman" w:eastAsia="Times New Roman" w:hAnsi="Times New Roman"/>
                <w:sz w:val="20"/>
                <w:szCs w:val="20"/>
                <w:color w:val="0000FF"/>
                <w:w w:val="93"/>
              </w:rPr>
              <w:t>160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8.01</w:t>
            </w:r>
          </w:p>
        </w:tc>
        <w:tc>
          <w:tcPr>
            <w:tcW w:w="166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auto"/>
                <w:w w:val="97"/>
              </w:rPr>
              <w:t>Events of Default</w:t>
            </w:r>
          </w:p>
        </w:tc>
        <w:tc>
          <w:tcPr>
            <w:tcW w:w="30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86"/>
              </w:rPr>
              <w:t>158</w:t>
            </w:r>
          </w:p>
        </w:tc>
        <w:tc>
          <w:tcPr>
            <w:tcW w:w="3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w w:val="86"/>
              </w:rPr>
              <w:t>160</w:t>
            </w:r>
          </w:p>
        </w:tc>
        <w:tc>
          <w:tcPr>
            <w:tcW w:w="4160" w:type="dxa"/>
            <w:vAlign w:val="bottom"/>
            <w:gridSpan w:val="5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8.02</w:t>
            </w:r>
          </w:p>
        </w:tc>
        <w:tc>
          <w:tcPr>
            <w:tcW w:w="60" w:type="dxa"/>
            <w:vAlign w:val="bottom"/>
          </w:tcPr>
          <w:p>
            <w:pPr>
              <w:spacing w:after="0"/>
              <w:rPr>
                <w:sz w:val="19"/>
                <w:szCs w:val="19"/>
                <w:color w:val="auto"/>
              </w:rPr>
            </w:pPr>
          </w:p>
        </w:tc>
        <w:tc>
          <w:tcPr>
            <w:tcW w:w="1960" w:type="dxa"/>
            <w:vAlign w:val="bottom"/>
            <w:gridSpan w:val="20"/>
          </w:tcPr>
          <w:p>
            <w:pPr>
              <w:ind w:left="60"/>
              <w:spacing w:after="0" w:line="223" w:lineRule="exact"/>
              <w:rPr>
                <w:sz w:val="20"/>
                <w:szCs w:val="20"/>
                <w:color w:val="auto"/>
              </w:rPr>
            </w:pPr>
            <w:r>
              <w:rPr>
                <w:rFonts w:ascii="Times New Roman" w:cs="Times New Roman" w:eastAsia="Times New Roman" w:hAnsi="Times New Roman"/>
                <w:sz w:val="20"/>
                <w:szCs w:val="20"/>
                <w:color w:val="auto"/>
              </w:rPr>
              <w:t>Application of Funds</w:t>
            </w: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160</w:t>
            </w:r>
          </w:p>
        </w:tc>
        <w:tc>
          <w:tcPr>
            <w:tcW w:w="360" w:type="dxa"/>
            <w:vAlign w:val="bottom"/>
            <w:gridSpan w:val="12"/>
          </w:tcPr>
          <w:p>
            <w:pPr>
              <w:spacing w:after="0" w:line="223" w:lineRule="exact"/>
              <w:rPr>
                <w:sz w:val="20"/>
                <w:szCs w:val="20"/>
                <w:color w:val="auto"/>
              </w:rPr>
            </w:pPr>
            <w:r>
              <w:rPr>
                <w:rFonts w:ascii="Times New Roman" w:cs="Times New Roman" w:eastAsia="Times New Roman" w:hAnsi="Times New Roman"/>
                <w:sz w:val="20"/>
                <w:szCs w:val="20"/>
                <w:color w:val="0000FF"/>
              </w:rPr>
              <w:t>163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9.</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Agents</w:t>
            </w:r>
          </w:p>
        </w:tc>
        <w:tc>
          <w:tcPr>
            <w:tcW w:w="30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93"/>
              </w:rPr>
              <w:t>162</w:t>
            </w:r>
          </w:p>
        </w:tc>
        <w:tc>
          <w:tcPr>
            <w:tcW w:w="3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w w:val="93"/>
              </w:rPr>
              <w:t>164</w:t>
            </w:r>
          </w:p>
        </w:tc>
        <w:tc>
          <w:tcPr>
            <w:tcW w:w="640" w:type="dxa"/>
            <w:vAlign w:val="bottom"/>
            <w:gridSpan w:val="12"/>
          </w:tcPr>
          <w:p>
            <w:pPr>
              <w:spacing w:after="0"/>
              <w:rPr>
                <w:sz w:val="24"/>
                <w:szCs w:val="24"/>
                <w:color w:val="auto"/>
              </w:rPr>
            </w:pPr>
          </w:p>
        </w:tc>
        <w:tc>
          <w:tcPr>
            <w:tcW w:w="280" w:type="dxa"/>
            <w:vAlign w:val="bottom"/>
            <w:tcBorders>
              <w:top w:val="single" w:sz="8" w:color="0000FF"/>
            </w:tcBorders>
            <w:gridSpan w:val="11"/>
          </w:tcPr>
          <w:p>
            <w:pPr>
              <w:spacing w:after="0"/>
              <w:rPr>
                <w:sz w:val="24"/>
                <w:szCs w:val="24"/>
                <w:color w:val="auto"/>
              </w:rPr>
            </w:pPr>
          </w:p>
        </w:tc>
        <w:tc>
          <w:tcPr>
            <w:tcW w:w="3880" w:type="dxa"/>
            <w:vAlign w:val="bottom"/>
            <w:gridSpan w:val="4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9.01</w:t>
            </w:r>
          </w:p>
        </w:tc>
        <w:tc>
          <w:tcPr>
            <w:tcW w:w="60" w:type="dxa"/>
            <w:vAlign w:val="bottom"/>
          </w:tcPr>
          <w:p>
            <w:pPr>
              <w:spacing w:after="0"/>
              <w:rPr>
                <w:sz w:val="24"/>
                <w:szCs w:val="24"/>
                <w:color w:val="auto"/>
              </w:rPr>
            </w:pPr>
          </w:p>
        </w:tc>
        <w:tc>
          <w:tcPr>
            <w:tcW w:w="1960" w:type="dxa"/>
            <w:vAlign w:val="bottom"/>
            <w:gridSpan w:val="20"/>
          </w:tcPr>
          <w:p>
            <w:pPr>
              <w:ind w:left="60"/>
              <w:spacing w:after="0"/>
              <w:rPr>
                <w:sz w:val="20"/>
                <w:szCs w:val="20"/>
                <w:color w:val="auto"/>
              </w:rPr>
            </w:pPr>
            <w:r>
              <w:rPr>
                <w:rFonts w:ascii="Times New Roman" w:cs="Times New Roman" w:eastAsia="Times New Roman" w:hAnsi="Times New Roman"/>
                <w:sz w:val="20"/>
                <w:szCs w:val="20"/>
                <w:color w:val="auto"/>
                <w:w w:val="98"/>
              </w:rPr>
              <w:t>Appointment of Agents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162</w:t>
            </w:r>
          </w:p>
        </w:tc>
        <w:tc>
          <w:tcPr>
            <w:tcW w:w="30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w w:val="93"/>
              </w:rPr>
              <w:t>164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9.02</w:t>
            </w:r>
          </w:p>
        </w:tc>
        <w:tc>
          <w:tcPr>
            <w:tcW w:w="60" w:type="dxa"/>
            <w:vAlign w:val="bottom"/>
          </w:tcPr>
          <w:p>
            <w:pPr>
              <w:spacing w:after="0"/>
              <w:rPr>
                <w:sz w:val="19"/>
                <w:szCs w:val="19"/>
                <w:color w:val="auto"/>
              </w:rPr>
            </w:pPr>
          </w:p>
        </w:tc>
        <w:tc>
          <w:tcPr>
            <w:tcW w:w="1760" w:type="dxa"/>
            <w:vAlign w:val="bottom"/>
            <w:gridSpan w:val="17"/>
          </w:tcPr>
          <w:p>
            <w:pPr>
              <w:ind w:left="60"/>
              <w:spacing w:after="0" w:line="223" w:lineRule="exact"/>
              <w:rPr>
                <w:sz w:val="20"/>
                <w:szCs w:val="20"/>
                <w:color w:val="auto"/>
              </w:rPr>
            </w:pPr>
            <w:r>
              <w:rPr>
                <w:rFonts w:ascii="Times New Roman" w:cs="Times New Roman" w:eastAsia="Times New Roman" w:hAnsi="Times New Roman"/>
                <w:sz w:val="20"/>
                <w:szCs w:val="20"/>
                <w:color w:val="auto"/>
              </w:rPr>
              <w:t>Powers and Duties</w:t>
            </w:r>
          </w:p>
        </w:tc>
        <w:tc>
          <w:tcPr>
            <w:tcW w:w="2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162</w:t>
            </w:r>
          </w:p>
        </w:tc>
        <w:tc>
          <w:tcPr>
            <w:tcW w:w="300" w:type="dxa"/>
            <w:vAlign w:val="bottom"/>
            <w:tcBorders>
              <w:bottom w:val="single" w:sz="8" w:color="0000FF"/>
            </w:tcBorders>
            <w:gridSpan w:val="9"/>
          </w:tcPr>
          <w:p>
            <w:pPr>
              <w:spacing w:after="0" w:line="223" w:lineRule="exact"/>
              <w:rPr>
                <w:sz w:val="20"/>
                <w:szCs w:val="20"/>
                <w:color w:val="auto"/>
              </w:rPr>
            </w:pPr>
            <w:r>
              <w:rPr>
                <w:rFonts w:ascii="Times New Roman" w:cs="Times New Roman" w:eastAsia="Times New Roman" w:hAnsi="Times New Roman"/>
                <w:sz w:val="20"/>
                <w:szCs w:val="20"/>
                <w:color w:val="0000FF"/>
                <w:w w:val="93"/>
              </w:rPr>
              <w:t>165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9.03</w:t>
            </w:r>
          </w:p>
        </w:tc>
        <w:tc>
          <w:tcPr>
            <w:tcW w:w="1760" w:type="dxa"/>
            <w:vAlign w:val="bottom"/>
            <w:gridSpan w:val="17"/>
          </w:tcPr>
          <w:p>
            <w:pPr>
              <w:ind w:left="60"/>
              <w:spacing w:after="0" w:line="209" w:lineRule="exact"/>
              <w:rPr>
                <w:sz w:val="20"/>
                <w:szCs w:val="20"/>
                <w:color w:val="auto"/>
              </w:rPr>
            </w:pPr>
            <w:r>
              <w:rPr>
                <w:rFonts w:ascii="Times New Roman" w:cs="Times New Roman" w:eastAsia="Times New Roman" w:hAnsi="Times New Roman"/>
                <w:sz w:val="20"/>
                <w:szCs w:val="20"/>
                <w:color w:val="auto"/>
              </w:rPr>
              <w:t>General Immunity</w:t>
            </w: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3"/>
              </w:rPr>
              <w:t>163</w:t>
            </w:r>
          </w:p>
        </w:tc>
        <w:tc>
          <w:tcPr>
            <w:tcW w:w="34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0000FF"/>
              </w:rPr>
              <w:t>165</w:t>
            </w:r>
          </w:p>
        </w:tc>
        <w:tc>
          <w:tcPr>
            <w:tcW w:w="4120" w:type="dxa"/>
            <w:vAlign w:val="bottom"/>
            <w:gridSpan w:val="5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9.04</w:t>
            </w:r>
          </w:p>
        </w:tc>
        <w:tc>
          <w:tcPr>
            <w:tcW w:w="60" w:type="dxa"/>
            <w:vAlign w:val="bottom"/>
          </w:tcPr>
          <w:p>
            <w:pPr>
              <w:spacing w:after="0"/>
              <w:rPr>
                <w:sz w:val="19"/>
                <w:szCs w:val="19"/>
                <w:color w:val="auto"/>
              </w:rPr>
            </w:pPr>
          </w:p>
        </w:tc>
        <w:tc>
          <w:tcPr>
            <w:tcW w:w="2860" w:type="dxa"/>
            <w:vAlign w:val="bottom"/>
            <w:gridSpan w:val="44"/>
          </w:tcPr>
          <w:p>
            <w:pPr>
              <w:ind w:left="60"/>
              <w:spacing w:after="0" w:line="223" w:lineRule="exact"/>
              <w:rPr>
                <w:sz w:val="20"/>
                <w:szCs w:val="20"/>
                <w:color w:val="auto"/>
              </w:rPr>
            </w:pPr>
            <w:r>
              <w:rPr>
                <w:rFonts w:ascii="Times New Roman" w:cs="Times New Roman" w:eastAsia="Times New Roman" w:hAnsi="Times New Roman"/>
                <w:sz w:val="20"/>
                <w:szCs w:val="20"/>
                <w:color w:val="auto"/>
              </w:rPr>
              <w:t>Agents Entitled to Act as Lender</w:t>
            </w:r>
          </w:p>
        </w:tc>
        <w:tc>
          <w:tcPr>
            <w:tcW w:w="440" w:type="dxa"/>
            <w:vAlign w:val="bottom"/>
            <w:gridSpan w:val="6"/>
          </w:tcPr>
          <w:p>
            <w:pPr>
              <w:jc w:val="right"/>
              <w:ind w:right="41"/>
              <w:spacing w:after="0" w:line="223" w:lineRule="exact"/>
              <w:rPr>
                <w:sz w:val="20"/>
                <w:szCs w:val="20"/>
                <w:color w:val="auto"/>
              </w:rPr>
            </w:pPr>
            <w:r>
              <w:rPr>
                <w:rFonts w:ascii="Times New Roman" w:cs="Times New Roman" w:eastAsia="Times New Roman" w:hAnsi="Times New Roman"/>
                <w:sz w:val="20"/>
                <w:szCs w:val="20"/>
                <w:color w:val="FF0000"/>
                <w:strike w:val="1"/>
                <w:w w:val="93"/>
              </w:rPr>
              <w:t>165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0000FF"/>
                <w:w w:val="72"/>
              </w:rPr>
              <w:t>167</w:t>
            </w: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right w:val="single" w:sz="8" w:color="0000FF"/>
            </w:tcBorders>
            <w:gridSpan w:val="5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9.05</w:t>
            </w:r>
          </w:p>
        </w:tc>
        <w:tc>
          <w:tcPr>
            <w:tcW w:w="60" w:type="dxa"/>
            <w:vAlign w:val="bottom"/>
          </w:tcPr>
          <w:p>
            <w:pPr>
              <w:spacing w:after="0"/>
              <w:rPr>
                <w:sz w:val="18"/>
                <w:szCs w:val="18"/>
                <w:color w:val="auto"/>
              </w:rPr>
            </w:pPr>
          </w:p>
        </w:tc>
        <w:tc>
          <w:tcPr>
            <w:tcW w:w="4840" w:type="dxa"/>
            <w:vAlign w:val="bottom"/>
            <w:gridSpan w:val="69"/>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Lenders’ Representations, Warranties and Acknowledgment</w:t>
            </w:r>
          </w:p>
        </w:tc>
        <w:tc>
          <w:tcPr>
            <w:tcW w:w="48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165</w:t>
            </w:r>
          </w:p>
        </w:tc>
        <w:tc>
          <w:tcPr>
            <w:tcW w:w="500" w:type="dxa"/>
            <w:vAlign w:val="bottom"/>
            <w:gridSpan w:val="4"/>
          </w:tcPr>
          <w:p>
            <w:pPr>
              <w:jc w:val="right"/>
              <w:ind w:right="220"/>
              <w:spacing w:after="0" w:line="209" w:lineRule="exact"/>
              <w:rPr>
                <w:sz w:val="20"/>
                <w:szCs w:val="20"/>
                <w:color w:val="auto"/>
              </w:rPr>
            </w:pPr>
            <w:r>
              <w:rPr>
                <w:rFonts w:ascii="Times New Roman" w:cs="Times New Roman" w:eastAsia="Times New Roman" w:hAnsi="Times New Roman"/>
                <w:sz w:val="20"/>
                <w:szCs w:val="20"/>
                <w:color w:val="0000FF"/>
                <w:w w:val="86"/>
              </w:rPr>
              <w:t>167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9.06</w:t>
            </w:r>
          </w:p>
        </w:tc>
        <w:tc>
          <w:tcPr>
            <w:tcW w:w="60" w:type="dxa"/>
            <w:vAlign w:val="bottom"/>
          </w:tcPr>
          <w:p>
            <w:pPr>
              <w:spacing w:after="0"/>
              <w:rPr>
                <w:sz w:val="19"/>
                <w:szCs w:val="19"/>
                <w:color w:val="auto"/>
              </w:rPr>
            </w:pPr>
          </w:p>
        </w:tc>
        <w:tc>
          <w:tcPr>
            <w:tcW w:w="1760" w:type="dxa"/>
            <w:vAlign w:val="bottom"/>
            <w:gridSpan w:val="17"/>
          </w:tcPr>
          <w:p>
            <w:pPr>
              <w:ind w:left="60"/>
              <w:spacing w:after="0" w:line="223" w:lineRule="exact"/>
              <w:rPr>
                <w:sz w:val="20"/>
                <w:szCs w:val="20"/>
                <w:color w:val="auto"/>
              </w:rPr>
            </w:pPr>
            <w:r>
              <w:rPr>
                <w:rFonts w:ascii="Times New Roman" w:cs="Times New Roman" w:eastAsia="Times New Roman" w:hAnsi="Times New Roman"/>
                <w:sz w:val="20"/>
                <w:szCs w:val="20"/>
                <w:color w:val="auto"/>
              </w:rPr>
              <w:t>Right to Indemnity</w:t>
            </w:r>
          </w:p>
        </w:tc>
        <w:tc>
          <w:tcPr>
            <w:tcW w:w="30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165</w:t>
            </w:r>
          </w:p>
        </w:tc>
        <w:tc>
          <w:tcPr>
            <w:tcW w:w="300" w:type="dxa"/>
            <w:vAlign w:val="bottom"/>
            <w:tcBorders>
              <w:bottom w:val="single" w:sz="8" w:color="0000FF"/>
            </w:tcBorders>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9.07</w:t>
            </w:r>
          </w:p>
        </w:tc>
        <w:tc>
          <w:tcPr>
            <w:tcW w:w="1660" w:type="dxa"/>
            <w:vAlign w:val="bottom"/>
            <w:gridSpan w:val="16"/>
          </w:tcPr>
          <w:p>
            <w:pPr>
              <w:ind w:left="60"/>
              <w:spacing w:after="0" w:line="223" w:lineRule="exact"/>
              <w:rPr>
                <w:sz w:val="20"/>
                <w:szCs w:val="20"/>
                <w:color w:val="auto"/>
              </w:rPr>
            </w:pPr>
            <w:r>
              <w:rPr>
                <w:rFonts w:ascii="Times New Roman" w:cs="Times New Roman" w:eastAsia="Times New Roman" w:hAnsi="Times New Roman"/>
                <w:sz w:val="20"/>
                <w:szCs w:val="20"/>
                <w:color w:val="auto"/>
                <w:w w:val="97"/>
              </w:rPr>
              <w:t>Successor Agents</w:t>
            </w:r>
          </w:p>
        </w:tc>
        <w:tc>
          <w:tcPr>
            <w:tcW w:w="30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FF0000"/>
                <w:strike w:val="1"/>
                <w:w w:val="86"/>
              </w:rPr>
              <w:t>166</w:t>
            </w:r>
          </w:p>
        </w:tc>
        <w:tc>
          <w:tcPr>
            <w:tcW w:w="4460" w:type="dxa"/>
            <w:vAlign w:val="bottom"/>
            <w:gridSpan w:val="60"/>
          </w:tcPr>
          <w:p>
            <w:pPr>
              <w:jc w:val="right"/>
              <w:ind w:right="4180"/>
              <w:spacing w:after="0" w:line="223" w:lineRule="exact"/>
              <w:rPr>
                <w:sz w:val="20"/>
                <w:szCs w:val="20"/>
                <w:color w:val="auto"/>
              </w:rPr>
            </w:pPr>
            <w:r>
              <w:rPr>
                <w:rFonts w:ascii="Times New Roman" w:cs="Times New Roman" w:eastAsia="Times New Roman" w:hAnsi="Times New Roman"/>
                <w:sz w:val="20"/>
                <w:szCs w:val="20"/>
                <w:color w:val="0000FF"/>
                <w:w w:val="86"/>
              </w:rPr>
              <w:t>168</w:t>
            </w:r>
          </w:p>
        </w:tc>
        <w:tc>
          <w:tcPr>
            <w:tcW w:w="0" w:type="dxa"/>
            <w:vAlign w:val="bottom"/>
          </w:tcPr>
          <w:p>
            <w:pPr>
              <w:spacing w:after="0"/>
              <w:rPr>
                <w:sz w:val="1"/>
                <w:szCs w:val="1"/>
                <w:color w:val="auto"/>
              </w:rPr>
            </w:pPr>
          </w:p>
        </w:tc>
      </w:tr>
      <w:tr>
        <w:trPr>
          <w:trHeight w:val="20"/>
        </w:trPr>
        <w:tc>
          <w:tcPr>
            <w:tcW w:w="2720" w:type="dxa"/>
            <w:vAlign w:val="bottom"/>
            <w:tcBorders>
              <w:right w:val="single" w:sz="8" w:color="0000FF"/>
            </w:tcBorders>
            <w:gridSpan w:val="22"/>
          </w:tcPr>
          <w:p>
            <w:pPr>
              <w:spacing w:after="0" w:line="20" w:lineRule="exact"/>
              <w:rPr>
                <w:sz w:val="1"/>
                <w:szCs w:val="1"/>
                <w:color w:val="auto"/>
              </w:rPr>
            </w:pPr>
          </w:p>
        </w:tc>
        <w:tc>
          <w:tcPr>
            <w:tcW w:w="3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160" w:type="dxa"/>
            <w:vAlign w:val="bottom"/>
            <w:gridSpan w:val="5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9.08</w:t>
            </w:r>
          </w:p>
        </w:tc>
        <w:tc>
          <w:tcPr>
            <w:tcW w:w="60" w:type="dxa"/>
            <w:vAlign w:val="bottom"/>
          </w:tcPr>
          <w:p>
            <w:pPr>
              <w:spacing w:after="0"/>
              <w:rPr>
                <w:sz w:val="18"/>
                <w:szCs w:val="18"/>
                <w:color w:val="auto"/>
              </w:rPr>
            </w:pPr>
          </w:p>
        </w:tc>
        <w:tc>
          <w:tcPr>
            <w:tcW w:w="2960" w:type="dxa"/>
            <w:vAlign w:val="bottom"/>
            <w:gridSpan w:val="46"/>
          </w:tcPr>
          <w:p>
            <w:pPr>
              <w:ind w:left="60"/>
              <w:spacing w:after="0" w:line="209" w:lineRule="exact"/>
              <w:rPr>
                <w:sz w:val="20"/>
                <w:szCs w:val="20"/>
                <w:color w:val="auto"/>
              </w:rPr>
            </w:pPr>
            <w:r>
              <w:rPr>
                <w:rFonts w:ascii="Times New Roman" w:cs="Times New Roman" w:eastAsia="Times New Roman" w:hAnsi="Times New Roman"/>
                <w:sz w:val="20"/>
                <w:szCs w:val="20"/>
                <w:color w:val="auto"/>
                <w:w w:val="99"/>
              </w:rPr>
              <w:t>Collateral Documents and Guaranty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167</w:t>
            </w:r>
          </w:p>
        </w:tc>
        <w:tc>
          <w:tcPr>
            <w:tcW w:w="26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169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9.09</w:t>
            </w:r>
          </w:p>
        </w:tc>
        <w:tc>
          <w:tcPr>
            <w:tcW w:w="60" w:type="dxa"/>
            <w:vAlign w:val="bottom"/>
          </w:tcPr>
          <w:p>
            <w:pPr>
              <w:spacing w:after="0"/>
              <w:rPr>
                <w:sz w:val="19"/>
                <w:szCs w:val="19"/>
                <w:color w:val="auto"/>
              </w:rPr>
            </w:pPr>
          </w:p>
        </w:tc>
        <w:tc>
          <w:tcPr>
            <w:tcW w:w="5820" w:type="dxa"/>
            <w:vAlign w:val="bottom"/>
            <w:gridSpan w:val="76"/>
          </w:tcPr>
          <w:p>
            <w:pPr>
              <w:ind w:left="60"/>
              <w:spacing w:after="0" w:line="223" w:lineRule="exact"/>
              <w:rPr>
                <w:sz w:val="20"/>
                <w:szCs w:val="20"/>
                <w:color w:val="auto"/>
              </w:rPr>
            </w:pPr>
            <w:r>
              <w:rPr>
                <w:rFonts w:ascii="Times New Roman" w:cs="Times New Roman" w:eastAsia="Times New Roman" w:hAnsi="Times New Roman"/>
                <w:sz w:val="20"/>
                <w:szCs w:val="20"/>
                <w:color w:val="auto"/>
              </w:rPr>
              <w:t>Cash Management Agreements and Secured Interest Rate Agreements</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168</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170</w:t>
            </w:r>
          </w:p>
        </w:tc>
        <w:tc>
          <w:tcPr>
            <w:tcW w:w="0" w:type="dxa"/>
            <w:vAlign w:val="bottom"/>
          </w:tcPr>
          <w:p>
            <w:pPr>
              <w:spacing w:after="0"/>
              <w:rPr>
                <w:sz w:val="1"/>
                <w:szCs w:val="1"/>
                <w:color w:val="auto"/>
              </w:rPr>
            </w:pPr>
          </w:p>
        </w:tc>
      </w:tr>
      <w:tr>
        <w:trPr>
          <w:trHeight w:val="210"/>
        </w:trPr>
        <w:tc>
          <w:tcPr>
            <w:tcW w:w="7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9.10</w:t>
            </w:r>
          </w:p>
        </w:tc>
        <w:tc>
          <w:tcPr>
            <w:tcW w:w="60" w:type="dxa"/>
            <w:vAlign w:val="bottom"/>
          </w:tcPr>
          <w:p>
            <w:pPr>
              <w:spacing w:after="0"/>
              <w:rPr>
                <w:sz w:val="18"/>
                <w:szCs w:val="18"/>
                <w:color w:val="auto"/>
              </w:rPr>
            </w:pPr>
          </w:p>
        </w:tc>
        <w:tc>
          <w:tcPr>
            <w:tcW w:w="4060" w:type="dxa"/>
            <w:vAlign w:val="bottom"/>
            <w:gridSpan w:val="62"/>
          </w:tcPr>
          <w:p>
            <w:pPr>
              <w:ind w:left="60"/>
              <w:spacing w:after="0" w:line="209" w:lineRule="exact"/>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3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168</w:t>
            </w:r>
          </w:p>
        </w:tc>
        <w:tc>
          <w:tcPr>
            <w:tcW w:w="420" w:type="dxa"/>
            <w:vAlign w:val="bottom"/>
            <w:gridSpan w:val="4"/>
          </w:tcPr>
          <w:p>
            <w:pPr>
              <w:jc w:val="right"/>
              <w:ind w:right="120"/>
              <w:spacing w:after="0" w:line="209" w:lineRule="exact"/>
              <w:rPr>
                <w:sz w:val="20"/>
                <w:szCs w:val="20"/>
                <w:color w:val="auto"/>
              </w:rPr>
            </w:pPr>
            <w:r>
              <w:rPr>
                <w:rFonts w:ascii="Times New Roman" w:cs="Times New Roman" w:eastAsia="Times New Roman" w:hAnsi="Times New Roman"/>
                <w:sz w:val="20"/>
                <w:szCs w:val="20"/>
                <w:color w:val="0000FF"/>
                <w:w w:val="93"/>
              </w:rPr>
              <w:t>171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19"/>
                <w:szCs w:val="19"/>
                <w:color w:val="auto"/>
              </w:rPr>
            </w:pPr>
          </w:p>
        </w:tc>
        <w:tc>
          <w:tcPr>
            <w:tcW w:w="176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auto"/>
              </w:rPr>
              <w:t>Delegation of Duties</w:t>
            </w:r>
          </w:p>
        </w:tc>
        <w:tc>
          <w:tcPr>
            <w:tcW w:w="80" w:type="dxa"/>
            <w:vAlign w:val="bottom"/>
          </w:tcPr>
          <w:p>
            <w:pPr>
              <w:spacing w:after="0"/>
              <w:rPr>
                <w:sz w:val="19"/>
                <w:szCs w:val="19"/>
                <w:color w:val="auto"/>
              </w:rPr>
            </w:pPr>
          </w:p>
        </w:tc>
        <w:tc>
          <w:tcPr>
            <w:tcW w:w="36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169</w:t>
            </w:r>
          </w:p>
        </w:tc>
        <w:tc>
          <w:tcPr>
            <w:tcW w:w="280" w:type="dxa"/>
            <w:vAlign w:val="bottom"/>
            <w:tcBorders>
              <w:bottom w:val="single" w:sz="8" w:color="0000FF"/>
            </w:tcBorders>
            <w:gridSpan w:val="10"/>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9.12</w:t>
            </w:r>
          </w:p>
        </w:tc>
        <w:tc>
          <w:tcPr>
            <w:tcW w:w="60" w:type="dxa"/>
            <w:vAlign w:val="bottom"/>
          </w:tcPr>
          <w:p>
            <w:pPr>
              <w:spacing w:after="0"/>
              <w:rPr>
                <w:sz w:val="19"/>
                <w:szCs w:val="19"/>
                <w:color w:val="auto"/>
              </w:rPr>
            </w:pPr>
          </w:p>
        </w:tc>
        <w:tc>
          <w:tcPr>
            <w:tcW w:w="2960" w:type="dxa"/>
            <w:vAlign w:val="bottom"/>
            <w:gridSpan w:val="46"/>
          </w:tcPr>
          <w:p>
            <w:pPr>
              <w:ind w:left="60"/>
              <w:spacing w:after="0" w:line="223" w:lineRule="exact"/>
              <w:rPr>
                <w:sz w:val="20"/>
                <w:szCs w:val="20"/>
                <w:color w:val="auto"/>
              </w:rPr>
            </w:pPr>
            <w:r>
              <w:rPr>
                <w:rFonts w:ascii="Times New Roman" w:cs="Times New Roman" w:eastAsia="Times New Roman" w:hAnsi="Times New Roman"/>
                <w:sz w:val="20"/>
                <w:szCs w:val="20"/>
                <w:color w:val="auto"/>
              </w:rPr>
              <w:t>Lead Arrangers Have No Liability</w:t>
            </w:r>
          </w:p>
        </w:tc>
        <w:tc>
          <w:tcPr>
            <w:tcW w:w="3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169</w:t>
            </w:r>
          </w:p>
        </w:tc>
        <w:tc>
          <w:tcPr>
            <w:tcW w:w="28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9.13</w:t>
            </w:r>
          </w:p>
        </w:tc>
        <w:tc>
          <w:tcPr>
            <w:tcW w:w="60" w:type="dxa"/>
            <w:vAlign w:val="bottom"/>
          </w:tcPr>
          <w:p>
            <w:pPr>
              <w:spacing w:after="0"/>
              <w:rPr>
                <w:sz w:val="18"/>
                <w:szCs w:val="18"/>
                <w:color w:val="auto"/>
              </w:rPr>
            </w:pPr>
          </w:p>
        </w:tc>
        <w:tc>
          <w:tcPr>
            <w:tcW w:w="1960" w:type="dxa"/>
            <w:vAlign w:val="bottom"/>
            <w:gridSpan w:val="20"/>
          </w:tcPr>
          <w:p>
            <w:pPr>
              <w:ind w:left="60"/>
              <w:spacing w:after="0" w:line="209" w:lineRule="exact"/>
              <w:rPr>
                <w:sz w:val="20"/>
                <w:szCs w:val="20"/>
                <w:color w:val="auto"/>
              </w:rPr>
            </w:pPr>
            <w:r>
              <w:rPr>
                <w:rFonts w:ascii="Times New Roman" w:cs="Times New Roman" w:eastAsia="Times New Roman" w:hAnsi="Times New Roman"/>
                <w:sz w:val="20"/>
                <w:szCs w:val="20"/>
                <w:color w:val="auto"/>
              </w:rPr>
              <w:t>Erroneous Payments.</w:t>
            </w:r>
          </w:p>
        </w:tc>
        <w:tc>
          <w:tcPr>
            <w:tcW w:w="30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169</w:t>
            </w:r>
          </w:p>
        </w:tc>
        <w:tc>
          <w:tcPr>
            <w:tcW w:w="260" w:type="dxa"/>
            <w:vAlign w:val="bottom"/>
            <w:tcBorders>
              <w:bottom w:val="single" w:sz="8" w:color="0000FF"/>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FF"/>
                <w:w w:val="79"/>
              </w:rPr>
              <w:t>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9.14</w:t>
            </w:r>
          </w:p>
        </w:tc>
        <w:tc>
          <w:tcPr>
            <w:tcW w:w="60" w:type="dxa"/>
            <w:vAlign w:val="bottom"/>
          </w:tcPr>
          <w:p>
            <w:pPr>
              <w:spacing w:after="0"/>
              <w:rPr>
                <w:sz w:val="19"/>
                <w:szCs w:val="19"/>
                <w:color w:val="auto"/>
              </w:rPr>
            </w:pPr>
          </w:p>
        </w:tc>
        <w:tc>
          <w:tcPr>
            <w:tcW w:w="1960" w:type="dxa"/>
            <w:vAlign w:val="bottom"/>
            <w:gridSpan w:val="20"/>
          </w:tcPr>
          <w:p>
            <w:pPr>
              <w:ind w:left="60"/>
              <w:spacing w:after="0" w:line="223" w:lineRule="exact"/>
              <w:rPr>
                <w:sz w:val="20"/>
                <w:szCs w:val="20"/>
                <w:color w:val="auto"/>
              </w:rPr>
            </w:pPr>
            <w:r>
              <w:rPr>
                <w:rFonts w:ascii="Times New Roman" w:cs="Times New Roman" w:eastAsia="Times New Roman" w:hAnsi="Times New Roman"/>
                <w:sz w:val="20"/>
                <w:szCs w:val="20"/>
                <w:color w:val="auto"/>
                <w:w w:val="99"/>
              </w:rPr>
              <w:t>Certain ERISA Matters</w:t>
            </w: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172</w:t>
            </w:r>
          </w:p>
        </w:tc>
        <w:tc>
          <w:tcPr>
            <w:tcW w:w="320" w:type="dxa"/>
            <w:vAlign w:val="bottom"/>
            <w:gridSpan w:val="9"/>
          </w:tcPr>
          <w:p>
            <w:pPr>
              <w:jc w:val="right"/>
              <w:ind w:right="20"/>
              <w:spacing w:after="0" w:line="223" w:lineRule="exact"/>
              <w:rPr>
                <w:sz w:val="20"/>
                <w:szCs w:val="20"/>
                <w:color w:val="auto"/>
              </w:rPr>
            </w:pPr>
            <w:r>
              <w:rPr>
                <w:rFonts w:ascii="Times New Roman" w:cs="Times New Roman" w:eastAsia="Times New Roman" w:hAnsi="Times New Roman"/>
                <w:sz w:val="20"/>
                <w:szCs w:val="20"/>
                <w:color w:val="0000FF"/>
                <w:w w:val="93"/>
              </w:rPr>
              <w:t>174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Section 10.</w:t>
            </w:r>
          </w:p>
        </w:tc>
        <w:tc>
          <w:tcPr>
            <w:tcW w:w="1620" w:type="dxa"/>
            <w:vAlign w:val="bottom"/>
            <w:gridSpan w:val="16"/>
          </w:tcPr>
          <w:p>
            <w:pPr>
              <w:ind w:left="220"/>
              <w:spacing w:after="0"/>
              <w:rPr>
                <w:sz w:val="20"/>
                <w:szCs w:val="20"/>
                <w:color w:val="auto"/>
              </w:rPr>
            </w:pPr>
            <w:r>
              <w:rPr>
                <w:rFonts w:ascii="Times New Roman" w:cs="Times New Roman" w:eastAsia="Times New Roman" w:hAnsi="Times New Roman"/>
                <w:sz w:val="20"/>
                <w:szCs w:val="20"/>
                <w:color w:val="auto"/>
              </w:rPr>
              <w:t>Miscellaneous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73"/>
              </w:rPr>
              <w:t>173</w:t>
            </w:r>
          </w:p>
        </w:tc>
        <w:tc>
          <w:tcPr>
            <w:tcW w:w="34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color w:val="0000FF"/>
              </w:rPr>
              <w:t>175</w:t>
            </w:r>
          </w:p>
        </w:tc>
        <w:tc>
          <w:tcPr>
            <w:tcW w:w="100" w:type="dxa"/>
            <w:vAlign w:val="bottom"/>
            <w:gridSpan w:val="5"/>
          </w:tcPr>
          <w:p>
            <w:pPr>
              <w:spacing w:after="0"/>
              <w:rPr>
                <w:sz w:val="24"/>
                <w:szCs w:val="24"/>
                <w:color w:val="auto"/>
              </w:rPr>
            </w:pPr>
          </w:p>
        </w:tc>
        <w:tc>
          <w:tcPr>
            <w:tcW w:w="300" w:type="dxa"/>
            <w:vAlign w:val="bottom"/>
            <w:tcBorders>
              <w:top w:val="single" w:sz="8" w:color="0000FF"/>
            </w:tcBorders>
            <w:gridSpan w:val="8"/>
          </w:tcPr>
          <w:p>
            <w:pPr>
              <w:spacing w:after="0"/>
              <w:rPr>
                <w:sz w:val="24"/>
                <w:szCs w:val="24"/>
                <w:color w:val="auto"/>
              </w:rPr>
            </w:pPr>
          </w:p>
        </w:tc>
        <w:tc>
          <w:tcPr>
            <w:tcW w:w="3720" w:type="dxa"/>
            <w:vAlign w:val="bottom"/>
            <w:gridSpan w:val="3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10.01</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Notices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9"/>
              </w:rPr>
              <w:t>173</w:t>
            </w:r>
          </w:p>
        </w:tc>
        <w:tc>
          <w:tcPr>
            <w:tcW w:w="3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color w:val="0000FF"/>
                <w:w w:val="93"/>
              </w:rPr>
              <w:t>175</w:t>
            </w:r>
          </w:p>
        </w:tc>
        <w:tc>
          <w:tcPr>
            <w:tcW w:w="4860" w:type="dxa"/>
            <w:vAlign w:val="bottom"/>
            <w:gridSpan w:val="6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 w:type="dxa"/>
            <w:vAlign w:val="bottom"/>
            <w:gridSpan w:val="3"/>
          </w:tcPr>
          <w:p>
            <w:pPr>
              <w:ind w:left="260"/>
              <w:spacing w:after="0" w:line="223" w:lineRule="exact"/>
              <w:rPr>
                <w:sz w:val="20"/>
                <w:szCs w:val="20"/>
                <w:color w:val="auto"/>
              </w:rPr>
            </w:pPr>
            <w:r>
              <w:rPr>
                <w:rFonts w:ascii="Times New Roman" w:cs="Times New Roman" w:eastAsia="Times New Roman" w:hAnsi="Times New Roman"/>
                <w:sz w:val="20"/>
                <w:szCs w:val="20"/>
                <w:color w:val="auto"/>
              </w:rPr>
              <w:t>10.02</w:t>
            </w:r>
          </w:p>
        </w:tc>
        <w:tc>
          <w:tcPr>
            <w:tcW w:w="8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Expenses</w:t>
            </w:r>
          </w:p>
        </w:tc>
        <w:tc>
          <w:tcPr>
            <w:tcW w:w="38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175</w:t>
            </w:r>
          </w:p>
        </w:tc>
        <w:tc>
          <w:tcPr>
            <w:tcW w:w="360" w:type="dxa"/>
            <w:vAlign w:val="bottom"/>
            <w:tcBorders>
              <w:bottom w:val="single" w:sz="8" w:color="0000FF"/>
            </w:tcBorders>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177</w:t>
            </w:r>
          </w:p>
        </w:tc>
        <w:tc>
          <w:tcPr>
            <w:tcW w:w="4660" w:type="dxa"/>
            <w:vAlign w:val="bottom"/>
            <w:gridSpan w:val="6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0" w:type="dxa"/>
            <w:vAlign w:val="bottom"/>
            <w:gridSpan w:val="3"/>
          </w:tcPr>
          <w:p>
            <w:pPr>
              <w:ind w:left="260"/>
              <w:spacing w:after="0" w:line="209" w:lineRule="exact"/>
              <w:rPr>
                <w:sz w:val="20"/>
                <w:szCs w:val="20"/>
                <w:color w:val="auto"/>
              </w:rPr>
            </w:pPr>
            <w:r>
              <w:rPr>
                <w:rFonts w:ascii="Times New Roman" w:cs="Times New Roman" w:eastAsia="Times New Roman" w:hAnsi="Times New Roman"/>
                <w:sz w:val="20"/>
                <w:szCs w:val="20"/>
                <w:color w:val="auto"/>
              </w:rPr>
              <w:t>10.03</w:t>
            </w:r>
          </w:p>
        </w:tc>
        <w:tc>
          <w:tcPr>
            <w:tcW w:w="102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20"/>
                <w:szCs w:val="20"/>
                <w:color w:val="auto"/>
              </w:rPr>
              <w:t>Indemnity</w:t>
            </w:r>
          </w:p>
        </w:tc>
        <w:tc>
          <w:tcPr>
            <w:tcW w:w="30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176</w:t>
            </w:r>
          </w:p>
        </w:tc>
        <w:tc>
          <w:tcPr>
            <w:tcW w:w="4960" w:type="dxa"/>
            <w:vAlign w:val="bottom"/>
            <w:gridSpan w:val="69"/>
          </w:tcPr>
          <w:p>
            <w:pPr>
              <w:jc w:val="right"/>
              <w:ind w:right="4660"/>
              <w:spacing w:after="0" w:line="209" w:lineRule="exact"/>
              <w:rPr>
                <w:sz w:val="20"/>
                <w:szCs w:val="20"/>
                <w:color w:val="auto"/>
              </w:rPr>
            </w:pPr>
            <w:r>
              <w:rPr>
                <w:rFonts w:ascii="Times New Roman" w:cs="Times New Roman" w:eastAsia="Times New Roman" w:hAnsi="Times New Roman"/>
                <w:sz w:val="20"/>
                <w:szCs w:val="20"/>
                <w:color w:val="0000FF"/>
                <w:w w:val="93"/>
              </w:rPr>
              <w:t>178</w:t>
            </w:r>
          </w:p>
        </w:tc>
        <w:tc>
          <w:tcPr>
            <w:tcW w:w="0" w:type="dxa"/>
            <w:vAlign w:val="bottom"/>
          </w:tcPr>
          <w:p>
            <w:pPr>
              <w:spacing w:after="0"/>
              <w:rPr>
                <w:sz w:val="1"/>
                <w:szCs w:val="1"/>
                <w:color w:val="auto"/>
              </w:rPr>
            </w:pPr>
          </w:p>
        </w:tc>
      </w:tr>
      <w:tr>
        <w:trPr>
          <w:trHeight w:val="20"/>
        </w:trPr>
        <w:tc>
          <w:tcPr>
            <w:tcW w:w="2520" w:type="dxa"/>
            <w:vAlign w:val="bottom"/>
            <w:tcBorders>
              <w:right w:val="single" w:sz="8" w:color="0000FF"/>
            </w:tcBorders>
            <w:gridSpan w:val="19"/>
          </w:tcPr>
          <w:p>
            <w:pPr>
              <w:spacing w:after="0" w:line="20" w:lineRule="exact"/>
              <w:rPr>
                <w:sz w:val="1"/>
                <w:szCs w:val="1"/>
                <w:color w:val="auto"/>
              </w:rPr>
            </w:pPr>
          </w:p>
        </w:tc>
        <w:tc>
          <w:tcPr>
            <w:tcW w:w="4660" w:type="dxa"/>
            <w:vAlign w:val="bottom"/>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gridSpan w:val="3"/>
          </w:tcPr>
          <w:p>
            <w:pPr>
              <w:ind w:left="260"/>
              <w:spacing w:after="0" w:line="223" w:lineRule="exact"/>
              <w:rPr>
                <w:sz w:val="20"/>
                <w:szCs w:val="20"/>
                <w:color w:val="auto"/>
              </w:rPr>
            </w:pPr>
            <w:r>
              <w:rPr>
                <w:rFonts w:ascii="Times New Roman" w:cs="Times New Roman" w:eastAsia="Times New Roman" w:hAnsi="Times New Roman"/>
                <w:sz w:val="20"/>
                <w:szCs w:val="20"/>
                <w:color w:val="auto"/>
              </w:rPr>
              <w:t>10.04</w:t>
            </w:r>
          </w:p>
        </w:tc>
        <w:tc>
          <w:tcPr>
            <w:tcW w:w="80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Set-Off</w:t>
            </w: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177</w:t>
            </w:r>
          </w:p>
        </w:tc>
        <w:tc>
          <w:tcPr>
            <w:tcW w:w="300" w:type="dxa"/>
            <w:vAlign w:val="bottom"/>
            <w:tcBorders>
              <w:bottom w:val="single" w:sz="8" w:color="0000FF"/>
            </w:tcBorders>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179</w:t>
            </w:r>
          </w:p>
        </w:tc>
        <w:tc>
          <w:tcPr>
            <w:tcW w:w="4880" w:type="dxa"/>
            <w:vAlign w:val="bottom"/>
            <w:gridSpan w:val="6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10.05</w:t>
            </w:r>
          </w:p>
        </w:tc>
        <w:tc>
          <w:tcPr>
            <w:tcW w:w="140" w:type="dxa"/>
            <w:vAlign w:val="bottom"/>
          </w:tcPr>
          <w:p>
            <w:pPr>
              <w:spacing w:after="0"/>
              <w:rPr>
                <w:sz w:val="18"/>
                <w:szCs w:val="18"/>
                <w:color w:val="auto"/>
              </w:rPr>
            </w:pPr>
          </w:p>
        </w:tc>
        <w:tc>
          <w:tcPr>
            <w:tcW w:w="2280" w:type="dxa"/>
            <w:vAlign w:val="bottom"/>
            <w:gridSpan w:val="33"/>
          </w:tcPr>
          <w:p>
            <w:pPr>
              <w:ind w:left="20"/>
              <w:spacing w:after="0" w:line="209" w:lineRule="exact"/>
              <w:rPr>
                <w:sz w:val="20"/>
                <w:szCs w:val="20"/>
                <w:color w:val="auto"/>
              </w:rPr>
            </w:pPr>
            <w:r>
              <w:rPr>
                <w:rFonts w:ascii="Times New Roman" w:cs="Times New Roman" w:eastAsia="Times New Roman" w:hAnsi="Times New Roman"/>
                <w:sz w:val="20"/>
                <w:szCs w:val="20"/>
                <w:color w:val="auto"/>
              </w:rPr>
              <w:t>Amendments and Waivers</w:t>
            </w:r>
          </w:p>
        </w:tc>
        <w:tc>
          <w:tcPr>
            <w:tcW w:w="320" w:type="dxa"/>
            <w:vAlign w:val="bottom"/>
            <w:gridSpan w:val="9"/>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177</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10.06</w:t>
            </w:r>
          </w:p>
        </w:tc>
        <w:tc>
          <w:tcPr>
            <w:tcW w:w="140" w:type="dxa"/>
            <w:vAlign w:val="bottom"/>
          </w:tcPr>
          <w:p>
            <w:pPr>
              <w:spacing w:after="0"/>
              <w:rPr>
                <w:sz w:val="19"/>
                <w:szCs w:val="19"/>
                <w:color w:val="auto"/>
              </w:rPr>
            </w:pPr>
          </w:p>
        </w:tc>
        <w:tc>
          <w:tcPr>
            <w:tcW w:w="3300" w:type="dxa"/>
            <w:vAlign w:val="bottom"/>
            <w:gridSpan w:val="50"/>
          </w:tcPr>
          <w:p>
            <w:pPr>
              <w:ind w:left="20"/>
              <w:spacing w:after="0" w:line="223" w:lineRule="exact"/>
              <w:rPr>
                <w:sz w:val="20"/>
                <w:szCs w:val="20"/>
                <w:color w:val="auto"/>
              </w:rPr>
            </w:pPr>
            <w:r>
              <w:rPr>
                <w:rFonts w:ascii="Times New Roman" w:cs="Times New Roman" w:eastAsia="Times New Roman" w:hAnsi="Times New Roman"/>
                <w:sz w:val="20"/>
                <w:szCs w:val="20"/>
                <w:color w:val="auto"/>
              </w:rPr>
              <w:t>Successors and Assigns; Participations</w:t>
            </w:r>
          </w:p>
        </w:tc>
        <w:tc>
          <w:tcPr>
            <w:tcW w:w="28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181</w:t>
            </w:r>
          </w:p>
        </w:tc>
        <w:tc>
          <w:tcPr>
            <w:tcW w:w="3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10.07</w:t>
            </w:r>
          </w:p>
        </w:tc>
        <w:tc>
          <w:tcPr>
            <w:tcW w:w="140" w:type="dxa"/>
            <w:vAlign w:val="bottom"/>
          </w:tcPr>
          <w:p>
            <w:pPr>
              <w:spacing w:after="0"/>
              <w:rPr>
                <w:sz w:val="19"/>
                <w:szCs w:val="19"/>
                <w:color w:val="auto"/>
              </w:rPr>
            </w:pPr>
          </w:p>
        </w:tc>
        <w:tc>
          <w:tcPr>
            <w:tcW w:w="4340" w:type="dxa"/>
            <w:vAlign w:val="bottom"/>
            <w:gridSpan w:val="65"/>
          </w:tcPr>
          <w:p>
            <w:pPr>
              <w:ind w:left="20"/>
              <w:spacing w:after="0" w:line="223" w:lineRule="exact"/>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189</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191</w:t>
            </w:r>
          </w:p>
        </w:tc>
        <w:tc>
          <w:tcPr>
            <w:tcW w:w="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2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10.08</w:t>
            </w:r>
          </w:p>
        </w:tc>
        <w:tc>
          <w:tcPr>
            <w:tcW w:w="140" w:type="dxa"/>
            <w:vAlign w:val="bottom"/>
          </w:tcPr>
          <w:p>
            <w:pPr>
              <w:spacing w:after="0"/>
              <w:rPr>
                <w:sz w:val="18"/>
                <w:szCs w:val="18"/>
                <w:color w:val="auto"/>
              </w:rPr>
            </w:pPr>
          </w:p>
        </w:tc>
        <w:tc>
          <w:tcPr>
            <w:tcW w:w="4700" w:type="dxa"/>
            <w:vAlign w:val="bottom"/>
            <w:gridSpan w:val="68"/>
          </w:tcPr>
          <w:p>
            <w:pPr>
              <w:ind w:left="20"/>
              <w:spacing w:after="0" w:line="209" w:lineRule="exact"/>
              <w:rPr>
                <w:sz w:val="20"/>
                <w:szCs w:val="20"/>
                <w:color w:val="auto"/>
              </w:rPr>
            </w:pPr>
            <w:r>
              <w:rPr>
                <w:rFonts w:ascii="Times New Roman" w:cs="Times New Roman" w:eastAsia="Times New Roman" w:hAnsi="Times New Roman"/>
                <w:sz w:val="20"/>
                <w:szCs w:val="20"/>
                <w:color w:val="auto"/>
              </w:rPr>
              <w:t>Survival of Representations, Warranties and Agreements</w:t>
            </w:r>
          </w:p>
        </w:tc>
        <w:tc>
          <w:tcPr>
            <w:tcW w:w="3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189</w:t>
            </w:r>
          </w:p>
        </w:tc>
        <w:tc>
          <w:tcPr>
            <w:tcW w:w="420" w:type="dxa"/>
            <w:vAlign w:val="bottom"/>
            <w:gridSpan w:val="3"/>
          </w:tcPr>
          <w:p>
            <w:pPr>
              <w:jc w:val="right"/>
              <w:ind w:right="120"/>
              <w:spacing w:after="0" w:line="209" w:lineRule="exact"/>
              <w:rPr>
                <w:sz w:val="20"/>
                <w:szCs w:val="20"/>
                <w:color w:val="auto"/>
              </w:rPr>
            </w:pPr>
            <w:r>
              <w:rPr>
                <w:rFonts w:ascii="Times New Roman" w:cs="Times New Roman" w:eastAsia="Times New Roman" w:hAnsi="Times New Roman"/>
                <w:sz w:val="20"/>
                <w:szCs w:val="20"/>
                <w:color w:val="0000FF"/>
                <w:w w:val="93"/>
              </w:rPr>
              <w:t>191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10.09</w:t>
            </w:r>
          </w:p>
        </w:tc>
        <w:tc>
          <w:tcPr>
            <w:tcW w:w="140" w:type="dxa"/>
            <w:vAlign w:val="bottom"/>
          </w:tcPr>
          <w:p>
            <w:pPr>
              <w:spacing w:after="0"/>
              <w:rPr>
                <w:sz w:val="19"/>
                <w:szCs w:val="19"/>
                <w:color w:val="auto"/>
              </w:rPr>
            </w:pPr>
          </w:p>
        </w:tc>
        <w:tc>
          <w:tcPr>
            <w:tcW w:w="2820" w:type="dxa"/>
            <w:vAlign w:val="bottom"/>
            <w:gridSpan w:val="45"/>
          </w:tcPr>
          <w:p>
            <w:pPr>
              <w:ind w:left="20"/>
              <w:spacing w:after="0" w:line="223" w:lineRule="exact"/>
              <w:rPr>
                <w:sz w:val="20"/>
                <w:szCs w:val="20"/>
                <w:color w:val="auto"/>
              </w:rPr>
            </w:pPr>
            <w:r>
              <w:rPr>
                <w:rFonts w:ascii="Times New Roman" w:cs="Times New Roman" w:eastAsia="Times New Roman" w:hAnsi="Times New Roman"/>
                <w:sz w:val="20"/>
                <w:szCs w:val="20"/>
                <w:color w:val="auto"/>
              </w:rPr>
              <w:t>No Waiver; Remedies Cumulative</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189</w:t>
            </w:r>
          </w:p>
        </w:tc>
        <w:tc>
          <w:tcPr>
            <w:tcW w:w="26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0000FF"/>
                <w:w w:val="70"/>
              </w:rPr>
              <w:t>191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right w:val="single" w:sz="8" w:color="0000FF"/>
            </w:tcBorders>
            <w:gridSpan w:val="53"/>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27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10.10</w:t>
            </w:r>
          </w:p>
        </w:tc>
        <w:tc>
          <w:tcPr>
            <w:tcW w:w="140" w:type="dxa"/>
            <w:vAlign w:val="bottom"/>
          </w:tcPr>
          <w:p>
            <w:pPr>
              <w:spacing w:after="0"/>
              <w:rPr>
                <w:sz w:val="18"/>
                <w:szCs w:val="18"/>
                <w:color w:val="auto"/>
              </w:rPr>
            </w:pPr>
          </w:p>
        </w:tc>
        <w:tc>
          <w:tcPr>
            <w:tcW w:w="2820" w:type="dxa"/>
            <w:vAlign w:val="bottom"/>
            <w:gridSpan w:val="45"/>
          </w:tcPr>
          <w:p>
            <w:pPr>
              <w:ind w:left="20"/>
              <w:spacing w:after="0" w:line="209" w:lineRule="exact"/>
              <w:rPr>
                <w:sz w:val="20"/>
                <w:szCs w:val="20"/>
                <w:color w:val="auto"/>
              </w:rPr>
            </w:pPr>
            <w:r>
              <w:rPr>
                <w:rFonts w:ascii="Times New Roman" w:cs="Times New Roman" w:eastAsia="Times New Roman" w:hAnsi="Times New Roman"/>
                <w:sz w:val="20"/>
                <w:szCs w:val="20"/>
                <w:color w:val="auto"/>
              </w:rPr>
              <w:t>Marshalling; Payments Set Aside</w:t>
            </w:r>
          </w:p>
        </w:tc>
        <w:tc>
          <w:tcPr>
            <w:tcW w:w="20" w:type="dxa"/>
            <w:vAlign w:val="bottom"/>
          </w:tcPr>
          <w:p>
            <w:pPr>
              <w:spacing w:after="0"/>
              <w:rPr>
                <w:sz w:val="18"/>
                <w:szCs w:val="18"/>
                <w:color w:val="auto"/>
              </w:rPr>
            </w:pPr>
          </w:p>
        </w:tc>
        <w:tc>
          <w:tcPr>
            <w:tcW w:w="32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190</w:t>
            </w:r>
          </w:p>
        </w:tc>
        <w:tc>
          <w:tcPr>
            <w:tcW w:w="360" w:type="dxa"/>
            <w:vAlign w:val="bottom"/>
            <w:gridSpan w:val="5"/>
          </w:tcPr>
          <w:p>
            <w:pPr>
              <w:jc w:val="right"/>
              <w:ind w:right="60"/>
              <w:spacing w:after="0" w:line="209" w:lineRule="exact"/>
              <w:rPr>
                <w:sz w:val="20"/>
                <w:szCs w:val="20"/>
                <w:color w:val="auto"/>
              </w:rPr>
            </w:pPr>
            <w:r>
              <w:rPr>
                <w:rFonts w:ascii="Times New Roman" w:cs="Times New Roman" w:eastAsia="Times New Roman" w:hAnsi="Times New Roman"/>
                <w:sz w:val="20"/>
                <w:szCs w:val="20"/>
                <w:color w:val="0000FF"/>
                <w:w w:val="93"/>
              </w:rPr>
              <w:t>192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gridSpan w:val="9"/>
          </w:tcPr>
          <w:p>
            <w:pPr>
              <w:ind w:left="260"/>
              <w:spacing w:after="0" w:line="223" w:lineRule="exact"/>
              <w:rPr>
                <w:sz w:val="20"/>
                <w:szCs w:val="20"/>
                <w:color w:val="auto"/>
              </w:rPr>
            </w:pPr>
            <w:r>
              <w:rPr>
                <w:rFonts w:ascii="Times New Roman" w:cs="Times New Roman" w:eastAsia="Times New Roman" w:hAnsi="Times New Roman"/>
                <w:sz w:val="20"/>
                <w:szCs w:val="20"/>
                <w:color w:val="auto"/>
              </w:rPr>
              <w:t>10.11  Severability</w:t>
            </w: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190</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192</w:t>
            </w:r>
          </w:p>
        </w:tc>
        <w:tc>
          <w:tcPr>
            <w:tcW w:w="1400" w:type="dxa"/>
            <w:vAlign w:val="bottom"/>
            <w:gridSpan w:val="31"/>
          </w:tcPr>
          <w:p>
            <w:pPr>
              <w:spacing w:after="0"/>
              <w:rPr>
                <w:sz w:val="19"/>
                <w:szCs w:val="19"/>
                <w:color w:val="auto"/>
              </w:rPr>
            </w:pPr>
          </w:p>
        </w:tc>
        <w:tc>
          <w:tcPr>
            <w:tcW w:w="360" w:type="dxa"/>
            <w:vAlign w:val="bottom"/>
            <w:tcBorders>
              <w:top w:val="single" w:sz="8" w:color="0000FF"/>
            </w:tcBorders>
            <w:gridSpan w:val="5"/>
          </w:tcPr>
          <w:p>
            <w:pPr>
              <w:spacing w:after="0"/>
              <w:rPr>
                <w:sz w:val="19"/>
                <w:szCs w:val="19"/>
                <w:color w:val="auto"/>
              </w:rPr>
            </w:pPr>
          </w:p>
        </w:tc>
        <w:tc>
          <w:tcPr>
            <w:tcW w:w="276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10.12</w:t>
            </w:r>
          </w:p>
        </w:tc>
        <w:tc>
          <w:tcPr>
            <w:tcW w:w="140" w:type="dxa"/>
            <w:vAlign w:val="bottom"/>
          </w:tcPr>
          <w:p>
            <w:pPr>
              <w:spacing w:after="0"/>
              <w:rPr>
                <w:sz w:val="19"/>
                <w:szCs w:val="19"/>
                <w:color w:val="auto"/>
              </w:rPr>
            </w:pPr>
          </w:p>
        </w:tc>
        <w:tc>
          <w:tcPr>
            <w:tcW w:w="3300" w:type="dxa"/>
            <w:vAlign w:val="bottom"/>
            <w:gridSpan w:val="50"/>
          </w:tcPr>
          <w:p>
            <w:pPr>
              <w:ind w:left="20"/>
              <w:spacing w:after="0" w:line="223" w:lineRule="exact"/>
              <w:rPr>
                <w:sz w:val="20"/>
                <w:szCs w:val="20"/>
                <w:color w:val="auto"/>
              </w:rPr>
            </w:pPr>
            <w:r>
              <w:rPr>
                <w:rFonts w:ascii="Times New Roman" w:cs="Times New Roman" w:eastAsia="Times New Roman" w:hAnsi="Times New Roman"/>
                <w:sz w:val="20"/>
                <w:szCs w:val="20"/>
                <w:color w:val="auto"/>
              </w:rPr>
              <w:t>Obligations Several; Actions in Concert</w:t>
            </w:r>
          </w:p>
        </w:tc>
        <w:tc>
          <w:tcPr>
            <w:tcW w:w="80" w:type="dxa"/>
            <w:vAlign w:val="bottom"/>
          </w:tcPr>
          <w:p>
            <w:pPr>
              <w:spacing w:after="0"/>
              <w:rPr>
                <w:sz w:val="19"/>
                <w:szCs w:val="19"/>
                <w:color w:val="auto"/>
              </w:rPr>
            </w:pP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190</w:t>
            </w:r>
          </w:p>
        </w:tc>
        <w:tc>
          <w:tcPr>
            <w:tcW w:w="3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0" w:type="dxa"/>
            <w:vAlign w:val="bottom"/>
            <w:gridSpan w:val="3"/>
          </w:tcPr>
          <w:p>
            <w:pPr>
              <w:ind w:left="260"/>
              <w:spacing w:after="0" w:line="209" w:lineRule="exact"/>
              <w:rPr>
                <w:sz w:val="20"/>
                <w:szCs w:val="20"/>
                <w:color w:val="auto"/>
              </w:rPr>
            </w:pPr>
            <w:r>
              <w:rPr>
                <w:rFonts w:ascii="Times New Roman" w:cs="Times New Roman" w:eastAsia="Times New Roman" w:hAnsi="Times New Roman"/>
                <w:sz w:val="20"/>
                <w:szCs w:val="20"/>
                <w:color w:val="auto"/>
              </w:rPr>
              <w:t>10.13</w:t>
            </w:r>
          </w:p>
        </w:tc>
        <w:tc>
          <w:tcPr>
            <w:tcW w:w="8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0"/>
                <w:szCs w:val="20"/>
                <w:color w:val="auto"/>
              </w:rPr>
              <w:t>Headings</w:t>
            </w:r>
          </w:p>
        </w:tc>
        <w:tc>
          <w:tcPr>
            <w:tcW w:w="38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191</w:t>
            </w:r>
          </w:p>
        </w:tc>
        <w:tc>
          <w:tcPr>
            <w:tcW w:w="36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193</w:t>
            </w:r>
          </w:p>
        </w:tc>
        <w:tc>
          <w:tcPr>
            <w:tcW w:w="4660" w:type="dxa"/>
            <w:vAlign w:val="bottom"/>
            <w:gridSpan w:val="6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19"/>
                <w:szCs w:val="19"/>
                <w:color w:val="auto"/>
              </w:rPr>
            </w:pPr>
          </w:p>
        </w:tc>
        <w:tc>
          <w:tcPr>
            <w:tcW w:w="182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auto"/>
              </w:rPr>
              <w:t>APPLICABLE LAW</w:t>
            </w:r>
          </w:p>
        </w:tc>
        <w:tc>
          <w:tcPr>
            <w:tcW w:w="360" w:type="dxa"/>
            <w:vAlign w:val="bottom"/>
            <w:gridSpan w:val="9"/>
          </w:tcPr>
          <w:p>
            <w:pPr>
              <w:ind w:left="80"/>
              <w:spacing w:after="0" w:line="223" w:lineRule="exact"/>
              <w:rPr>
                <w:sz w:val="20"/>
                <w:szCs w:val="20"/>
                <w:color w:val="auto"/>
              </w:rPr>
            </w:pPr>
            <w:r>
              <w:rPr>
                <w:rFonts w:ascii="Times New Roman" w:cs="Times New Roman" w:eastAsia="Times New Roman" w:hAnsi="Times New Roman"/>
                <w:sz w:val="20"/>
                <w:szCs w:val="20"/>
                <w:color w:val="FF0000"/>
                <w:strike w:val="1"/>
                <w:w w:val="86"/>
              </w:rPr>
              <w:t>191</w:t>
            </w:r>
          </w:p>
        </w:tc>
        <w:tc>
          <w:tcPr>
            <w:tcW w:w="360" w:type="dxa"/>
            <w:vAlign w:val="bottom"/>
            <w:gridSpan w:val="11"/>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15"/>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10.15</w:t>
            </w:r>
          </w:p>
        </w:tc>
        <w:tc>
          <w:tcPr>
            <w:tcW w:w="140" w:type="dxa"/>
            <w:vAlign w:val="bottom"/>
          </w:tcPr>
          <w:p>
            <w:pPr>
              <w:spacing w:after="0"/>
              <w:rPr>
                <w:sz w:val="18"/>
                <w:szCs w:val="18"/>
                <w:color w:val="auto"/>
              </w:rPr>
            </w:pPr>
          </w:p>
        </w:tc>
        <w:tc>
          <w:tcPr>
            <w:tcW w:w="5420" w:type="dxa"/>
            <w:vAlign w:val="bottom"/>
            <w:gridSpan w:val="73"/>
          </w:tcPr>
          <w:p>
            <w:pPr>
              <w:ind w:left="20"/>
              <w:spacing w:after="0" w:line="209" w:lineRule="exact"/>
              <w:rPr>
                <w:sz w:val="20"/>
                <w:szCs w:val="20"/>
                <w:color w:val="auto"/>
              </w:rPr>
            </w:pPr>
            <w:r>
              <w:rPr>
                <w:rFonts w:ascii="Times New Roman" w:cs="Times New Roman" w:eastAsia="Times New Roman" w:hAnsi="Times New Roman"/>
                <w:sz w:val="20"/>
                <w:szCs w:val="20"/>
                <w:color w:val="auto"/>
              </w:rPr>
              <w:t>CONSENT TO JURISDICTION, SERVICE OF PROCESS, ETC</w:t>
            </w: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191</w:t>
            </w:r>
          </w:p>
        </w:tc>
        <w:tc>
          <w:tcPr>
            <w:tcW w:w="28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86"/>
              </w:rPr>
              <w:t>193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19"/>
                <w:szCs w:val="19"/>
                <w:color w:val="auto"/>
              </w:rPr>
            </w:pPr>
          </w:p>
        </w:tc>
        <w:tc>
          <w:tcPr>
            <w:tcW w:w="2280" w:type="dxa"/>
            <w:vAlign w:val="bottom"/>
            <w:gridSpan w:val="33"/>
          </w:tcPr>
          <w:p>
            <w:pPr>
              <w:ind w:left="20"/>
              <w:spacing w:after="0" w:line="223" w:lineRule="exact"/>
              <w:rPr>
                <w:sz w:val="20"/>
                <w:szCs w:val="20"/>
                <w:color w:val="auto"/>
              </w:rPr>
            </w:pPr>
            <w:r>
              <w:rPr>
                <w:rFonts w:ascii="Times New Roman" w:cs="Times New Roman" w:eastAsia="Times New Roman" w:hAnsi="Times New Roman"/>
                <w:sz w:val="20"/>
                <w:szCs w:val="20"/>
                <w:color w:val="auto"/>
                <w:w w:val="97"/>
              </w:rPr>
              <w:t>WAIVER OF JURY TRIAL</w:t>
            </w:r>
          </w:p>
        </w:tc>
        <w:tc>
          <w:tcPr>
            <w:tcW w:w="200" w:type="dxa"/>
            <w:vAlign w:val="bottom"/>
            <w:gridSpan w:val="5"/>
          </w:tcPr>
          <w:p>
            <w:pPr>
              <w:spacing w:after="0"/>
              <w:rPr>
                <w:sz w:val="19"/>
                <w:szCs w:val="19"/>
                <w:color w:val="auto"/>
              </w:rPr>
            </w:pPr>
          </w:p>
        </w:tc>
        <w:tc>
          <w:tcPr>
            <w:tcW w:w="26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192</w:t>
            </w:r>
          </w:p>
        </w:tc>
        <w:tc>
          <w:tcPr>
            <w:tcW w:w="420" w:type="dxa"/>
            <w:vAlign w:val="bottom"/>
            <w:gridSpan w:val="5"/>
          </w:tcPr>
          <w:p>
            <w:pPr>
              <w:jc w:val="right"/>
              <w:ind w:right="21"/>
              <w:spacing w:after="0" w:line="223" w:lineRule="exact"/>
              <w:rPr>
                <w:sz w:val="20"/>
                <w:szCs w:val="20"/>
                <w:color w:val="auto"/>
              </w:rPr>
            </w:pPr>
            <w:r>
              <w:rPr>
                <w:rFonts w:ascii="Times New Roman" w:cs="Times New Roman" w:eastAsia="Times New Roman" w:hAnsi="Times New Roman"/>
                <w:sz w:val="20"/>
                <w:szCs w:val="20"/>
                <w:color w:val="0000FF"/>
                <w:w w:val="93"/>
              </w:rPr>
              <w:t>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0" w:type="dxa"/>
            <w:vAlign w:val="bottom"/>
            <w:gridSpan w:val="3"/>
          </w:tcPr>
          <w:p>
            <w:pPr>
              <w:ind w:left="260"/>
              <w:spacing w:after="0" w:line="209" w:lineRule="exact"/>
              <w:rPr>
                <w:sz w:val="20"/>
                <w:szCs w:val="20"/>
                <w:color w:val="auto"/>
              </w:rPr>
            </w:pPr>
            <w:r>
              <w:rPr>
                <w:rFonts w:ascii="Times New Roman" w:cs="Times New Roman" w:eastAsia="Times New Roman" w:hAnsi="Times New Roman"/>
                <w:sz w:val="20"/>
                <w:szCs w:val="20"/>
                <w:color w:val="auto"/>
              </w:rPr>
              <w:t>10.17</w:t>
            </w:r>
          </w:p>
        </w:tc>
        <w:tc>
          <w:tcPr>
            <w:tcW w:w="1420" w:type="dxa"/>
            <w:vAlign w:val="bottom"/>
            <w:gridSpan w:val="12"/>
          </w:tcPr>
          <w:p>
            <w:pPr>
              <w:ind w:left="20"/>
              <w:spacing w:after="0" w:line="209" w:lineRule="exact"/>
              <w:rPr>
                <w:sz w:val="20"/>
                <w:szCs w:val="20"/>
                <w:color w:val="auto"/>
              </w:rPr>
            </w:pPr>
            <w:r>
              <w:rPr>
                <w:rFonts w:ascii="Times New Roman" w:cs="Times New Roman" w:eastAsia="Times New Roman" w:hAnsi="Times New Roman"/>
                <w:sz w:val="20"/>
                <w:szCs w:val="20"/>
                <w:color w:val="auto"/>
              </w:rPr>
              <w:t>Confidentiality</w:t>
            </w:r>
          </w:p>
        </w:tc>
        <w:tc>
          <w:tcPr>
            <w:tcW w:w="280" w:type="dxa"/>
            <w:vAlign w:val="bottom"/>
            <w:gridSpan w:val="5"/>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6"/>
              </w:rPr>
              <w:t>192</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194</w:t>
            </w:r>
          </w:p>
        </w:tc>
        <w:tc>
          <w:tcPr>
            <w:tcW w:w="740" w:type="dxa"/>
            <w:vAlign w:val="bottom"/>
            <w:gridSpan w:val="20"/>
          </w:tcPr>
          <w:p>
            <w:pPr>
              <w:spacing w:after="0"/>
              <w:rPr>
                <w:sz w:val="18"/>
                <w:szCs w:val="18"/>
                <w:color w:val="auto"/>
              </w:rPr>
            </w:pPr>
          </w:p>
        </w:tc>
        <w:tc>
          <w:tcPr>
            <w:tcW w:w="420" w:type="dxa"/>
            <w:vAlign w:val="bottom"/>
            <w:tcBorders>
              <w:top w:val="single" w:sz="8" w:color="0000FF"/>
            </w:tcBorders>
            <w:gridSpan w:val="5"/>
          </w:tcPr>
          <w:p>
            <w:pPr>
              <w:spacing w:after="0"/>
              <w:rPr>
                <w:sz w:val="18"/>
                <w:szCs w:val="18"/>
                <w:color w:val="auto"/>
              </w:rPr>
            </w:pPr>
          </w:p>
        </w:tc>
        <w:tc>
          <w:tcPr>
            <w:tcW w:w="312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10.18</w:t>
            </w:r>
          </w:p>
        </w:tc>
        <w:tc>
          <w:tcPr>
            <w:tcW w:w="140" w:type="dxa"/>
            <w:vAlign w:val="bottom"/>
          </w:tcPr>
          <w:p>
            <w:pPr>
              <w:spacing w:after="0"/>
              <w:rPr>
                <w:sz w:val="19"/>
                <w:szCs w:val="19"/>
                <w:color w:val="auto"/>
              </w:rPr>
            </w:pPr>
          </w:p>
        </w:tc>
        <w:tc>
          <w:tcPr>
            <w:tcW w:w="182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auto"/>
                <w:w w:val="99"/>
              </w:rPr>
              <w:t>Usury Savings Clause</w:t>
            </w: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193</w:t>
            </w:r>
          </w:p>
        </w:tc>
        <w:tc>
          <w:tcPr>
            <w:tcW w:w="300" w:type="dxa"/>
            <w:vAlign w:val="bottom"/>
            <w:tcBorders>
              <w:bottom w:val="single" w:sz="8" w:color="0000FF"/>
            </w:tcBorders>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260"/>
              <w:spacing w:after="0" w:line="223" w:lineRule="exact"/>
              <w:rPr>
                <w:sz w:val="20"/>
                <w:szCs w:val="20"/>
                <w:color w:val="auto"/>
              </w:rPr>
            </w:pPr>
            <w:r>
              <w:rPr>
                <w:rFonts w:ascii="Times New Roman" w:cs="Times New Roman" w:eastAsia="Times New Roman" w:hAnsi="Times New Roman"/>
                <w:sz w:val="20"/>
                <w:szCs w:val="20"/>
                <w:color w:val="auto"/>
              </w:rPr>
              <w:t>10.19</w:t>
            </w:r>
          </w:p>
        </w:tc>
        <w:tc>
          <w:tcPr>
            <w:tcW w:w="140" w:type="dxa"/>
            <w:vAlign w:val="bottom"/>
          </w:tcPr>
          <w:p>
            <w:pPr>
              <w:spacing w:after="0"/>
              <w:rPr>
                <w:sz w:val="19"/>
                <w:szCs w:val="19"/>
                <w:color w:val="auto"/>
              </w:rPr>
            </w:pPr>
          </w:p>
        </w:tc>
        <w:tc>
          <w:tcPr>
            <w:tcW w:w="124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auto"/>
              </w:rPr>
              <w:t>Counterparts</w:t>
            </w:r>
          </w:p>
        </w:tc>
        <w:tc>
          <w:tcPr>
            <w:tcW w:w="38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194</w:t>
            </w:r>
          </w:p>
        </w:tc>
        <w:tc>
          <w:tcPr>
            <w:tcW w:w="320" w:type="dxa"/>
            <w:vAlign w:val="bottom"/>
            <w:gridSpan w:val="6"/>
          </w:tcPr>
          <w:p>
            <w:pPr>
              <w:jc w:val="right"/>
              <w:ind w:right="21"/>
              <w:spacing w:after="0"/>
              <w:rPr>
                <w:sz w:val="20"/>
                <w:szCs w:val="20"/>
                <w:color w:val="auto"/>
              </w:rPr>
            </w:pPr>
            <w:r>
              <w:rPr>
                <w:rFonts w:ascii="Times New Roman" w:cs="Times New Roman" w:eastAsia="Times New Roman" w:hAnsi="Times New Roman"/>
                <w:sz w:val="16"/>
                <w:szCs w:val="16"/>
                <w:color w:val="0000FF"/>
                <w:w w:val="74"/>
              </w:rPr>
              <w:t>196</w:t>
            </w:r>
          </w:p>
        </w:tc>
        <w:tc>
          <w:tcPr>
            <w:tcW w:w="2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120" w:type="dxa"/>
            <w:vAlign w:val="bottom"/>
            <w:gridSpan w:val="5"/>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ind w:left="260"/>
              <w:spacing w:after="0" w:line="209" w:lineRule="exact"/>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18"/>
                <w:szCs w:val="18"/>
                <w:color w:val="auto"/>
              </w:rPr>
            </w:pPr>
          </w:p>
        </w:tc>
        <w:tc>
          <w:tcPr>
            <w:tcW w:w="2240" w:type="dxa"/>
            <w:vAlign w:val="bottom"/>
            <w:gridSpan w:val="31"/>
          </w:tcPr>
          <w:p>
            <w:pPr>
              <w:ind w:left="20"/>
              <w:spacing w:after="0" w:line="209" w:lineRule="exact"/>
              <w:rPr>
                <w:sz w:val="20"/>
                <w:szCs w:val="20"/>
                <w:color w:val="auto"/>
              </w:rPr>
            </w:pPr>
            <w:r>
              <w:rPr>
                <w:rFonts w:ascii="Times New Roman" w:cs="Times New Roman" w:eastAsia="Times New Roman" w:hAnsi="Times New Roman"/>
                <w:sz w:val="20"/>
                <w:szCs w:val="20"/>
                <w:color w:val="auto"/>
              </w:rPr>
              <w:t>Effectiveness; Integration</w:t>
            </w:r>
          </w:p>
        </w:tc>
        <w:tc>
          <w:tcPr>
            <w:tcW w:w="300" w:type="dxa"/>
            <w:vAlign w:val="bottom"/>
            <w:gridSpan w:val="8"/>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194</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196</w:t>
            </w:r>
          </w:p>
        </w:tc>
        <w:tc>
          <w:tcPr>
            <w:tcW w:w="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gridSpan w:val="3"/>
          </w:tcPr>
          <w:p>
            <w:pPr>
              <w:ind w:left="260"/>
              <w:spacing w:after="0" w:line="223" w:lineRule="exact"/>
              <w:rPr>
                <w:sz w:val="20"/>
                <w:szCs w:val="20"/>
                <w:color w:val="auto"/>
              </w:rPr>
            </w:pPr>
            <w:r>
              <w:rPr>
                <w:rFonts w:ascii="Times New Roman" w:cs="Times New Roman" w:eastAsia="Times New Roman" w:hAnsi="Times New Roman"/>
                <w:sz w:val="20"/>
                <w:szCs w:val="20"/>
                <w:color w:val="auto"/>
              </w:rPr>
              <w:t>10.21</w:t>
            </w:r>
          </w:p>
        </w:tc>
        <w:tc>
          <w:tcPr>
            <w:tcW w:w="1320" w:type="dxa"/>
            <w:vAlign w:val="bottom"/>
            <w:gridSpan w:val="10"/>
          </w:tcPr>
          <w:p>
            <w:pPr>
              <w:ind w:left="20"/>
              <w:spacing w:after="0" w:line="223" w:lineRule="exact"/>
              <w:rPr>
                <w:sz w:val="20"/>
                <w:szCs w:val="20"/>
                <w:color w:val="auto"/>
              </w:rPr>
            </w:pPr>
            <w:r>
              <w:rPr>
                <w:rFonts w:ascii="Times New Roman" w:cs="Times New Roman" w:eastAsia="Times New Roman" w:hAnsi="Times New Roman"/>
                <w:sz w:val="20"/>
                <w:szCs w:val="20"/>
                <w:color w:val="auto"/>
              </w:rPr>
              <w:t>PATRIOT Act</w:t>
            </w:r>
          </w:p>
        </w:tc>
        <w:tc>
          <w:tcPr>
            <w:tcW w:w="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194</w:t>
            </w:r>
          </w:p>
        </w:tc>
        <w:tc>
          <w:tcPr>
            <w:tcW w:w="320" w:type="dxa"/>
            <w:vAlign w:val="bottom"/>
            <w:tcBorders>
              <w:bottom w:val="single" w:sz="8" w:color="0000FF"/>
            </w:tcBorders>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0000FF"/>
                <w:w w:val="99"/>
              </w:rPr>
              <w:t>196</w:t>
            </w:r>
          </w:p>
        </w:tc>
        <w:tc>
          <w:tcPr>
            <w:tcW w:w="4340" w:type="dxa"/>
            <w:vAlign w:val="bottom"/>
            <w:gridSpan w:val="5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1031" w:right="33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10.22</w:t>
            </w:r>
          </w:p>
        </w:tc>
        <w:tc>
          <w:tcPr>
            <w:tcW w:w="6240" w:type="dxa"/>
            <w:vAlign w:val="bottom"/>
            <w:gridSpan w:val="16"/>
            <w:vMerge w:val="restart"/>
          </w:tcPr>
          <w:p>
            <w:pPr>
              <w:ind w:left="2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6"/>
              </w:rPr>
              <w:t>195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197</w:t>
            </w:r>
          </w:p>
        </w:tc>
        <w:tc>
          <w:tcPr>
            <w:tcW w:w="0" w:type="dxa"/>
            <w:vAlign w:val="bottom"/>
          </w:tcPr>
          <w:p>
            <w:pPr>
              <w:spacing w:after="0"/>
              <w:rPr>
                <w:sz w:val="1"/>
                <w:szCs w:val="1"/>
                <w:color w:val="auto"/>
              </w:rPr>
            </w:pPr>
          </w:p>
        </w:tc>
      </w:tr>
      <w:tr>
        <w:trPr>
          <w:trHeight w:val="195"/>
        </w:trPr>
        <w:tc>
          <w:tcPr>
            <w:tcW w:w="900" w:type="dxa"/>
            <w:vAlign w:val="bottom"/>
            <w:vMerge w:val="continue"/>
          </w:tcPr>
          <w:p>
            <w:pPr>
              <w:spacing w:after="0"/>
              <w:rPr>
                <w:sz w:val="16"/>
                <w:szCs w:val="16"/>
                <w:color w:val="auto"/>
              </w:rPr>
            </w:pPr>
          </w:p>
        </w:tc>
        <w:tc>
          <w:tcPr>
            <w:tcW w:w="6240" w:type="dxa"/>
            <w:vAlign w:val="bottom"/>
            <w:gridSpan w:val="16"/>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10.23</w:t>
            </w:r>
          </w:p>
        </w:tc>
        <w:tc>
          <w:tcPr>
            <w:tcW w:w="3460" w:type="dxa"/>
            <w:vAlign w:val="bottom"/>
            <w:gridSpan w:val="7"/>
          </w:tcPr>
          <w:p>
            <w:pPr>
              <w:ind w:left="20"/>
              <w:spacing w:after="0" w:line="223" w:lineRule="exact"/>
              <w:rPr>
                <w:sz w:val="20"/>
                <w:szCs w:val="20"/>
                <w:color w:val="auto"/>
              </w:rPr>
            </w:pPr>
            <w:r>
              <w:rPr>
                <w:rFonts w:ascii="Times New Roman" w:cs="Times New Roman" w:eastAsia="Times New Roman" w:hAnsi="Times New Roman"/>
                <w:sz w:val="20"/>
                <w:szCs w:val="20"/>
                <w:color w:val="auto"/>
              </w:rPr>
              <w:t>No Advisory or Fiduciary Responsibility</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195</w:t>
            </w:r>
          </w:p>
        </w:tc>
        <w:tc>
          <w:tcPr>
            <w:tcW w:w="280" w:type="dxa"/>
            <w:vAlign w:val="bottom"/>
            <w:tcBorders>
              <w:bottom w:val="single" w:sz="8" w:color="0000FF"/>
            </w:tcBorders>
          </w:tcPr>
          <w:p>
            <w:pPr>
              <w:jc w:val="right"/>
              <w:spacing w:after="0" w:line="223" w:lineRule="exact"/>
              <w:rPr>
                <w:sz w:val="20"/>
                <w:szCs w:val="20"/>
                <w:color w:val="auto"/>
              </w:rPr>
            </w:pPr>
            <w:r>
              <w:rPr>
                <w:rFonts w:ascii="Times New Roman" w:cs="Times New Roman" w:eastAsia="Times New Roman" w:hAnsi="Times New Roman"/>
                <w:sz w:val="20"/>
                <w:szCs w:val="20"/>
                <w:color w:val="0000FF"/>
                <w:w w:val="86"/>
              </w:rPr>
              <w:t>197</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60"/>
              <w:spacing w:after="0" w:line="209" w:lineRule="exact"/>
              <w:rPr>
                <w:sz w:val="20"/>
                <w:szCs w:val="20"/>
                <w:color w:val="auto"/>
              </w:rPr>
            </w:pPr>
            <w:r>
              <w:rPr>
                <w:rFonts w:ascii="Times New Roman" w:cs="Times New Roman" w:eastAsia="Times New Roman" w:hAnsi="Times New Roman"/>
                <w:sz w:val="20"/>
                <w:szCs w:val="20"/>
                <w:color w:val="auto"/>
              </w:rPr>
              <w:t>10.24</w:t>
            </w:r>
          </w:p>
        </w:tc>
        <w:tc>
          <w:tcPr>
            <w:tcW w:w="4720" w:type="dxa"/>
            <w:vAlign w:val="bottom"/>
            <w:gridSpan w:val="10"/>
          </w:tcPr>
          <w:p>
            <w:pPr>
              <w:ind w:left="20"/>
              <w:spacing w:after="0" w:line="209" w:lineRule="exact"/>
              <w:rPr>
                <w:sz w:val="20"/>
                <w:szCs w:val="20"/>
                <w:color w:val="auto"/>
              </w:rPr>
            </w:pPr>
            <w:r>
              <w:rPr>
                <w:rFonts w:ascii="Times New Roman" w:cs="Times New Roman" w:eastAsia="Times New Roman" w:hAnsi="Times New Roman"/>
                <w:sz w:val="20"/>
                <w:szCs w:val="20"/>
                <w:color w:val="auto"/>
              </w:rPr>
              <w:t>Intercreditor Agreements and Subordination Agreements</w:t>
            </w:r>
          </w:p>
        </w:tc>
        <w:tc>
          <w:tcPr>
            <w:tcW w:w="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196</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93"/>
              </w:rPr>
              <w:t>198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w w:val="97"/>
              </w:rPr>
              <w:t>Section 11.</w:t>
            </w:r>
          </w:p>
        </w:tc>
        <w:tc>
          <w:tcPr>
            <w:tcW w:w="214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Nature of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196</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6"/>
              </w:rPr>
              <w:t>198</w:t>
            </w:r>
          </w:p>
        </w:tc>
        <w:tc>
          <w:tcPr>
            <w:tcW w:w="740" w:type="dxa"/>
            <w:vAlign w:val="bottom"/>
          </w:tcPr>
          <w:p>
            <w:pPr>
              <w:spacing w:after="0"/>
              <w:rPr>
                <w:sz w:val="24"/>
                <w:szCs w:val="24"/>
                <w:color w:val="auto"/>
              </w:rPr>
            </w:pPr>
          </w:p>
        </w:tc>
        <w:tc>
          <w:tcPr>
            <w:tcW w:w="1580" w:type="dxa"/>
            <w:vAlign w:val="bottom"/>
            <w:gridSpan w:val="5"/>
          </w:tcPr>
          <w:p>
            <w:pPr>
              <w:spacing w:after="0"/>
              <w:rPr>
                <w:sz w:val="24"/>
                <w:szCs w:val="24"/>
                <w:color w:val="auto"/>
              </w:rPr>
            </w:pPr>
          </w:p>
        </w:tc>
        <w:tc>
          <w:tcPr>
            <w:tcW w:w="3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11.01</w:t>
            </w:r>
          </w:p>
        </w:tc>
        <w:tc>
          <w:tcPr>
            <w:tcW w:w="50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Joint and Several Liability of the Borrowers; Cross-Guaranty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196</w:t>
            </w:r>
          </w:p>
        </w:tc>
        <w:tc>
          <w:tcPr>
            <w:tcW w:w="1480" w:type="dxa"/>
            <w:vAlign w:val="bottom"/>
            <w:gridSpan w:val="4"/>
          </w:tcPr>
          <w:p>
            <w:pPr>
              <w:jc w:val="right"/>
              <w:ind w:right="1081"/>
              <w:spacing w:after="0"/>
              <w:rPr>
                <w:sz w:val="20"/>
                <w:szCs w:val="20"/>
                <w:color w:val="auto"/>
              </w:rPr>
            </w:pPr>
            <w:r>
              <w:rPr>
                <w:rFonts w:ascii="Times New Roman" w:cs="Times New Roman" w:eastAsia="Times New Roman" w:hAnsi="Times New Roman"/>
                <w:sz w:val="20"/>
                <w:szCs w:val="20"/>
                <w:color w:val="0000FF"/>
                <w:w w:val="93"/>
              </w:rPr>
              <w:t>198</w:t>
            </w:r>
          </w:p>
        </w:tc>
        <w:tc>
          <w:tcPr>
            <w:tcW w:w="0" w:type="dxa"/>
            <w:vAlign w:val="bottom"/>
          </w:tcPr>
          <w:p>
            <w:pPr>
              <w:spacing w:after="0"/>
              <w:rPr>
                <w:sz w:val="1"/>
                <w:szCs w:val="1"/>
                <w:color w:val="auto"/>
              </w:rPr>
            </w:pPr>
          </w:p>
        </w:tc>
      </w:tr>
      <w:tr>
        <w:trPr>
          <w:trHeight w:val="223"/>
        </w:trPr>
        <w:tc>
          <w:tcPr>
            <w:tcW w:w="90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11.02</w:t>
            </w:r>
          </w:p>
        </w:tc>
        <w:tc>
          <w:tcPr>
            <w:tcW w:w="7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Benefit</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196</w:t>
            </w:r>
          </w:p>
        </w:tc>
        <w:tc>
          <w:tcPr>
            <w:tcW w:w="1360" w:type="dxa"/>
            <w:vAlign w:val="bottom"/>
            <w:gridSpan w:val="3"/>
          </w:tcPr>
          <w:p>
            <w:pPr>
              <w:jc w:val="right"/>
              <w:ind w:right="961"/>
              <w:spacing w:after="0" w:line="223" w:lineRule="exact"/>
              <w:rPr>
                <w:sz w:val="20"/>
                <w:szCs w:val="20"/>
                <w:color w:val="auto"/>
              </w:rPr>
            </w:pPr>
            <w:r>
              <w:rPr>
                <w:rFonts w:ascii="Times New Roman" w:cs="Times New Roman" w:eastAsia="Times New Roman" w:hAnsi="Times New Roman"/>
                <w:sz w:val="20"/>
                <w:szCs w:val="20"/>
                <w:color w:val="0000FF"/>
                <w:w w:val="93"/>
              </w:rPr>
              <w:t>198</w:t>
            </w:r>
          </w:p>
        </w:tc>
        <w:tc>
          <w:tcPr>
            <w:tcW w:w="1020" w:type="dxa"/>
            <w:vAlign w:val="bottom"/>
            <w:gridSpan w:val="2"/>
          </w:tcPr>
          <w:p>
            <w:pPr>
              <w:spacing w:after="0"/>
              <w:rPr>
                <w:sz w:val="19"/>
                <w:szCs w:val="19"/>
                <w:color w:val="auto"/>
              </w:rPr>
            </w:pPr>
          </w:p>
        </w:tc>
        <w:tc>
          <w:tcPr>
            <w:tcW w:w="1880" w:type="dxa"/>
            <w:vAlign w:val="bottom"/>
            <w:gridSpan w:val="7"/>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103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420" w:val="left"/>
          <w:tab w:leader="none" w:pos="1760" w:val="left"/>
        </w:tabs>
        <w:rPr>
          <w:sz w:val="20"/>
          <w:szCs w:val="20"/>
          <w:color w:val="auto"/>
        </w:rPr>
      </w:pPr>
      <w:r>
        <w:rPr>
          <w:rFonts w:ascii="Times New Roman" w:cs="Times New Roman" w:eastAsia="Times New Roman" w:hAnsi="Times New Roman"/>
          <w:sz w:val="20"/>
          <w:szCs w:val="20"/>
          <w:color w:val="auto"/>
        </w:rPr>
        <w:t>APPENDICES:</w:t>
        <w:tab/>
        <w:t>A</w:t>
      </w:r>
      <w:r>
        <w:rPr>
          <w:sz w:val="20"/>
          <w:szCs w:val="20"/>
          <w:color w:val="auto"/>
        </w:rPr>
        <w:tab/>
      </w:r>
      <w:r>
        <w:rPr>
          <w:rFonts w:ascii="Times New Roman" w:cs="Times New Roman" w:eastAsia="Times New Roman" w:hAnsi="Times New Roman"/>
          <w:sz w:val="19"/>
          <w:szCs w:val="19"/>
          <w:color w:val="auto"/>
        </w:rPr>
        <w:t>Initial Commitments and Applicable Percentages</w:t>
      </w:r>
    </w:p>
    <w:p>
      <w:pPr>
        <w:spacing w:after="0" w:line="28" w:lineRule="exact"/>
        <w:rPr>
          <w:sz w:val="20"/>
          <w:szCs w:val="20"/>
          <w:color w:val="auto"/>
        </w:rPr>
      </w:pPr>
    </w:p>
    <w:p>
      <w:pPr>
        <w:ind w:left="1800"/>
        <w:spacing w:after="0"/>
        <w:tabs>
          <w:tab w:leader="none" w:pos="21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Notice Addresses</w:t>
      </w:r>
    </w:p>
    <w:p>
      <w:pPr>
        <w:spacing w:after="0" w:line="146" w:lineRule="exact"/>
        <w:rPr>
          <w:sz w:val="20"/>
          <w:szCs w:val="20"/>
          <w:color w:val="auto"/>
        </w:rPr>
      </w:pPr>
    </w:p>
    <w:p>
      <w:pPr>
        <w:spacing w:after="0"/>
        <w:tabs>
          <w:tab w:leader="none" w:pos="1380" w:val="left"/>
          <w:tab w:leader="none" w:pos="2140" w:val="left"/>
        </w:tabs>
        <w:rPr>
          <w:sz w:val="20"/>
          <w:szCs w:val="20"/>
          <w:color w:val="auto"/>
        </w:rPr>
      </w:pPr>
      <w:r>
        <w:rPr>
          <w:rFonts w:ascii="Times New Roman" w:cs="Times New Roman" w:eastAsia="Times New Roman" w:hAnsi="Times New Roman"/>
          <w:sz w:val="20"/>
          <w:szCs w:val="20"/>
          <w:color w:val="auto"/>
        </w:rPr>
        <w:t>SCHEDULES:</w:t>
        <w:tab/>
        <w:t>1.01(a)</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28" w:lineRule="exact"/>
        <w:rPr>
          <w:sz w:val="20"/>
          <w:szCs w:val="20"/>
          <w:color w:val="auto"/>
        </w:rPr>
      </w:pPr>
    </w:p>
    <w:p>
      <w:pPr>
        <w:ind w:left="200"/>
        <w:spacing w:after="0"/>
        <w:tabs>
          <w:tab w:leader="none" w:pos="960" w:val="left"/>
        </w:tabs>
        <w:rPr>
          <w:sz w:val="20"/>
          <w:szCs w:val="20"/>
          <w:color w:val="auto"/>
        </w:rPr>
      </w:pPr>
      <w:r>
        <w:rPr>
          <w:rFonts w:ascii="Times New Roman" w:cs="Times New Roman" w:eastAsia="Times New Roman" w:hAnsi="Times New Roman"/>
          <w:sz w:val="20"/>
          <w:szCs w:val="20"/>
          <w:color w:val="auto"/>
        </w:rPr>
        <w:t>1.01(b)</w:t>
      </w:r>
      <w:r>
        <w:rPr>
          <w:sz w:val="20"/>
          <w:szCs w:val="20"/>
          <w:color w:val="auto"/>
        </w:rPr>
        <w:tab/>
      </w:r>
      <w:r>
        <w:rPr>
          <w:rFonts w:ascii="Times New Roman" w:cs="Times New Roman" w:eastAsia="Times New Roman" w:hAnsi="Times New Roman"/>
          <w:sz w:val="19"/>
          <w:szCs w:val="19"/>
          <w:color w:val="auto"/>
        </w:rPr>
        <w:t>Existing Unrestricted Subsidiaries</w:t>
      </w:r>
    </w:p>
    <w:p>
      <w:pPr>
        <w:spacing w:after="0" w:line="6" w:lineRule="exact"/>
        <w:rPr>
          <w:sz w:val="20"/>
          <w:szCs w:val="20"/>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20"/>
          <w:szCs w:val="20"/>
          <w:color w:val="auto"/>
        </w:rPr>
        <w:t>4.01</w:t>
      </w:r>
      <w:r>
        <w:rPr>
          <w:sz w:val="20"/>
          <w:szCs w:val="20"/>
          <w:color w:val="auto"/>
        </w:rPr>
        <w:tab/>
      </w:r>
      <w:r>
        <w:rPr>
          <w:rFonts w:ascii="Times New Roman" w:cs="Times New Roman" w:eastAsia="Times New Roman" w:hAnsi="Times New Roman"/>
          <w:sz w:val="19"/>
          <w:szCs w:val="19"/>
          <w:color w:val="auto"/>
        </w:rPr>
        <w:t>Jurisdictions of Organization and Qualification</w:t>
      </w:r>
    </w:p>
    <w:tbl>
      <w:tblPr>
        <w:tblLayout w:type="fixed"/>
        <w:tblInd w:w="1800" w:type="dxa"/>
        <w:tblCellMar>
          <w:top w:w="0" w:type="dxa"/>
          <w:left w:w="0" w:type="dxa"/>
          <w:bottom w:w="0" w:type="dxa"/>
          <w:right w:w="0" w:type="dxa"/>
        </w:tblCellMar>
      </w:tblPr>
      <w:tr>
        <w:trPr>
          <w:trHeight w:val="221"/>
        </w:trPr>
        <w:tc>
          <w:tcPr>
            <w:tcW w:w="440" w:type="dxa"/>
            <w:vAlign w:val="bottom"/>
          </w:tcPr>
          <w:p>
            <w:pPr>
              <w:jc w:val="right"/>
              <w:ind w:right="1"/>
              <w:spacing w:after="0" w:line="221" w:lineRule="exact"/>
              <w:rPr>
                <w:sz w:val="20"/>
                <w:szCs w:val="20"/>
                <w:color w:val="auto"/>
              </w:rPr>
            </w:pPr>
            <w:r>
              <w:rPr>
                <w:rFonts w:ascii="Times New Roman" w:cs="Times New Roman" w:eastAsia="Times New Roman" w:hAnsi="Times New Roman"/>
                <w:sz w:val="20"/>
                <w:szCs w:val="20"/>
                <w:color w:val="auto"/>
                <w:w w:val="91"/>
              </w:rPr>
              <w:t>4.02</w:t>
            </w:r>
          </w:p>
        </w:tc>
        <w:tc>
          <w:tcPr>
            <w:tcW w:w="2940" w:type="dxa"/>
            <w:vAlign w:val="bottom"/>
          </w:tcPr>
          <w:p>
            <w:pPr>
              <w:ind w:left="100"/>
              <w:spacing w:after="0" w:line="221" w:lineRule="exact"/>
              <w:rPr>
                <w:sz w:val="20"/>
                <w:szCs w:val="20"/>
                <w:color w:val="auto"/>
              </w:rPr>
            </w:pPr>
            <w:r>
              <w:rPr>
                <w:rFonts w:ascii="Times New Roman" w:cs="Times New Roman" w:eastAsia="Times New Roman" w:hAnsi="Times New Roman"/>
                <w:sz w:val="20"/>
                <w:szCs w:val="20"/>
                <w:color w:val="auto"/>
              </w:rPr>
              <w:t>Capital Stock and Ownership</w:t>
            </w:r>
          </w:p>
        </w:tc>
      </w:tr>
      <w:tr>
        <w:trPr>
          <w:trHeight w:val="243"/>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1"/>
              </w:rPr>
              <w:t>4.13</w:t>
            </w:r>
          </w:p>
        </w:tc>
        <w:tc>
          <w:tcPr>
            <w:tcW w:w="2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Real Estate Assets</w:t>
            </w:r>
          </w:p>
        </w:tc>
      </w:tr>
      <w:tr>
        <w:trPr>
          <w:trHeight w:val="243"/>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1"/>
              </w:rPr>
              <w:t>5.15</w:t>
            </w:r>
          </w:p>
        </w:tc>
        <w:tc>
          <w:tcPr>
            <w:tcW w:w="2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Post-Closing Matters</w:t>
            </w:r>
          </w:p>
        </w:tc>
      </w:tr>
      <w:tr>
        <w:trPr>
          <w:trHeight w:val="251"/>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1"/>
              </w:rPr>
              <w:t>5.22</w:t>
            </w:r>
          </w:p>
        </w:tc>
        <w:tc>
          <w:tcPr>
            <w:tcW w:w="294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Certain Transactions with Affiliates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gridSpan w:val="2"/>
          </w:tcPr>
          <w:p>
            <w:pPr>
              <w:ind w:left="1800"/>
              <w:spacing w:after="0" w:line="221" w:lineRule="exact"/>
              <w:rPr>
                <w:sz w:val="20"/>
                <w:szCs w:val="20"/>
                <w:color w:val="auto"/>
              </w:rPr>
            </w:pPr>
            <w:r>
              <w:rPr>
                <w:rFonts w:ascii="Times New Roman" w:cs="Times New Roman" w:eastAsia="Times New Roman" w:hAnsi="Times New Roman"/>
                <w:sz w:val="20"/>
                <w:szCs w:val="20"/>
                <w:color w:val="auto"/>
              </w:rPr>
              <w:t>6.01</w:t>
            </w:r>
          </w:p>
        </w:tc>
        <w:tc>
          <w:tcPr>
            <w:tcW w:w="266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Certain Indebtedness</w:t>
            </w:r>
          </w:p>
        </w:tc>
      </w:tr>
      <w:tr>
        <w:trPr>
          <w:trHeight w:val="229"/>
        </w:trPr>
        <w:tc>
          <w:tcPr>
            <w:tcW w:w="222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6.02</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Liens</w:t>
            </w:r>
          </w:p>
        </w:tc>
      </w:tr>
      <w:tr>
        <w:trPr>
          <w:trHeight w:val="258"/>
        </w:trPr>
        <w:tc>
          <w:tcPr>
            <w:tcW w:w="222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6.07</w:t>
            </w:r>
          </w:p>
        </w:tc>
        <w:tc>
          <w:tcPr>
            <w:tcW w:w="2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Investments</w:t>
            </w:r>
          </w:p>
        </w:tc>
      </w:tr>
      <w:tr>
        <w:trPr>
          <w:trHeight w:val="390"/>
        </w:trPr>
        <w:tc>
          <w:tcPr>
            <w:tcW w:w="48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EXHIBITS:  A-1  Funding Notice</w:t>
            </w:r>
          </w:p>
        </w:tc>
      </w:tr>
      <w:tr>
        <w:trPr>
          <w:trHeight w:val="230"/>
        </w:trPr>
        <w:tc>
          <w:tcPr>
            <w:tcW w:w="222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A-2</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Conversion/Continuation Notice</w:t>
            </w:r>
          </w:p>
        </w:tc>
      </w:tr>
      <w:tr>
        <w:trPr>
          <w:trHeight w:val="243"/>
        </w:trPr>
        <w:tc>
          <w:tcPr>
            <w:tcW w:w="4880" w:type="dxa"/>
            <w:vAlign w:val="bottom"/>
            <w:gridSpan w:val="3"/>
          </w:tcPr>
          <w:p>
            <w:pPr>
              <w:ind w:left="1800"/>
              <w:spacing w:after="0"/>
              <w:rPr>
                <w:sz w:val="20"/>
                <w:szCs w:val="20"/>
                <w:color w:val="auto"/>
              </w:rPr>
            </w:pPr>
            <w:r>
              <w:rPr>
                <w:rFonts w:ascii="Times New Roman" w:cs="Times New Roman" w:eastAsia="Times New Roman" w:hAnsi="Times New Roman"/>
                <w:sz w:val="20"/>
                <w:szCs w:val="20"/>
                <w:color w:val="auto"/>
              </w:rPr>
              <w:t>A-3  Swing Line Loan Notice</w:t>
            </w:r>
          </w:p>
        </w:tc>
      </w:tr>
      <w:tr>
        <w:trPr>
          <w:trHeight w:val="230"/>
        </w:trPr>
        <w:tc>
          <w:tcPr>
            <w:tcW w:w="2220" w:type="dxa"/>
            <w:vAlign w:val="bottom"/>
            <w:gridSpan w:val="2"/>
          </w:tcPr>
          <w:p>
            <w:pPr>
              <w:ind w:left="1800"/>
              <w:spacing w:after="0"/>
              <w:rPr>
                <w:sz w:val="20"/>
                <w:szCs w:val="20"/>
                <w:color w:val="auto"/>
              </w:rPr>
            </w:pPr>
            <w:r>
              <w:rPr>
                <w:rFonts w:ascii="Times New Roman" w:cs="Times New Roman" w:eastAsia="Times New Roman" w:hAnsi="Times New Roman"/>
                <w:sz w:val="20"/>
                <w:szCs w:val="20"/>
                <w:color w:val="auto"/>
              </w:rPr>
              <w:t>A-4</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L/C Request</w:t>
            </w:r>
          </w:p>
        </w:tc>
      </w:tr>
      <w:tr>
        <w:trPr>
          <w:trHeight w:val="243"/>
        </w:trPr>
        <w:tc>
          <w:tcPr>
            <w:tcW w:w="22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B-1</w:t>
            </w:r>
          </w:p>
        </w:tc>
        <w:tc>
          <w:tcPr>
            <w:tcW w:w="2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Term Loan Note</w:t>
            </w:r>
          </w:p>
        </w:tc>
      </w:tr>
      <w:tr>
        <w:trPr>
          <w:trHeight w:val="243"/>
        </w:trPr>
        <w:tc>
          <w:tcPr>
            <w:tcW w:w="22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B-2</w:t>
            </w: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Revolving Loan Note</w:t>
            </w:r>
          </w:p>
        </w:tc>
      </w:tr>
      <w:tr>
        <w:trPr>
          <w:trHeight w:val="252"/>
        </w:trPr>
        <w:tc>
          <w:tcPr>
            <w:tcW w:w="22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B-3</w:t>
            </w: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Swing Line Note</w:t>
            </w:r>
          </w:p>
        </w:tc>
      </w:tr>
    </w:tbl>
    <w:p>
      <w:pPr>
        <w:ind w:left="1800" w:right="7280" w:hanging="4"/>
        <w:spacing w:after="0" w:line="246" w:lineRule="auto"/>
        <w:tabs>
          <w:tab w:leader="none" w:pos="213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 D [Reserved]</w:t>
      </w:r>
    </w:p>
    <w:p>
      <w:pPr>
        <w:spacing w:after="0" w:line="1" w:lineRule="exact"/>
        <w:rPr>
          <w:rFonts w:ascii="Times New Roman" w:cs="Times New Roman" w:eastAsia="Times New Roman" w:hAnsi="Times New Roman"/>
          <w:sz w:val="20"/>
          <w:szCs w:val="20"/>
          <w:color w:val="auto"/>
        </w:rPr>
      </w:pPr>
    </w:p>
    <w:p>
      <w:pPr>
        <w:ind w:left="1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Assignment Agreement</w:t>
      </w:r>
    </w:p>
    <w:p>
      <w:pPr>
        <w:spacing w:after="0" w:line="6" w:lineRule="exact"/>
        <w:rPr>
          <w:rFonts w:ascii="Times New Roman" w:cs="Times New Roman" w:eastAsia="Times New Roman" w:hAnsi="Times New Roman"/>
          <w:sz w:val="20"/>
          <w:szCs w:val="20"/>
          <w:color w:val="auto"/>
        </w:rPr>
      </w:pPr>
    </w:p>
    <w:p>
      <w:pPr>
        <w:jc w:val="both"/>
        <w:ind w:left="1800" w:right="586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F-1 Certificate Regarding Non-Bank Status F-2 Certificate Regarding Non-Bank Status F-3 Certificate Regarding Non-Bank Status F-4 Certificate Regarding Non-Bank Status G-1 Closing Date Certificate</w:t>
      </w:r>
    </w:p>
    <w:p>
      <w:pPr>
        <w:spacing w:after="0" w:line="4" w:lineRule="exact"/>
        <w:rPr>
          <w:rFonts w:ascii="Times New Roman" w:cs="Times New Roman" w:eastAsia="Times New Roman" w:hAnsi="Times New Roman"/>
          <w:sz w:val="20"/>
          <w:szCs w:val="20"/>
          <w:color w:val="auto"/>
        </w:rPr>
      </w:pPr>
    </w:p>
    <w:p>
      <w:pPr>
        <w:ind w:left="1800" w:right="72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G-2 Solvency Certificate H Counterpart Agreement I [Reserved]</w:t>
      </w:r>
    </w:p>
    <w:p>
      <w:pPr>
        <w:spacing w:after="0" w:line="2" w:lineRule="exact"/>
        <w:rPr>
          <w:rFonts w:ascii="Times New Roman" w:cs="Times New Roman" w:eastAsia="Times New Roman" w:hAnsi="Times New Roman"/>
          <w:sz w:val="20"/>
          <w:szCs w:val="20"/>
          <w:color w:val="auto"/>
        </w:rPr>
      </w:pPr>
    </w:p>
    <w:p>
      <w:pPr>
        <w:jc w:val="both"/>
        <w:ind w:left="1800" w:right="82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 [Reserved] K [Reserved]</w:t>
      </w:r>
    </w:p>
    <w:p>
      <w:pPr>
        <w:spacing w:after="0" w:line="1" w:lineRule="exact"/>
        <w:rPr>
          <w:rFonts w:ascii="Times New Roman" w:cs="Times New Roman" w:eastAsia="Times New Roman" w:hAnsi="Times New Roman"/>
          <w:sz w:val="20"/>
          <w:szCs w:val="20"/>
          <w:color w:val="auto"/>
        </w:rPr>
      </w:pPr>
    </w:p>
    <w:p>
      <w:pPr>
        <w:ind w:left="1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  Affiliated Lender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#4933-6684-0406v2</w:t>
      </w:r>
    </w:p>
    <w:p>
      <w:pPr>
        <w:sectPr>
          <w:pgSz w:w="11900" w:h="16838" w:orient="portrait"/>
          <w:cols w:equalWidth="0" w:num="1">
            <w:col w:w="11240"/>
          </w:cols>
          <w:pgMar w:left="320" w:top="103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u w:val="single" w:color="auto"/>
          <w:color w:val="auto"/>
        </w:rPr>
        <w:t>CREDIT AND GUARANTY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CREDIT AND GUARANTY AGREEMENT, dated as of May 16, 2024, is entered into by and among, PRIORITY HOLDINGS, LLC, a Delaware limited liability company (the “</w:t>
      </w:r>
      <w:r>
        <w:rPr>
          <w:rFonts w:ascii="Times New Roman" w:cs="Times New Roman" w:eastAsia="Times New Roman" w:hAnsi="Times New Roman"/>
          <w:sz w:val="20"/>
          <w:szCs w:val="20"/>
          <w:u w:val="single" w:color="auto"/>
          <w:color w:val="auto"/>
        </w:rPr>
        <w:t>Initial Borrower</w:t>
      </w:r>
      <w:r>
        <w:rPr>
          <w:rFonts w:ascii="Times New Roman" w:cs="Times New Roman" w:eastAsia="Times New Roman" w:hAnsi="Times New Roman"/>
          <w:sz w:val="20"/>
          <w:szCs w:val="20"/>
          <w:color w:val="auto"/>
        </w:rPr>
        <w:t>” and, together with any other existing or subsequently acquired or organized wholly-owned domestic Restricted Subsidiary of the Initial Borrower that becomes an Additional Borrower in accordance with the terms of this Agreement,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Credit Parties party hereto from time to time as Guarantors, the Lenders party hereto from time to time and Truist Bank (“</w:t>
      </w:r>
      <w:r>
        <w:rPr>
          <w:rFonts w:ascii="Times New Roman" w:cs="Times New Roman" w:eastAsia="Times New Roman" w:hAnsi="Times New Roman"/>
          <w:sz w:val="20"/>
          <w:szCs w:val="20"/>
          <w:u w:val="single" w:color="auto"/>
          <w:color w:val="auto"/>
        </w:rPr>
        <w:t>Truist</w:t>
      </w:r>
      <w:r>
        <w:rPr>
          <w:rFonts w:ascii="Times New Roman" w:cs="Times New Roman" w:eastAsia="Times New Roman" w:hAnsi="Times New Roman"/>
          <w:sz w:val="20"/>
          <w:szCs w:val="20"/>
          <w:color w:val="auto"/>
        </w:rPr>
        <w:t>”), as administrative agent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Collateral Agent (in such capacity,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an Issuing Bank and the Swing Line Lender.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contemporaneously with the execution and delivery of this Agreement on the Closing Date (the transactions described in this paragraph below, collectively,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340" w:hanging="332"/>
        <w:spacing w:after="0" w:line="249" w:lineRule="auto"/>
        <w:tabs>
          <w:tab w:leader="none" w:pos="4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that certain Credit and Guaranty Agreement, dated as of April 27, 2021, among the Initial Borrower and the other parties from time to time party thereto (as amended, restated, amended and restated, supplemented or otherwise modified from time to time through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will be refinanced and all of the outstanding obligations thereunder will be repaid in full (or (x) subject to a cashless exchange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(y) in the case of outstanding undrawn letters of credit, deemed issued under this Agreement) and any and all commitments, guarantees and security interests in connection therewith shall be terminated or released and (ii) a portion of the Preferred Stock Facility, in an amount equal to $170.0 million, will be redeemed (clauses (i) and (ii), the “</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w:t>
      </w:r>
    </w:p>
    <w:p>
      <w:pPr>
        <w:spacing w:after="0" w:line="209" w:lineRule="exact"/>
        <w:rPr>
          <w:rFonts w:ascii="Times New Roman" w:cs="Times New Roman" w:eastAsia="Times New Roman" w:hAnsi="Times New Roman"/>
          <w:sz w:val="22"/>
          <w:szCs w:val="22"/>
          <w:color w:val="auto"/>
        </w:rPr>
      </w:pPr>
    </w:p>
    <w:p>
      <w:pPr>
        <w:jc w:val="both"/>
        <w:ind w:left="340" w:hanging="332"/>
        <w:spacing w:after="0" w:line="248" w:lineRule="auto"/>
        <w:tabs>
          <w:tab w:leader="none" w:pos="4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connection with the foregoing, the Initial Borrower has requested senior secured credit facilities in an aggregate principal amount of $905.0 million which will be comprised of (1) a senior secured first lien term loan facility in an aggregate principal amount of $835.0 million and (2) a senior secured revolving credit facility in an aggregate amount equal to $70.0 million;</w:t>
      </w:r>
    </w:p>
    <w:p>
      <w:pPr>
        <w:spacing w:after="0" w:line="221" w:lineRule="exact"/>
        <w:rPr>
          <w:rFonts w:ascii="Times New Roman" w:cs="Times New Roman" w:eastAsia="Times New Roman" w:hAnsi="Times New Roman"/>
          <w:sz w:val="22"/>
          <w:szCs w:val="22"/>
          <w:color w:val="auto"/>
        </w:rPr>
      </w:pPr>
    </w:p>
    <w:p>
      <w:pPr>
        <w:jc w:val="both"/>
        <w:ind w:left="340" w:hanging="332"/>
        <w:spacing w:after="0" w:line="250" w:lineRule="auto"/>
        <w:tabs>
          <w:tab w:leader="none" w:pos="41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proceeds of the term loans made by the Term Lenders to the Borrowers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on the Closing Date and subject to the Closing Date Revolver Cap, Revolving Loans will be applied on the Closing Date to (i) finance the Closing Date Refinancing and (ii) pay the fees and expenses in connection with the Transactions contemplated to occur on the Closing Date (such fees and expenses, the “</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and</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WHEREAS, the Credit Parties’ businesses are a mutual and collective enterprise, and the Credit Parties believe that the consolidation 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spacing w:after="0" w:line="11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agreements, provisions and covenants herein contained, the parties hereto agree as follows:</w:t>
      </w:r>
    </w:p>
    <w:p>
      <w:pPr>
        <w:spacing w:after="0" w:line="8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Definitions and Interpretation</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used herein, including in the preamble, recitals, exhibits and schedules hereto,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711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2024-1</w:t>
      </w:r>
      <w:r>
        <w:rPr>
          <w:rFonts w:ascii="Times New Roman" w:cs="Times New Roman" w:eastAsia="Times New Roman" w:hAnsi="Times New Roman"/>
          <w:sz w:val="20"/>
          <w:szCs w:val="20"/>
          <w:u w:val="single" w:color="auto"/>
          <w:color w:val="0000FF"/>
        </w:rPr>
        <w:t>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Lender</w:t>
      </w:r>
      <w:r>
        <w:rPr>
          <w:rFonts w:ascii="Times New Roman" w:cs="Times New Roman" w:eastAsia="Times New Roman" w:hAnsi="Times New Roman"/>
          <w:sz w:val="20"/>
          <w:szCs w:val="20"/>
          <w:u w:val="single" w:color="auto"/>
          <w:color w:val="0000FF"/>
        </w:rPr>
        <w:t>Commitment</w:t>
      </w:r>
      <w:r>
        <w:rPr>
          <w:rFonts w:ascii="Times New Roman" w:cs="Times New Roman" w:eastAsia="Times New Roman" w:hAnsi="Times New Roman"/>
          <w:sz w:val="20"/>
          <w:szCs w:val="20"/>
          <w:color w:val="auto"/>
        </w:rPr>
        <w:t xml:space="preserve">” has the meaning specified in Amendment No.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1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20"/>
          <w:szCs w:val="20"/>
          <w:u w:val="single" w:color="auto"/>
          <w:color w:val="0000FF"/>
        </w:rPr>
        <w:t>“2025-1 Incremental Term Lender” has the meaning specified in Amendment No. 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2024-1</w:t>
      </w:r>
      <w:r>
        <w:rPr>
          <w:rFonts w:ascii="Times New Roman" w:cs="Times New Roman" w:eastAsia="Times New Roman" w:hAnsi="Times New Roman"/>
          <w:sz w:val="20"/>
          <w:szCs w:val="20"/>
          <w:u w:val="single" w:color="auto"/>
          <w:color w:val="0000FF"/>
        </w:rPr>
        <w:t>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Loans</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auto"/>
        </w:rPr>
        <w:t xml:space="preserve"> Amendment No.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“2025-1 Refinancing Term Commitment” has the meaning specified in Amendment No. 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“2025-1 Refinancing Term Loan” has the meaning specified in Amendment No. 2.</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Intercreditor Agreement</w:t>
      </w:r>
      <w:r>
        <w:rPr>
          <w:rFonts w:ascii="Times New Roman" w:cs="Times New Roman" w:eastAsia="Times New Roman" w:hAnsi="Times New Roman"/>
          <w:sz w:val="20"/>
          <w:szCs w:val="20"/>
          <w:color w:val="auto"/>
        </w:rPr>
        <w:t xml:space="preserve">” means (a) to the extent executed in connection with the incurrence of secured Indebtedness pursuant to which the Liens securing such Indebtedness are intended to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to the Liens securing the</w:t>
      </w:r>
    </w:p>
    <w:p>
      <w:pPr>
        <w:spacing w:after="0" w:line="212" w:lineRule="auto"/>
        <w:rPr>
          <w:sz w:val="20"/>
          <w:szCs w:val="20"/>
          <w:color w:val="auto"/>
        </w:rPr>
      </w:pPr>
      <w:r>
        <w:rPr>
          <w:rFonts w:ascii="Times New Roman" w:cs="Times New Roman" w:eastAsia="Times New Roman" w:hAnsi="Times New Roman"/>
          <w:sz w:val="20"/>
          <w:szCs w:val="20"/>
          <w:color w:val="auto"/>
        </w:rPr>
        <w:t>Obligations (but without regard to the control of remedies), an intercreditor agreement in form and substance reasonably acceptable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Administrative Agent, which agreement shall provide that the Liens securing such Indebtedness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to the Liens securing the Obligations (but without regard to the control of remedies) and (b) to the extent executed in connection with the</w:t>
      </w:r>
    </w:p>
    <w:p>
      <w:pPr>
        <w:spacing w:after="0" w:line="211" w:lineRule="auto"/>
        <w:rPr>
          <w:sz w:val="20"/>
          <w:szCs w:val="20"/>
          <w:color w:val="auto"/>
        </w:rPr>
      </w:pPr>
      <w:r>
        <w:rPr>
          <w:rFonts w:ascii="Times New Roman" w:cs="Times New Roman" w:eastAsia="Times New Roman" w:hAnsi="Times New Roman"/>
          <w:sz w:val="20"/>
          <w:szCs w:val="20"/>
          <w:color w:val="auto"/>
        </w:rPr>
        <w:t>incurrence of secured Indebtedness pursuant to which the Liens securing such Indebtedness are intended to rank junior in right of security to</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the Liens securing the Obligations, an intercreditor agreement in form and substance reasonably acceptable to Administrative Agent, which agreement shall provide that the Liens securing such Indebtedness shall rank junior in right of security to the Liens securing the Obligations.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w:t>
      </w:r>
      <w:r>
        <w:rPr>
          <w:rFonts w:ascii="Times New Roman" w:cs="Times New Roman" w:eastAsia="Times New Roman" w:hAnsi="Times New Roman"/>
          <w:sz w:val="20"/>
          <w:szCs w:val="20"/>
          <w:color w:val="auto"/>
        </w:rPr>
        <w:t>” means the electronic transfer of funds through an automated clearing house system.</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Borrower</w:t>
      </w:r>
      <w:r>
        <w:rPr>
          <w:rFonts w:ascii="Times New Roman" w:cs="Times New Roman" w:eastAsia="Times New Roman" w:hAnsi="Times New Roman"/>
          <w:sz w:val="19"/>
          <w:szCs w:val="19"/>
          <w:color w:val="auto"/>
        </w:rPr>
        <w:t>” means one or more wholly-owned Restricted Subsidiaries of the Initial Borrower organized under the laws of the United States, any state thereof or the District of Columbia and designated by the Initial Borrower to the Administrative Agent in writing</w:t>
      </w:r>
    </w:p>
    <w:p>
      <w:pPr>
        <w:spacing w:after="0" w:line="211" w:lineRule="auto"/>
        <w:rPr>
          <w:sz w:val="20"/>
          <w:szCs w:val="20"/>
          <w:color w:val="auto"/>
        </w:rPr>
      </w:pPr>
      <w:r>
        <w:rPr>
          <w:rFonts w:ascii="Times New Roman" w:cs="Times New Roman" w:eastAsia="Times New Roman" w:hAnsi="Times New Roman"/>
          <w:sz w:val="20"/>
          <w:szCs w:val="20"/>
          <w:color w:val="auto"/>
        </w:rPr>
        <w:t>as a “Borrower” hereunder; provided that such Restricted Subsidiary shall not become a Borrower hereunder unless and until (a)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 the Lenders shall have received a Beneficial Ownership Certification and all other documentation and other information about such Additional Borrower as has been reasonably requested in writing by the Administrative Agent and the Lenders that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they reasonably determine is required by regulatory authorities under applicable “know your customer” and Anti-Terrorism Laws, including without limitation the PATRIOT Act and Beneficial Ownership Regulation and (b) such Additional Borrower shall have delivered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 duly authorized and executed counterpart signature page to a Borrower Joinder Agreement.</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means any bank, financial institution or other institutional lender or investor that is not an existing Lender and has agreed to provide Incremental Commitments pursuant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Refinancing Revolving Credit Commitments or Refinancing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Term Commitments pursuant to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has the meaning set forth in the preamble hereto and includes each other Person appointed as the successor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such form as may be supplied by Administrative Agent.</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Adverse Proceeding</w:t>
      </w:r>
      <w:r>
        <w:rPr>
          <w:rFonts w:ascii="Times New Roman" w:cs="Times New Roman" w:eastAsia="Times New Roman" w:hAnsi="Times New Roman"/>
          <w:sz w:val="19"/>
          <w:szCs w:val="19"/>
          <w:color w:val="auto"/>
        </w:rPr>
        <w:t>” means any action, suit, proceeding (whether administrative, judicial or otherwise), governmental investigation or arbitration (whether or not purportedly on behalf of, or against, any Credit Party or any of its Subsidiaries) at law or in equity, or before or</w:t>
      </w:r>
    </w:p>
    <w:p>
      <w:pPr>
        <w:spacing w:after="0" w:line="211" w:lineRule="auto"/>
        <w:rPr>
          <w:sz w:val="20"/>
          <w:szCs w:val="20"/>
          <w:color w:val="auto"/>
        </w:rPr>
      </w:pPr>
      <w:r>
        <w:rPr>
          <w:rFonts w:ascii="Times New Roman" w:cs="Times New Roman" w:eastAsia="Times New Roman" w:hAnsi="Times New Roman"/>
          <w:sz w:val="20"/>
          <w:szCs w:val="20"/>
          <w:color w:val="auto"/>
        </w:rPr>
        <w:t>by any Governmental Authority, domestic or foreign (including any Environmental Claims), whether pending or, to the knowledge of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Senior Officer of any Credit Party or any of its Subsidiaries, threatened in writing against any Credit Party or any of its Subsidiaries or any property of any Credit Party or any of its Subsidiaries.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99" w:right="339" w:bottom="1440" w:gutter="0" w:footer="0" w:header="0"/>
        </w:sectPr>
      </w:pPr>
    </w:p>
    <w:bookmarkStart w:id="34" w:name="page35"/>
    <w:bookmarkEnd w:id="34"/>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w:t>
      </w:r>
      <w:r>
        <w:rPr>
          <w:rFonts w:ascii="Times New Roman" w:cs="Times New Roman" w:eastAsia="Times New Roman" w:hAnsi="Times New Roman"/>
          <w:sz w:val="20"/>
          <w:szCs w:val="20"/>
          <w:color w:val="auto"/>
        </w:rPr>
        <w:t>” means, at any time, any Lender that is a Permitted Holder or an Affiliate of a Permitted Holder at such time (other than PRTH, the Credit Parties or any of their respective Subsidiaries).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means each of Administrative Agent, Collateral Agent and the Lead Arrangers.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and Guaranty Agreement, dated as of the Closing Date, as it may be amended, restated, amended and restated, supplemented or otherwise modified from time to time.</w:t>
      </w:r>
    </w:p>
    <w:p>
      <w:pPr>
        <w:spacing w:after="0" w:line="1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w:t>
      </w:r>
      <w:r>
        <w:rPr>
          <w:rFonts w:ascii="Times New Roman" w:cs="Times New Roman" w:eastAsia="Times New Roman" w:hAnsi="Times New Roman"/>
          <w:sz w:val="20"/>
          <w:szCs w:val="20"/>
          <w:color w:val="auto"/>
        </w:rPr>
        <w:t xml:space="preserve">” means that certain Amendment No. 1 to the Credit and Guaranty Agreement, dated as of November 21, 2024, among each Borrower, the other Credit Parties party thereto, each </w:t>
      </w:r>
      <w:r>
        <w:rPr>
          <w:rFonts w:ascii="Times New Roman" w:cs="Times New Roman" w:eastAsia="Times New Roman" w:hAnsi="Times New Roman"/>
          <w:sz w:val="20"/>
          <w:szCs w:val="20"/>
          <w:color w:val="FF0000"/>
          <w:strike w:val="1"/>
        </w:rPr>
        <w:t>2024-1 Incremental Term</w:t>
      </w:r>
      <w:r>
        <w:rPr>
          <w:rFonts w:ascii="Times New Roman" w:cs="Times New Roman" w:eastAsia="Times New Roman" w:hAnsi="Times New Roman"/>
          <w:sz w:val="20"/>
          <w:szCs w:val="20"/>
          <w:color w:val="auto"/>
        </w:rPr>
        <w:t xml:space="preserve"> Lender party thereto and the Agent.</w:t>
      </w:r>
    </w:p>
    <w:p>
      <w:pPr>
        <w:spacing w:after="0" w:line="107"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u w:val="single" w:color="auto"/>
          <w:color w:val="0000FF"/>
        </w:rPr>
        <w:t>“Amendment No. 2” means that certain Amendment No. 2 to the Credit and Guaranty Agreement, dated as of July 31, 2025, among the Borrower Representative, the other Credit Parties party thereto, each Lender party thereto and the Agent.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FF0000"/>
          <w:strike w:val="1"/>
        </w:rPr>
        <w:t>1</w:t>
      </w:r>
      <w:r>
        <w:rPr>
          <w:rFonts w:ascii="Times New Roman" w:cs="Times New Roman" w:eastAsia="Times New Roman" w:hAnsi="Times New Roman"/>
          <w:sz w:val="19"/>
          <w:szCs w:val="19"/>
          <w:u w:val="single" w:color="auto"/>
          <w:color w:val="0000FF"/>
        </w:rPr>
        <w:t>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has the meaning given to the term “</w:t>
      </w:r>
      <w:r>
        <w:rPr>
          <w:rFonts w:ascii="Times New Roman" w:cs="Times New Roman" w:eastAsia="Times New Roman" w:hAnsi="Times New Roman"/>
          <w:sz w:val="19"/>
          <w:szCs w:val="19"/>
          <w:u w:val="single" w:color="auto"/>
          <w:color w:val="0000FF"/>
        </w:rPr>
        <w:t>Second</w:t>
      </w:r>
      <w:r>
        <w:rPr>
          <w:rFonts w:ascii="Times New Roman" w:cs="Times New Roman" w:eastAsia="Times New Roman" w:hAnsi="Times New Roman"/>
          <w:sz w:val="19"/>
          <w:szCs w:val="19"/>
          <w:color w:val="auto"/>
        </w:rPr>
        <w:t xml:space="preserve"> Amendment Effective Date” in Amendment No. </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2</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collectively, all laws, rules, and regulations of any jurisdiction to which any Borrower or its Subsidiaries from time to time are subject concerning or relating to bribery or corruption (including, the FCPA).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ECF Percentage</w:t>
      </w:r>
      <w:r>
        <w:rPr>
          <w:rFonts w:ascii="Times New Roman" w:cs="Times New Roman" w:eastAsia="Times New Roman" w:hAnsi="Times New Roman"/>
          <w:sz w:val="19"/>
          <w:szCs w:val="19"/>
          <w:color w:val="auto"/>
        </w:rPr>
        <w:t>” means, for any Fiscal Year, (a) 50% if the Total Net Leverage Ratio as of the last day of such Fiscal Year is greater than 4.00:1.00, (b) 25% if the Total Net Leverage Ratio as of the last day of such Fiscal Year is less than or equal to 4.00:1.00</w:t>
      </w:r>
    </w:p>
    <w:p>
      <w:pPr>
        <w:spacing w:after="0"/>
        <w:rPr>
          <w:sz w:val="20"/>
          <w:szCs w:val="20"/>
          <w:color w:val="auto"/>
        </w:rPr>
      </w:pPr>
      <w:r>
        <w:rPr>
          <w:rFonts w:ascii="Times New Roman" w:cs="Times New Roman" w:eastAsia="Times New Roman" w:hAnsi="Times New Roman"/>
          <w:sz w:val="20"/>
          <w:szCs w:val="20"/>
          <w:color w:val="auto"/>
        </w:rPr>
        <w:t>but greater than 3.50:1.00 and (c) 0% if the Total Net Leverage Ratio as of the last day of such Fiscal Year is equal to or less than 3.50:1.00.</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means a percentage per annum equal to, in respect of (i) Initial Term Loans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(x) maintained as Base Rate Loans, </w:t>
      </w:r>
      <w:r>
        <w:rPr>
          <w:rFonts w:ascii="Times New Roman" w:cs="Times New Roman" w:eastAsia="Times New Roman" w:hAnsi="Times New Roman"/>
          <w:sz w:val="19"/>
          <w:szCs w:val="19"/>
          <w:color w:val="FF0000"/>
          <w:strike w:val="1"/>
        </w:rPr>
        <w:t>3.75</w:t>
      </w:r>
      <w:r>
        <w:rPr>
          <w:rFonts w:ascii="Times New Roman" w:cs="Times New Roman" w:eastAsia="Times New Roman" w:hAnsi="Times New Roman"/>
          <w:sz w:val="19"/>
          <w:szCs w:val="19"/>
          <w:u w:val="single" w:color="auto"/>
          <w:color w:val="0000FF"/>
        </w:rPr>
        <w:t>2.75</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 (y) maintained as SOFR Loans,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4.75</w:t>
      </w:r>
      <w:r>
        <w:rPr>
          <w:rFonts w:ascii="Times New Roman" w:cs="Times New Roman" w:eastAsia="Times New Roman" w:hAnsi="Times New Roman"/>
          <w:sz w:val="19"/>
          <w:szCs w:val="19"/>
          <w:u w:val="single" w:color="auto"/>
          <w:color w:val="0000FF"/>
        </w:rPr>
        <w:t>3.75</w:t>
      </w:r>
      <w:r>
        <w:rPr>
          <w:rFonts w:ascii="Times New Roman" w:cs="Times New Roman" w:eastAsia="Times New Roman" w:hAnsi="Times New Roman"/>
          <w:sz w:val="19"/>
          <w:szCs w:val="19"/>
          <w:color w:val="000000"/>
        </w:rPr>
        <w:t>% and (ii) Revolving Loans</w:t>
      </w:r>
      <w:r>
        <w:rPr>
          <w:rFonts w:ascii="Times New Roman" w:cs="Times New Roman" w:eastAsia="Times New Roman" w:hAnsi="Times New Roman"/>
          <w:sz w:val="19"/>
          <w:szCs w:val="19"/>
          <w:color w:val="FF0000"/>
          <w:strike w:val="1"/>
        </w:rPr>
        <w:t>: (x) from and after the Closing Date, until delivery of</w:t>
      </w:r>
    </w:p>
    <w:p>
      <w:pPr>
        <w:spacing w:after="0" w:line="222" w:lineRule="auto"/>
        <w:rPr>
          <w:sz w:val="20"/>
          <w:szCs w:val="20"/>
          <w:color w:val="auto"/>
        </w:rPr>
      </w:pPr>
      <w:r>
        <w:rPr>
          <w:rFonts w:ascii="Times New Roman" w:cs="Times New Roman" w:eastAsia="Times New Roman" w:hAnsi="Times New Roman"/>
          <w:sz w:val="19"/>
          <w:szCs w:val="19"/>
          <w:color w:val="FF0000"/>
          <w:strike w:val="1"/>
        </w:rPr>
        <w:t>the financial statements and the related Compliance Certificate for the Fiscal Quarter ending September 30, 2024 pursuant to Section 5.01(b)</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FF0000"/>
          <w:strike w:val="1"/>
        </w:rPr>
        <w:t>or 5.01(c), as applicable, and Section 5.01(d), the rate per annum set forth in Pricing Level 1 below and (y) thereafter</w:t>
      </w:r>
      <w:r>
        <w:rPr>
          <w:rFonts w:ascii="Times New Roman" w:cs="Times New Roman" w:eastAsia="Times New Roman" w:hAnsi="Times New Roman"/>
          <w:sz w:val="20"/>
          <w:szCs w:val="20"/>
          <w:color w:val="000000"/>
        </w:rPr>
        <w:t>, the percentages per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annum set forth in the table below, based upon the Total Net Leverage Ratio as set forth in the most recent Compliance Certificate received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the Administrative Agent pursuant to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99" w:right="339" w:bottom="1440" w:gutter="0" w:footer="0" w:header="0"/>
        </w:sectPr>
      </w:pPr>
    </w:p>
    <w:bookmarkStart w:id="35" w:name="page36"/>
    <w:bookmarkEnd w:id="35"/>
    <w:p>
      <w:pPr>
        <w:spacing w:after="0" w:line="3" w:lineRule="exact"/>
        <w:rPr>
          <w:sz w:val="20"/>
          <w:szCs w:val="20"/>
          <w:color w:val="auto"/>
        </w:rPr>
      </w:pPr>
    </w:p>
    <w:tbl>
      <w:tblPr>
        <w:tblLayout w:type="fixed"/>
        <w:tblInd w:w="750" w:type="dxa"/>
        <w:tblCellMar>
          <w:top w:w="0" w:type="dxa"/>
          <w:left w:w="0" w:type="dxa"/>
          <w:bottom w:w="0" w:type="dxa"/>
          <w:right w:w="0" w:type="dxa"/>
        </w:tblCellMar>
      </w:tblPr>
      <w:tr>
        <w:trPr>
          <w:trHeight w:val="261"/>
        </w:trPr>
        <w:tc>
          <w:tcPr>
            <w:tcW w:w="1060" w:type="dxa"/>
            <w:vAlign w:val="bottom"/>
            <w:tcBorders>
              <w:top w:val="single" w:sz="8" w:color="auto"/>
              <w:left w:val="single" w:sz="8" w:color="auto"/>
              <w:right w:val="single" w:sz="8" w:color="auto"/>
            </w:tcBorders>
          </w:tcPr>
          <w:p>
            <w:pPr>
              <w:spacing w:after="0"/>
              <w:rPr>
                <w:sz w:val="22"/>
                <w:szCs w:val="22"/>
                <w:color w:val="auto"/>
              </w:rPr>
            </w:pPr>
          </w:p>
        </w:tc>
        <w:tc>
          <w:tcPr>
            <w:tcW w:w="2120" w:type="dxa"/>
            <w:vAlign w:val="bottom"/>
            <w:tcBorders>
              <w:top w:val="single" w:sz="8" w:color="auto"/>
              <w:right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7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For Swing Line</w:t>
            </w:r>
          </w:p>
        </w:tc>
        <w:tc>
          <w:tcPr>
            <w:tcW w:w="1780" w:type="dxa"/>
            <w:vAlign w:val="bottom"/>
            <w:tcBorders>
              <w:top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Unused Revolving</w:t>
            </w:r>
          </w:p>
        </w:tc>
      </w:tr>
      <w:tr>
        <w:trPr>
          <w:trHeight w:val="297"/>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Pricing</w:t>
            </w:r>
          </w:p>
        </w:tc>
        <w:tc>
          <w:tcPr>
            <w:tcW w:w="21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For SOFR Loans and</w:t>
            </w:r>
          </w:p>
        </w:tc>
        <w:tc>
          <w:tcPr>
            <w:tcW w:w="1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Loans and all other</w:t>
            </w:r>
          </w:p>
        </w:tc>
        <w:tc>
          <w:tcPr>
            <w:tcW w:w="178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Commitments</w:t>
            </w:r>
          </w:p>
        </w:tc>
      </w:tr>
      <w:tr>
        <w:trPr>
          <w:trHeight w:val="272"/>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Level</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 Net Leverage Ratio</w:t>
            </w:r>
          </w:p>
        </w:tc>
        <w:tc>
          <w:tcPr>
            <w:tcW w:w="202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Letter of Credit Fees</w:t>
            </w:r>
          </w:p>
        </w:tc>
        <w:tc>
          <w:tcPr>
            <w:tcW w:w="1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Base Rate Loans</w:t>
            </w:r>
          </w:p>
        </w:tc>
        <w:tc>
          <w:tcPr>
            <w:tcW w:w="1780" w:type="dxa"/>
            <w:vAlign w:val="bottom"/>
            <w:tcBorders>
              <w:right w:val="single" w:sz="8" w:color="auto"/>
            </w:tcBorders>
          </w:tcPr>
          <w:p>
            <w:pPr>
              <w:spacing w:after="0"/>
              <w:rPr>
                <w:sz w:val="23"/>
                <w:szCs w:val="23"/>
                <w:color w:val="auto"/>
              </w:rPr>
            </w:pPr>
          </w:p>
        </w:tc>
      </w:tr>
      <w:tr>
        <w:trPr>
          <w:trHeight w:val="34"/>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70"/>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12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426"/>
        </w:trPr>
        <w:tc>
          <w:tcPr>
            <w:tcW w:w="106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Greater than 4.00 to 1.00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4.25</w:t>
            </w:r>
          </w:p>
        </w:tc>
        <w:tc>
          <w:tcPr>
            <w:tcW w:w="1620" w:type="dxa"/>
            <w:vAlign w:val="bottom"/>
            <w:tcBorders>
              <w:right w:val="single" w:sz="8" w:color="auto"/>
            </w:tcBorders>
            <w:gridSpan w:val="2"/>
          </w:tcPr>
          <w:p>
            <w:pPr>
              <w:jc w:val="right"/>
              <w:ind w:right="1100"/>
              <w:spacing w:after="0"/>
              <w:rPr>
                <w:sz w:val="20"/>
                <w:szCs w:val="20"/>
                <w:color w:val="auto"/>
              </w:rPr>
            </w:pPr>
            <w:r>
              <w:rPr>
                <w:rFonts w:ascii="Times New Roman" w:cs="Times New Roman" w:eastAsia="Times New Roman" w:hAnsi="Times New Roman"/>
                <w:sz w:val="20"/>
                <w:szCs w:val="20"/>
                <w:color w:val="0000FF"/>
                <w:w w:val="96"/>
              </w:rPr>
              <w:t>3.50</w:t>
            </w:r>
            <w:r>
              <w:rPr>
                <w:rFonts w:ascii="Times New Roman" w:cs="Times New Roman" w:eastAsia="Times New Roman" w:hAnsi="Times New Roman"/>
                <w:sz w:val="20"/>
                <w:szCs w:val="20"/>
                <w:color w:val="000000"/>
                <w:w w:val="96"/>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3.25</w:t>
            </w:r>
          </w:p>
        </w:tc>
        <w:tc>
          <w:tcPr>
            <w:tcW w:w="134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20"/>
                <w:szCs w:val="20"/>
                <w:color w:val="0000FF"/>
                <w:w w:val="92"/>
              </w:rPr>
              <w:t>2.50</w:t>
            </w:r>
            <w:r>
              <w:rPr>
                <w:rFonts w:ascii="Times New Roman" w:cs="Times New Roman" w:eastAsia="Times New Roman" w:hAnsi="Times New Roman"/>
                <w:sz w:val="20"/>
                <w:szCs w:val="20"/>
                <w:color w:val="000000"/>
                <w:w w:val="92"/>
              </w:rPr>
              <w:t>%</w:t>
            </w:r>
          </w:p>
        </w:tc>
        <w:tc>
          <w:tcPr>
            <w:tcW w:w="1780" w:type="dxa"/>
            <w:vAlign w:val="bottom"/>
            <w:tcBorders>
              <w:right w:val="single" w:sz="8" w:color="auto"/>
            </w:tcBorders>
          </w:tcPr>
          <w:p>
            <w:pPr>
              <w:jc w:val="right"/>
              <w:ind w:right="1101"/>
              <w:spacing w:after="0"/>
              <w:rPr>
                <w:sz w:val="20"/>
                <w:szCs w:val="20"/>
                <w:color w:val="auto"/>
              </w:rPr>
            </w:pPr>
            <w:r>
              <w:rPr>
                <w:rFonts w:ascii="Times New Roman" w:cs="Times New Roman" w:eastAsia="Times New Roman" w:hAnsi="Times New Roman"/>
                <w:sz w:val="20"/>
                <w:szCs w:val="20"/>
                <w:color w:val="auto"/>
              </w:rPr>
              <w:t>0.50%</w:t>
            </w:r>
          </w:p>
        </w:tc>
      </w:tr>
      <w:tr>
        <w:trPr>
          <w:trHeight w:val="61"/>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r>
      <w:tr>
        <w:trPr>
          <w:trHeight w:val="270"/>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12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445"/>
        </w:trPr>
        <w:tc>
          <w:tcPr>
            <w:tcW w:w="106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Equal to or less than 4.00</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223"/>
        </w:trPr>
        <w:tc>
          <w:tcPr>
            <w:tcW w:w="106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to 1.00</w:t>
            </w:r>
          </w:p>
        </w:tc>
        <w:tc>
          <w:tcPr>
            <w:tcW w:w="4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rPr>
              <w:t>3.75</w:t>
            </w:r>
          </w:p>
        </w:tc>
        <w:tc>
          <w:tcPr>
            <w:tcW w:w="1620" w:type="dxa"/>
            <w:vAlign w:val="bottom"/>
            <w:tcBorders>
              <w:right w:val="single" w:sz="8" w:color="auto"/>
            </w:tcBorders>
            <w:gridSpan w:val="2"/>
          </w:tcPr>
          <w:p>
            <w:pPr>
              <w:jc w:val="right"/>
              <w:ind w:right="1100"/>
              <w:spacing w:after="0" w:line="224" w:lineRule="exact"/>
              <w:rPr>
                <w:sz w:val="20"/>
                <w:szCs w:val="20"/>
                <w:color w:val="auto"/>
              </w:rPr>
            </w:pPr>
            <w:r>
              <w:rPr>
                <w:rFonts w:ascii="Times New Roman" w:cs="Times New Roman" w:eastAsia="Times New Roman" w:hAnsi="Times New Roman"/>
                <w:sz w:val="20"/>
                <w:szCs w:val="20"/>
                <w:color w:val="0000FF"/>
                <w:w w:val="96"/>
              </w:rPr>
              <w:t>3.00</w:t>
            </w:r>
            <w:r>
              <w:rPr>
                <w:rFonts w:ascii="Times New Roman" w:cs="Times New Roman" w:eastAsia="Times New Roman" w:hAnsi="Times New Roman"/>
                <w:sz w:val="20"/>
                <w:szCs w:val="20"/>
                <w:color w:val="000000"/>
                <w:w w:val="96"/>
              </w:rPr>
              <w:t>%</w:t>
            </w:r>
          </w:p>
        </w:tc>
        <w:tc>
          <w:tcPr>
            <w:tcW w:w="4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FF0000"/>
                <w:strike w:val="1"/>
              </w:rPr>
              <w:t>2.75</w:t>
            </w:r>
          </w:p>
        </w:tc>
        <w:tc>
          <w:tcPr>
            <w:tcW w:w="1340" w:type="dxa"/>
            <w:vAlign w:val="bottom"/>
            <w:tcBorders>
              <w:right w:val="single" w:sz="8" w:color="auto"/>
            </w:tcBorders>
            <w:gridSpan w:val="2"/>
          </w:tcPr>
          <w:p>
            <w:pPr>
              <w:jc w:val="right"/>
              <w:ind w:right="840"/>
              <w:spacing w:after="0" w:line="224" w:lineRule="exact"/>
              <w:rPr>
                <w:sz w:val="20"/>
                <w:szCs w:val="20"/>
                <w:color w:val="auto"/>
              </w:rPr>
            </w:pPr>
            <w:r>
              <w:rPr>
                <w:rFonts w:ascii="Times New Roman" w:cs="Times New Roman" w:eastAsia="Times New Roman" w:hAnsi="Times New Roman"/>
                <w:sz w:val="20"/>
                <w:szCs w:val="20"/>
                <w:color w:val="0000FF"/>
                <w:w w:val="92"/>
              </w:rPr>
              <w:t>2.00</w:t>
            </w:r>
            <w:r>
              <w:rPr>
                <w:rFonts w:ascii="Times New Roman" w:cs="Times New Roman" w:eastAsia="Times New Roman" w:hAnsi="Times New Roman"/>
                <w:sz w:val="20"/>
                <w:szCs w:val="20"/>
                <w:color w:val="000000"/>
                <w:w w:val="92"/>
              </w:rPr>
              <w:t>%</w:t>
            </w:r>
          </w:p>
        </w:tc>
        <w:tc>
          <w:tcPr>
            <w:tcW w:w="1780" w:type="dxa"/>
            <w:vAlign w:val="bottom"/>
            <w:tcBorders>
              <w:right w:val="single" w:sz="8" w:color="auto"/>
            </w:tcBorders>
          </w:tcPr>
          <w:p>
            <w:pPr>
              <w:jc w:val="right"/>
              <w:ind w:right="1101"/>
              <w:spacing w:after="0" w:line="224" w:lineRule="exact"/>
              <w:rPr>
                <w:sz w:val="20"/>
                <w:szCs w:val="20"/>
                <w:color w:val="auto"/>
              </w:rPr>
            </w:pPr>
            <w:r>
              <w:rPr>
                <w:rFonts w:ascii="Times New Roman" w:cs="Times New Roman" w:eastAsia="Times New Roman" w:hAnsi="Times New Roman"/>
                <w:sz w:val="20"/>
                <w:szCs w:val="20"/>
                <w:color w:val="auto"/>
              </w:rPr>
              <w:t>0.35%</w:t>
            </w:r>
          </w:p>
        </w:tc>
      </w:tr>
      <w:tr>
        <w:trPr>
          <w:trHeight w:val="61"/>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r>
    </w:tbl>
    <w:p>
      <w:pPr>
        <w:spacing w:after="0" w:line="315" w:lineRule="exact"/>
        <w:rPr>
          <w:sz w:val="20"/>
          <w:szCs w:val="20"/>
          <w:color w:val="auto"/>
        </w:rPr>
      </w:pPr>
    </w:p>
    <w:p>
      <w:pPr>
        <w:jc w:val="both"/>
        <w:ind w:firstLine="187"/>
        <w:spacing w:after="0" w:line="253" w:lineRule="auto"/>
        <w:rPr>
          <w:sz w:val="20"/>
          <w:szCs w:val="20"/>
          <w:color w:val="auto"/>
        </w:rPr>
      </w:pPr>
      <w:r>
        <w:rPr>
          <w:rFonts w:ascii="Times New Roman" w:cs="Times New Roman" w:eastAsia="Times New Roman" w:hAnsi="Times New Roman"/>
          <w:sz w:val="20"/>
          <w:szCs w:val="20"/>
          <w:color w:val="auto"/>
        </w:rPr>
        <w:t>Any increase or decrease in the Applicable Margin resulting from a change in the Total Net Leverage Ratio shall become effective as of the first Business Day immediately following the date a Compliance Certificate is delivered pursuant to Section 5.01(d); provided that the Applicable Margin set forth in “Pricing Level 1” shall apply if a Compliance Certificate is not delivered within the time frame set forth in Section 5.01(d), commencing with the first Business Day immediately following such date and continuing until the first Business Day immediately following the delivery of such Compliance Certificate (and thereafter the pricing level otherwise determined in accordance with this definition shall apply).</w:t>
      </w:r>
    </w:p>
    <w:p>
      <w:pPr>
        <w:spacing w:after="0" w:line="71" w:lineRule="exact"/>
        <w:rPr>
          <w:sz w:val="20"/>
          <w:szCs w:val="20"/>
          <w:color w:val="auto"/>
        </w:rPr>
      </w:pPr>
    </w:p>
    <w:p>
      <w:pPr>
        <w:jc w:val="both"/>
        <w:ind w:firstLine="256"/>
        <w:spacing w:after="0" w:line="252" w:lineRule="auto"/>
        <w:rPr>
          <w:sz w:val="20"/>
          <w:szCs w:val="20"/>
          <w:color w:val="auto"/>
        </w:rPr>
      </w:pPr>
      <w:r>
        <w:rPr>
          <w:rFonts w:ascii="Times New Roman" w:cs="Times New Roman" w:eastAsia="Times New Roman" w:hAnsi="Times New Roman"/>
          <w:sz w:val="20"/>
          <w:szCs w:val="20"/>
          <w:color w:val="auto"/>
        </w:rPr>
        <w:t>In the event that the certified calculation of the Total Net Leverage Ratio previously delivered pursuant to the preceding paragraph was inaccurate, and such inaccuracy, if corrected, would have led to the application of a higher Applicable Margin for any period (an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than the Applicable Margin applied for such Applicable Period, then, (i) the Borrower shall as soon as practicable deliver to the Administrative Agent the correct certified calculation of the Total Net Leverage Ratio for such Applicable Period, (ii) the Applicable Margin shall be determined based on the correct certified calculation of the Total Net Leverage Ratio for such Applicable Period, (iii) the Borrower shall, within ten (10) Business Days of written demand thereof by the Administrative Agent, pay to the Administrative Agent the accrued additional interest owing as a result of such increased Applicable Margin for such Applicable Period, which payment shall be promptly applied by the Administrative Agent in accordance with this Agreement, and (iv) notwithstanding Section 8.01(a) to the contrary, no Default or Event of Default shall be deemed to have occurred due to failure to pay additional interest pursuant to this paragraph upon payment of any such additional interest in accordance with this paragraph.</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(w) the Applicable Margin in respect of any Class of Extended Revolving Credit Commitments or</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Extended Term Loans or Revolving Loans or Swing Line Loans made pursuant to any Extended Revolving Credit Commitments shall be the applicable percentages per annum set forth in the relevant Extension Amendment, (x) the Applicable Margin in respect of any Class of</w:t>
      </w:r>
    </w:p>
    <w:p>
      <w:pPr>
        <w:spacing w:after="0" w:line="211" w:lineRule="auto"/>
        <w:rPr>
          <w:sz w:val="20"/>
          <w:szCs w:val="20"/>
          <w:color w:val="auto"/>
        </w:rPr>
      </w:pPr>
      <w:r>
        <w:rPr>
          <w:rFonts w:ascii="Times New Roman" w:cs="Times New Roman" w:eastAsia="Times New Roman" w:hAnsi="Times New Roman"/>
          <w:sz w:val="20"/>
          <w:szCs w:val="20"/>
          <w:color w:val="auto"/>
        </w:rPr>
        <w:t>Incremental Term Loans and any Class of Incremental Revolving Credit Commitments shall be the applicable percentages per annum set</w:t>
      </w:r>
    </w:p>
    <w:p>
      <w:pPr>
        <w:jc w:val="both"/>
        <w:spacing w:after="0" w:line="204" w:lineRule="auto"/>
        <w:rPr>
          <w:sz w:val="20"/>
          <w:szCs w:val="20"/>
          <w:color w:val="auto"/>
        </w:rPr>
      </w:pPr>
      <w:r>
        <w:rPr>
          <w:rFonts w:ascii="Times New Roman" w:cs="Times New Roman" w:eastAsia="Times New Roman" w:hAnsi="Times New Roman"/>
          <w:sz w:val="20"/>
          <w:szCs w:val="20"/>
          <w:color w:val="auto"/>
        </w:rPr>
        <w:t>forth in the relevant Incremental Amendment, (y) the Applicable Margin in respect of any Class of Refinancing Revolving Credit Commitments, any Class of Refinancing Revolving Loans or any Class of Refinancing Term Loans shall be the applicable percentages per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annum set forth in the relevant Refinancing Amendment and (z) in the case of the Initial Term Loans, the Applicable Margin shall be increased as, and to the extent, necessary to comply with the MFN Provision.</w:t>
      </w:r>
    </w:p>
    <w:p>
      <w:pPr>
        <w:spacing w:after="0" w:line="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Net Proceeds Percentage</w:t>
      </w:r>
      <w:r>
        <w:rPr>
          <w:rFonts w:ascii="Times New Roman" w:cs="Times New Roman" w:eastAsia="Times New Roman" w:hAnsi="Times New Roman"/>
          <w:sz w:val="19"/>
          <w:szCs w:val="19"/>
          <w:color w:val="auto"/>
        </w:rPr>
        <w:t>” means, on the date on which the Initial Borrower or any of its Restricted Subsidiaries receives any Net Proceeds, (a) 100% if the Total Net Leverage Ratio for the most recently ended Test Period, on a Pro Forma Basis, is greater than 4.00 to 1.00, (b) 50% if the Total Net Leverage Ratio for the most recently ended Test Period, on a Pro Forma Basis, is greater than 3.50 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1.00 but less than or equal to 4.00 to 1.00, and (c) 0% if the Total Net Leverage Ratio for the most recently ended Test Period, on a Pro Forma Basis, is less than or equal to 3.50 to 1.00.</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Period</w:t>
      </w:r>
      <w:r>
        <w:rPr>
          <w:rFonts w:ascii="Times New Roman" w:cs="Times New Roman" w:eastAsia="Times New Roman" w:hAnsi="Times New Roman"/>
          <w:sz w:val="20"/>
          <w:szCs w:val="20"/>
          <w:color w:val="auto"/>
        </w:rPr>
        <w:t>” has the meaning set forth in the definition of “Applicable Margin”.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Lender</w:t>
      </w:r>
      <w:r>
        <w:rPr>
          <w:rFonts w:ascii="Times New Roman" w:cs="Times New Roman" w:eastAsia="Times New Roman" w:hAnsi="Times New Roman"/>
          <w:sz w:val="20"/>
          <w:szCs w:val="20"/>
          <w:color w:val="auto"/>
        </w:rPr>
        <w:t>” means, at any time, (a) with respect to Loans of any Class, the Lenders of such Class of Loans, (b) with</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respect to Letters of Credit, (i) the relevant Issuing Banks and (ii) the Revolving Credit Lenders and (c) with respect to Swing Line Loans, (i) the Swing Line Lender and (ii) if any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Credit Lenders.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 Card Systems</w:t>
      </w:r>
      <w:r>
        <w:rPr>
          <w:rFonts w:ascii="Times New Roman" w:cs="Times New Roman" w:eastAsia="Times New Roman" w:hAnsi="Times New Roman"/>
          <w:sz w:val="20"/>
          <w:szCs w:val="20"/>
          <w:color w:val="auto"/>
        </w:rPr>
        <w:t>” means Visa, MasterCard, American Express and Discover.</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 sale, lease or sub lease (as lessor or sub-lessor), sale and leaseback transaction, assignment, conveyance, transfer, exclusive license or other disposition to, or any exchange of property with, any Person (including any sales or issuances of Capital</w:t>
      </w:r>
    </w:p>
    <w:p>
      <w:pPr>
        <w:spacing w:after="0" w:line="212" w:lineRule="auto"/>
        <w:rPr>
          <w:sz w:val="20"/>
          <w:szCs w:val="20"/>
          <w:color w:val="auto"/>
        </w:rPr>
      </w:pPr>
      <w:r>
        <w:rPr>
          <w:rFonts w:ascii="Times New Roman" w:cs="Times New Roman" w:eastAsia="Times New Roman" w:hAnsi="Times New Roman"/>
          <w:sz w:val="20"/>
          <w:szCs w:val="20"/>
          <w:color w:val="auto"/>
        </w:rPr>
        <w:t>Stock), in one transaction or a series of transactions, of all or any part of any Credit Party’s or any of its Restricted Subsidiaries’ businesses,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assets or properties of any kind, whether real, personal, or mixed and whether tangible or intangible, whether now owned or hereafter acquired.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 Reinvestment Amounts</w:t>
      </w:r>
      <w:r>
        <w:rPr>
          <w:rFonts w:ascii="Times New Roman" w:cs="Times New Roman" w:eastAsia="Times New Roman" w:hAnsi="Times New Roman"/>
          <w:sz w:val="20"/>
          <w:szCs w:val="20"/>
          <w:color w:val="auto"/>
        </w:rPr>
        <w:t>” has the meaning given to such term in Section 2.13(a).</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means an Assignment and Assumption Agreement substantially in the form of Exhibit E, with such amendments or modifications as may be approved by Administrative Agent, or any other form agreed to by the Administrative Agent.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“Associated Rights” means, with respect to any ISO Residual Payment Rights and Permitted ISO Loan Receivables subject to a</w:t>
      </w: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Permitted Residual Financing, all of the applicable originator’s rights (including accessory rights and ancillary rights), privileges, interests, benefits and claims of any nature whatsoever relating to such ISO Residual Payment Rights and Permitted ISO Loan Receivables and 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other related assets and property customarily included in securitization transactions of the relevant type in the applicable jurisdiction (as determined by the Initial Borrower in good faith), including contractual rights (including the related purchase documents and loan</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documents, any indemnity rights and any late payment interest that may be due), all of the applicable originator’s interests in any security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granted in connection with any ISO Residual Payment Rights and Permitted ISO Loan Receivables, all collections with respect thereto, all intellectual property licenses and other intellectual property rights and all contractual rights with unaffiliated third parties related to the</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generation of such ISO Residual Payment Rights and Permitted ISO Loan Receivables, all guarantees and payment support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insurance or other agreements or arrangements of whatever character supporting or securing payment of such ISO Residual Payment Rights and Permitted ISO Loan Receivables, including without limitation any accessories and any security related thereto which pass to a buyer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virtue of any applicable laws, all cash and non-cash proceeds of the foregoing and all books and records related thereto.</w:t>
      </w:r>
    </w:p>
    <w:p>
      <w:pPr>
        <w:spacing w:after="0" w:line="11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all reasonable and documented fees, expenses and disbursements of any law firm or other external legal counsel.</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as applied to any Person (other than a natural person), any individual holding the position of chairman</w:t>
      </w:r>
    </w:p>
    <w:p>
      <w:pPr>
        <w:spacing w:after="0" w:line="215" w:lineRule="auto"/>
        <w:rPr>
          <w:sz w:val="20"/>
          <w:szCs w:val="20"/>
          <w:color w:val="auto"/>
        </w:rPr>
      </w:pPr>
      <w:r>
        <w:rPr>
          <w:rFonts w:ascii="Times New Roman" w:cs="Times New Roman" w:eastAsia="Times New Roman" w:hAnsi="Times New Roman"/>
          <w:sz w:val="19"/>
          <w:szCs w:val="19"/>
          <w:color w:val="auto"/>
        </w:rPr>
        <w:t>of the board (if an officer), chief executive officer, president, vice president (or the equivalent thereof), chief financial officer, treasurer, secretary or other officer expressly authorized by a resolution or written consent (delivered to Administrative Agent) to represent such Person</w:t>
      </w:r>
    </w:p>
    <w:p>
      <w:pPr>
        <w:spacing w:after="0"/>
        <w:rPr>
          <w:sz w:val="20"/>
          <w:szCs w:val="20"/>
          <w:color w:val="auto"/>
        </w:rPr>
      </w:pPr>
      <w:r>
        <w:rPr>
          <w:rFonts w:ascii="Times New Roman" w:cs="Times New Roman" w:eastAsia="Times New Roman" w:hAnsi="Times New Roman"/>
          <w:sz w:val="20"/>
          <w:szCs w:val="20"/>
          <w:color w:val="auto"/>
        </w:rPr>
        <w:t>in such capacity and such Authorized Officer shall conclusively presume to have acted on behalf of such Person.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of determination (the “</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the sum of (without duplication):</w:t>
      </w:r>
    </w:p>
    <w:p>
      <w:pPr>
        <w:spacing w:after="0" w:line="135" w:lineRule="exact"/>
        <w:rPr>
          <w:sz w:val="20"/>
          <w:szCs w:val="20"/>
          <w:color w:val="auto"/>
        </w:rPr>
      </w:pPr>
    </w:p>
    <w:p>
      <w:pPr>
        <w:ind w:firstLine="656"/>
        <w:spacing w:after="0"/>
        <w:tabs>
          <w:tab w:leader="none" w:pos="106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w:t>
      </w:r>
      <w:r>
        <w:rPr>
          <w:rFonts w:ascii="Times New Roman" w:cs="Times New Roman" w:eastAsia="Times New Roman" w:hAnsi="Times New Roman"/>
          <w:sz w:val="20"/>
          <w:szCs w:val="20"/>
          <w:color w:val="FF0000"/>
          <w:strike w:val="1"/>
        </w:rPr>
        <w:t>35,760,000</w:t>
      </w:r>
      <w:r>
        <w:rPr>
          <w:rFonts w:ascii="Times New Roman" w:cs="Times New Roman" w:eastAsia="Times New Roman" w:hAnsi="Times New Roman"/>
          <w:sz w:val="20"/>
          <w:szCs w:val="20"/>
          <w:u w:val="single" w:color="auto"/>
          <w:color w:val="0000FF"/>
        </w:rPr>
        <w:t>43,780,000</w:t>
      </w:r>
      <w:r>
        <w:rPr>
          <w:rFonts w:ascii="Times New Roman" w:cs="Times New Roman" w:eastAsia="Times New Roman" w:hAnsi="Times New Roman"/>
          <w:sz w:val="20"/>
          <w:szCs w:val="20"/>
          <w:color w:val="auto"/>
        </w:rPr>
        <w:t xml:space="preserve"> and (B) 20% of Consolidated Adjusted EBITDA for the most recently completed Test Period (calculated on a Pro Forma Basis);</w:t>
      </w:r>
    </w:p>
    <w:p>
      <w:pPr>
        <w:spacing w:after="0" w:line="8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Cumulative Retained Consolidated Excess Cash Flow Amount at such time; </w:t>
      </w:r>
      <w:r>
        <w:rPr>
          <w:rFonts w:ascii="Times New Roman" w:cs="Times New Roman" w:eastAsia="Times New Roman" w:hAnsi="Times New Roman"/>
          <w:sz w:val="20"/>
          <w:szCs w:val="20"/>
          <w:i w:val="1"/>
          <w:iCs w:val="1"/>
          <w:color w:val="auto"/>
        </w:rPr>
        <w:t>plus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99" w:right="339" w:bottom="1440" w:gutter="0" w:footer="0" w:header="0"/>
        </w:sectPr>
      </w:pPr>
    </w:p>
    <w:bookmarkStart w:id="37" w:name="page38"/>
    <w:bookmarkEnd w:id="37"/>
    <w:p>
      <w:pPr>
        <w:jc w:val="both"/>
        <w:ind w:firstLine="656"/>
        <w:spacing w:after="0" w:line="220" w:lineRule="auto"/>
        <w:tabs>
          <w:tab w:leader="none" w:pos="10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determined on a cumulative basis equal to the net Cash proceeds from the issuance of, and any Cash contributed in respect of, PRTH’s or any Borrower’s Permitted Stock Issuance after the Closing Date and, with respect to any Permitted Stock Issuance of PRTH, which net proceeds and Cash are in turn contributed to any Borrower in Cash in respect of such Borrower’s common equity (other than (i) any Specified Equity Contributions, (ii) Disqualified Capital Stock, (iii) any Permitted Stock Issuances pursuant to Section 6.07(m) and Section 6.07(s) or (iv) any amount previously applied for a purpose other than a Permitted Available Amount Usage); </w:t>
      </w:r>
      <w:r>
        <w:rPr>
          <w:rFonts w:ascii="Times New Roman" w:cs="Times New Roman" w:eastAsia="Times New Roman" w:hAnsi="Times New Roman"/>
          <w:sz w:val="20"/>
          <w:szCs w:val="20"/>
          <w:i w:val="1"/>
          <w:iCs w:val="1"/>
          <w:color w:val="auto"/>
        </w:rPr>
        <w:t>plus</w:t>
      </w:r>
    </w:p>
    <w:p>
      <w:pPr>
        <w:spacing w:after="0" w:line="8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Declined Proceeds; </w:t>
      </w:r>
      <w:r>
        <w:rPr>
          <w:rFonts w:ascii="Times New Roman" w:cs="Times New Roman" w:eastAsia="Times New Roman" w:hAnsi="Times New Roman"/>
          <w:sz w:val="20"/>
          <w:szCs w:val="20"/>
          <w:i w:val="1"/>
          <w:iCs w:val="1"/>
          <w:color w:val="auto"/>
        </w:rPr>
        <w:t>plus</w:t>
      </w:r>
    </w:p>
    <w:p>
      <w:pPr>
        <w:spacing w:after="0" w:line="138" w:lineRule="exact"/>
        <w:rPr>
          <w:rFonts w:ascii="Times New Roman" w:cs="Times New Roman" w:eastAsia="Times New Roman" w:hAnsi="Times New Roman"/>
          <w:sz w:val="20"/>
          <w:szCs w:val="20"/>
          <w:color w:val="auto"/>
        </w:rPr>
      </w:pPr>
    </w:p>
    <w:p>
      <w:pPr>
        <w:jc w:val="both"/>
        <w:ind w:firstLine="656"/>
        <w:spacing w:after="0" w:line="213" w:lineRule="auto"/>
        <w:tabs>
          <w:tab w:leader="none" w:pos="12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(i) the amount of any Investment made by the Borrowers and/or any of their Restricted Subsidiaries in any Unrestricted Subsidiary that has been re-designated as a Restricted Subsidiary or that has been merged or consolidated into a Borrower or any of their Restricted Subsidiaries to the extent such original Investment in such Unrestricted Subsidiary was made in reliance on the Available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fair market value of the assets of any Unrestricted Subsidiary (as reasonably determined by the Borrower Representative) that have been transferred to a Borrower or any of their Restricted Subsidiaries or the amount of Cash dividends (excluding dividends that represent the tax liability of such Unrestricted Subsidiary) made by an Unrestricted Subsidiary to a Borrower or any of their Restricted Subsidiaries (to the extent not included in Consolidated Net Income) or the Net Asset Sale Proceeds from the Asset Sale of any Unrestricted Subsidiary received by a Borrower or any of their Restricted Subsidiaries (to the extent not included in Consolidated Net Income); </w:t>
      </w:r>
      <w:r>
        <w:rPr>
          <w:rFonts w:ascii="Times New Roman" w:cs="Times New Roman" w:eastAsia="Times New Roman" w:hAnsi="Times New Roman"/>
          <w:sz w:val="20"/>
          <w:szCs w:val="20"/>
          <w:i w:val="1"/>
          <w:iCs w:val="1"/>
          <w:color w:val="auto"/>
        </w:rPr>
        <w:t>plus</w:t>
      </w:r>
    </w:p>
    <w:p>
      <w:pPr>
        <w:spacing w:after="0" w:line="107" w:lineRule="exact"/>
        <w:rPr>
          <w:rFonts w:ascii="Times New Roman" w:cs="Times New Roman" w:eastAsia="Times New Roman" w:hAnsi="Times New Roman"/>
          <w:sz w:val="20"/>
          <w:szCs w:val="20"/>
          <w:color w:val="auto"/>
        </w:rPr>
      </w:pPr>
    </w:p>
    <w:p>
      <w:pPr>
        <w:jc w:val="both"/>
        <w:ind w:firstLine="656"/>
        <w:spacing w:after="0" w:line="226" w:lineRule="auto"/>
        <w:tabs>
          <w:tab w:leader="none" w:pos="109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Cash proceeds initially received by a Borrower or a Restricted Subsidiary from Indebtedness and Disqualified Capital Stock issuances that have been issued after the Closing Date and which have been exchanged or converted into Capital Stock (other than Disqualified Capital Stock) of a Borrower, a Restricted Subsidiary or PRTH; </w:t>
      </w:r>
      <w:r>
        <w:rPr>
          <w:rFonts w:ascii="Times New Roman" w:cs="Times New Roman" w:eastAsia="Times New Roman" w:hAnsi="Times New Roman"/>
          <w:sz w:val="20"/>
          <w:szCs w:val="20"/>
          <w:i w:val="1"/>
          <w:iCs w:val="1"/>
          <w:color w:val="auto"/>
        </w:rPr>
        <w:t>plus</w:t>
      </w:r>
    </w:p>
    <w:p>
      <w:pPr>
        <w:spacing w:after="0" w:line="106" w:lineRule="exact"/>
        <w:rPr>
          <w:rFonts w:ascii="Times New Roman" w:cs="Times New Roman" w:eastAsia="Times New Roman" w:hAnsi="Times New Roman"/>
          <w:sz w:val="20"/>
          <w:szCs w:val="20"/>
          <w:color w:val="auto"/>
        </w:rPr>
      </w:pPr>
    </w:p>
    <w:p>
      <w:pPr>
        <w:jc w:val="both"/>
        <w:ind w:firstLine="656"/>
        <w:spacing w:after="0" w:line="226" w:lineRule="auto"/>
        <w:tabs>
          <w:tab w:leader="none" w:pos="107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any Returns in Cash actually received by a Borrower or a Restricted Subsidiary in respect of any Investment made in reliance on the Available Amount (excluding Returns from an Unrestricted Subsidiary that represent the tax liability of such Unrestricted Subsidiary); </w:t>
      </w:r>
      <w:r>
        <w:rPr>
          <w:rFonts w:ascii="Times New Roman" w:cs="Times New Roman" w:eastAsia="Times New Roman" w:hAnsi="Times New Roman"/>
          <w:sz w:val="20"/>
          <w:szCs w:val="20"/>
          <w:i w:val="1"/>
          <w:iCs w:val="1"/>
          <w:color w:val="auto"/>
        </w:rPr>
        <w:t>minus</w:t>
      </w:r>
    </w:p>
    <w:p>
      <w:pPr>
        <w:spacing w:after="0" w:line="106" w:lineRule="exact"/>
        <w:rPr>
          <w:rFonts w:ascii="Times New Roman" w:cs="Times New Roman" w:eastAsia="Times New Roman" w:hAnsi="Times New Roman"/>
          <w:sz w:val="20"/>
          <w:szCs w:val="20"/>
          <w:color w:val="auto"/>
        </w:rPr>
      </w:pPr>
    </w:p>
    <w:p>
      <w:pPr>
        <w:jc w:val="both"/>
        <w:ind w:firstLine="656"/>
        <w:spacing w:after="0" w:line="217" w:lineRule="auto"/>
        <w:tabs>
          <w:tab w:leader="none" w:pos="111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(i) Investments made using the Available Amount as set forth in </w:t>
      </w:r>
      <w:r>
        <w:rPr>
          <w:rFonts w:ascii="Times New Roman" w:cs="Times New Roman" w:eastAsia="Times New Roman" w:hAnsi="Times New Roman"/>
          <w:sz w:val="20"/>
          <w:szCs w:val="20"/>
          <w:u w:val="single" w:color="auto"/>
          <w:color w:val="auto"/>
        </w:rPr>
        <w:t>Section 6.07(n)</w:t>
      </w:r>
      <w:r>
        <w:rPr>
          <w:rFonts w:ascii="Times New Roman" w:cs="Times New Roman" w:eastAsia="Times New Roman" w:hAnsi="Times New Roman"/>
          <w:sz w:val="20"/>
          <w:szCs w:val="20"/>
          <w:color w:val="auto"/>
        </w:rPr>
        <w:t xml:space="preserve">, (ii) Restricted Debt Payments made using the Available Amount as set forth in </w:t>
      </w:r>
      <w:r>
        <w:rPr>
          <w:rFonts w:ascii="Times New Roman" w:cs="Times New Roman" w:eastAsia="Times New Roman" w:hAnsi="Times New Roman"/>
          <w:sz w:val="20"/>
          <w:szCs w:val="20"/>
          <w:u w:val="single" w:color="auto"/>
          <w:color w:val="auto"/>
        </w:rPr>
        <w:t>Section 6.05(b)(iv)</w:t>
      </w:r>
      <w:r>
        <w:rPr>
          <w:rFonts w:ascii="Times New Roman" w:cs="Times New Roman" w:eastAsia="Times New Roman" w:hAnsi="Times New Roman"/>
          <w:sz w:val="20"/>
          <w:szCs w:val="20"/>
          <w:color w:val="auto"/>
        </w:rPr>
        <w:t xml:space="preserve"> and (iii) Restricted Payments made using the Available Amount as set forth in </w:t>
      </w:r>
      <w:r>
        <w:rPr>
          <w:rFonts w:ascii="Times New Roman" w:cs="Times New Roman" w:eastAsia="Times New Roman" w:hAnsi="Times New Roman"/>
          <w:sz w:val="20"/>
          <w:szCs w:val="20"/>
          <w:u w:val="single" w:color="auto"/>
          <w:color w:val="auto"/>
        </w:rPr>
        <w:t>Section 6.05(a)(xii)</w:t>
      </w:r>
      <w:r>
        <w:rPr>
          <w:rFonts w:ascii="Times New Roman" w:cs="Times New Roman" w:eastAsia="Times New Roman" w:hAnsi="Times New Roman"/>
          <w:sz w:val="20"/>
          <w:szCs w:val="20"/>
          <w:color w:val="auto"/>
        </w:rPr>
        <w:t xml:space="preserve">, in each case, during the period from and including the Business Day immediately following the Closing Date through and including the Reference Date (each item referred to in the immediately foregoing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and (iii), a “</w:t>
      </w:r>
      <w:r>
        <w:rPr>
          <w:rFonts w:ascii="Times New Roman" w:cs="Times New Roman" w:eastAsia="Times New Roman" w:hAnsi="Times New Roman"/>
          <w:sz w:val="20"/>
          <w:szCs w:val="20"/>
          <w:u w:val="single" w:color="auto"/>
          <w:color w:val="auto"/>
        </w:rPr>
        <w:t>Permitted Available Amount Usage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6781165</wp:posOffset>
            </wp:positionH>
            <wp:positionV relativeFrom="paragraph">
              <wp:posOffset>-147955</wp:posOffset>
            </wp:positionV>
            <wp:extent cx="228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if such</w:t>
      </w:r>
    </w:p>
    <w:p>
      <w:pPr>
        <w:ind w:right="20"/>
        <w:spacing w:after="0" w:line="215" w:lineRule="auto"/>
        <w:rPr>
          <w:sz w:val="20"/>
          <w:szCs w:val="20"/>
          <w:color w:val="auto"/>
        </w:rPr>
      </w:pPr>
      <w:r>
        <w:rPr>
          <w:rFonts w:ascii="Times New Roman" w:cs="Times New Roman" w:eastAsia="Times New Roman" w:hAnsi="Times New Roman"/>
          <w:sz w:val="19"/>
          <w:szCs w:val="19"/>
          <w:color w:val="auto"/>
        </w:rPr>
        <w:t>Benchmark is a term rate, any tenor for such Benchmark (or component thereof) that is or may be used for determining the length of an Interest Period pursuant to this Agreement as of such date and not including, for the avoidance of doubt, any tenor for such Benchmark that is</w:t>
      </w:r>
    </w:p>
    <w:p>
      <w:pPr>
        <w:spacing w:after="0"/>
        <w:rPr>
          <w:sz w:val="20"/>
          <w:szCs w:val="20"/>
          <w:color w:val="auto"/>
        </w:rPr>
      </w:pPr>
      <w:r>
        <w:rPr>
          <w:rFonts w:ascii="Times New Roman" w:cs="Times New Roman" w:eastAsia="Times New Roman" w:hAnsi="Times New Roman"/>
          <w:sz w:val="20"/>
          <w:szCs w:val="20"/>
          <w:color w:val="auto"/>
        </w:rPr>
        <w:t>then-removed from the definition of “Interest Period” pursuant to Section 2.27(e).</w:t>
      </w:r>
    </w:p>
    <w:p>
      <w:pPr>
        <w:spacing w:after="0" w:line="11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xml:space="preserve"> means (a) with respect to any EEA Member Country implementing Article 55 of Directive 2014/59/EU of the</w:t>
      </w:r>
    </w:p>
    <w:p>
      <w:pPr>
        <w:spacing w:after="0" w:line="215" w:lineRule="auto"/>
        <w:rPr>
          <w:sz w:val="20"/>
          <w:szCs w:val="20"/>
          <w:color w:val="auto"/>
        </w:rPr>
      </w:pPr>
      <w:r>
        <w:rPr>
          <w:rFonts w:ascii="Times New Roman" w:cs="Times New Roman" w:eastAsia="Times New Roman" w:hAnsi="Times New Roman"/>
          <w:sz w:val="19"/>
          <w:szCs w:val="19"/>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w:t>
      </w:r>
    </w:p>
    <w:p>
      <w:pPr>
        <w:spacing w:after="0" w:line="211" w:lineRule="auto"/>
        <w:rPr>
          <w:sz w:val="20"/>
          <w:szCs w:val="20"/>
          <w:color w:val="auto"/>
        </w:rPr>
      </w:pPr>
      <w:r>
        <w:rPr>
          <w:rFonts w:ascii="Times New Roman" w:cs="Times New Roman" w:eastAsia="Times New Roman" w:hAnsi="Times New Roman"/>
          <w:sz w:val="20"/>
          <w:szCs w:val="20"/>
          <w:color w:val="auto"/>
        </w:rPr>
        <w:t>the United Kingdom Banking Act 2009 (as amended from time to time) and any other law, regulation or rule applicable in the United</w:t>
      </w:r>
    </w:p>
    <w:p>
      <w:pPr>
        <w:spacing w:after="0" w:line="221"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(11 U.S.C. §§ 101 et seq.).</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399"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for any day, a rate per annum equal to the greatest of (i) the Prime Rate in effect on such day, (ii) the Federal</w:t>
      </w:r>
    </w:p>
    <w:p>
      <w:pPr>
        <w:jc w:val="both"/>
        <w:spacing w:after="0" w:line="204" w:lineRule="auto"/>
        <w:rPr>
          <w:sz w:val="20"/>
          <w:szCs w:val="20"/>
          <w:color w:val="auto"/>
        </w:rPr>
      </w:pPr>
      <w:r>
        <w:rPr>
          <w:rFonts w:ascii="Times New Roman" w:cs="Times New Roman" w:eastAsia="Times New Roman" w:hAnsi="Times New Roman"/>
          <w:sz w:val="20"/>
          <w:szCs w:val="20"/>
          <w:color w:val="auto"/>
        </w:rPr>
        <w:t>Funds Effective Rate in effect on such day plus ½ of 1.00%, (iii) Term SOFR for a one-month Interest Period on such day (or if such day is not a Business Day, the immediately preceding Business Day) plus 1.00% and (iv) 0.00%. Any change in the Base Rate due to a change in</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the Prime Rate, Term SOFR or the Federal Funds Effective Rate, shall be effective on the effective day of such change in the Prime Rate, Term SOFR or the Federal Funds Effective Rate, respectively.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bearing interest at a rate determined by reference to the Base Rate.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shall have the meaning set forth the definition of “Term SOFR”.</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clause (b) of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provided that, if such Benchmark Replacement as so determined would be less than the Floor, such Benchmark Replacement will be deemed to be the Floor for the purposes of this Agreement and the other Credit Documents.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 current Benchmark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Representative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108" w:lineRule="exact"/>
        <w:rPr>
          <w:sz w:val="20"/>
          <w:szCs w:val="20"/>
          <w:color w:val="auto"/>
        </w:rPr>
      </w:pPr>
    </w:p>
    <w:p>
      <w:pPr>
        <w:ind w:left="940" w:hanging="284"/>
        <w:spacing w:after="0"/>
        <w:tabs>
          <w:tab w:leader="none" w:pos="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w:t>
      </w:r>
    </w:p>
    <w:p>
      <w:pPr>
        <w:spacing w:after="0" w:line="12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public statement or publication of information referenced therein; and</w:t>
      </w:r>
    </w:p>
    <w:p>
      <w:pPr>
        <w:spacing w:after="0" w:line="107"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61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53" w:lineRule="exact"/>
        <w:rPr>
          <w:rFonts w:ascii="Times New Roman" w:cs="Times New Roman" w:eastAsia="Times New Roman" w:hAnsi="Times New Roman"/>
          <w:sz w:val="20"/>
          <w:szCs w:val="20"/>
          <w:color w:val="auto"/>
        </w:rPr>
      </w:pPr>
    </w:p>
    <w:p>
      <w:pPr>
        <w:jc w:val="both"/>
        <w:ind w:firstLine="656"/>
        <w:spacing w:after="0" w:line="261" w:lineRule="auto"/>
        <w:tabs>
          <w:tab w:leader="none" w:pos="95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394"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20"/>
          <w:szCs w:val="20"/>
          <w:color w:val="auto"/>
        </w:rPr>
        <w:t>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if such Benchmark is a term rate, the “Benchmark Replacement Date” will be deemed to have occurred in the case of clause (1) or (2) above with respect to any Benchmark upon the occurrence of the applicable event or events set forth therein with respect to all then-current Available Tenors of such Benchmark (or the published component used in the calculation thereof).</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79" w:lineRule="exact"/>
        <w:rPr>
          <w:sz w:val="20"/>
          <w:szCs w:val="20"/>
          <w:color w:val="auto"/>
        </w:rPr>
      </w:pPr>
    </w:p>
    <w:p>
      <w:pPr>
        <w:jc w:val="both"/>
        <w:ind w:firstLine="656"/>
        <w:spacing w:after="0" w:line="218" w:lineRule="auto"/>
        <w:tabs>
          <w:tab w:leader="none" w:pos="11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96" w:lineRule="exact"/>
        <w:rPr>
          <w:rFonts w:ascii="Times New Roman" w:cs="Times New Roman" w:eastAsia="Times New Roman" w:hAnsi="Times New Roman"/>
          <w:sz w:val="20"/>
          <w:szCs w:val="20"/>
          <w:color w:val="auto"/>
        </w:rPr>
      </w:pPr>
    </w:p>
    <w:p>
      <w:pPr>
        <w:jc w:val="both"/>
        <w:ind w:firstLine="656"/>
        <w:spacing w:after="0" w:line="214" w:lineRule="auto"/>
        <w:tabs>
          <w:tab w:leader="none" w:pos="112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98" w:lineRule="exact"/>
        <w:rPr>
          <w:rFonts w:ascii="Times New Roman" w:cs="Times New Roman" w:eastAsia="Times New Roman" w:hAnsi="Times New Roman"/>
          <w:sz w:val="20"/>
          <w:szCs w:val="20"/>
          <w:color w:val="auto"/>
        </w:rPr>
      </w:pPr>
    </w:p>
    <w:p>
      <w:pPr>
        <w:jc w:val="both"/>
        <w:ind w:firstLine="656"/>
        <w:spacing w:after="0" w:line="222" w:lineRule="auto"/>
        <w:tabs>
          <w:tab w:leader="none" w:pos="112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5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13"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9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Bona Fide Debt Fund</w:t>
      </w:r>
      <w:r>
        <w:rPr>
          <w:rFonts w:ascii="Times New Roman" w:cs="Times New Roman" w:eastAsia="Times New Roman" w:hAnsi="Times New Roman"/>
          <w:sz w:val="20"/>
          <w:szCs w:val="20"/>
          <w:color w:val="auto"/>
        </w:rPr>
        <w:t xml:space="preserve">” means any bona fide debt fund or investment vehicle of any Person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the definition of “Disqualified Institution” that is primarily engaged in, or advises funds or other investment vehicles that are engaged in, making,</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purchasing, holding or otherwise investing in commercial loans, notes, bonds and similar extensions of credit or securities in the ordinary course of its business.</w:t>
      </w:r>
    </w:p>
    <w:p>
      <w:pPr>
        <w:spacing w:after="0" w:line="10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Joinder Agreement</w:t>
      </w:r>
      <w:r>
        <w:rPr>
          <w:rFonts w:ascii="Times New Roman" w:cs="Times New Roman" w:eastAsia="Times New Roman" w:hAnsi="Times New Roman"/>
          <w:sz w:val="20"/>
          <w:szCs w:val="20"/>
          <w:color w:val="auto"/>
        </w:rPr>
        <w:t>” means a borrower joinder agreement in a form and on terms reasonably satisfactory to the Administrative Agent and the Borrower Representative.</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Representative</w:t>
      </w:r>
      <w:r>
        <w:rPr>
          <w:rFonts w:ascii="Times New Roman" w:cs="Times New Roman" w:eastAsia="Times New Roman" w:hAnsi="Times New Roman"/>
          <w:sz w:val="20"/>
          <w:szCs w:val="20"/>
          <w:color w:val="auto"/>
        </w:rPr>
        <w:t xml:space="preserve">” means Priority Holdings, LLC, in its capacity as Borrower Representative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a Swing Line Borrowing or a Term Borrowing, as the context may require.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ISO</w:t>
      </w:r>
      <w:r>
        <w:rPr>
          <w:rFonts w:ascii="Times New Roman" w:cs="Times New Roman" w:eastAsia="Times New Roman" w:hAnsi="Times New Roman"/>
          <w:sz w:val="20"/>
          <w:szCs w:val="20"/>
          <w:color w:val="auto"/>
        </w:rPr>
        <w:t>” has the meaning set forth in “Permitted ISO Loans”.</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(i) any day excluding Saturday, Sunday and any day which is a legal holiday under the laws of the State of New York or North Carolina on which banking institutions located in the State of New York or Charlotte, North Carolina are authorized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required by law or other governmental action to close and (ii) if such day relates to a Borrowing of, a payment or prepayment of principal or interest on, a conversion of or into, or an Interest Period for, a SOFR Loan, a determination of Term SOFR or a notice with respect to any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any day that is also a U.S. Government Securities Business Day.</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w:t>
      </w:r>
      <w:r>
        <w:rPr>
          <w:rFonts w:ascii="Times New Roman" w:cs="Times New Roman" w:eastAsia="Times New Roman" w:hAnsi="Times New Roman"/>
          <w:sz w:val="19"/>
          <w:szCs w:val="19"/>
          <w:color w:val="auto"/>
        </w:rPr>
        <w:t xml:space="preserve">” means, as applied to any Person, any lease of any property (whether real, personal or mixed) by that Person as lessee that, in conformity with GAAP (subject to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is or should be accounted for as a capital or finance lease on the balance sheet of</w:t>
      </w:r>
    </w:p>
    <w:p>
      <w:pPr>
        <w:spacing w:after="0"/>
        <w:rPr>
          <w:sz w:val="20"/>
          <w:szCs w:val="20"/>
          <w:color w:val="auto"/>
        </w:rPr>
      </w:pPr>
      <w:r>
        <w:rPr>
          <w:rFonts w:ascii="Times New Roman" w:cs="Times New Roman" w:eastAsia="Times New Roman" w:hAnsi="Times New Roman"/>
          <w:sz w:val="20"/>
          <w:szCs w:val="20"/>
          <w:color w:val="auto"/>
        </w:rPr>
        <w:t>that Person.</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with respect to any Person, any and all shares, interests, participations or other equivalents (however designated) of capital stock of a corporation, any and all equivalent ownership interests in a Person (other than a corporation), including</w:t>
      </w:r>
    </w:p>
    <w:p>
      <w:pPr>
        <w:spacing w:after="0" w:line="212" w:lineRule="auto"/>
        <w:rPr>
          <w:sz w:val="20"/>
          <w:szCs w:val="20"/>
          <w:color w:val="auto"/>
        </w:rPr>
      </w:pPr>
      <w:r>
        <w:rPr>
          <w:rFonts w:ascii="Times New Roman" w:cs="Times New Roman" w:eastAsia="Times New Roman" w:hAnsi="Times New Roman"/>
          <w:sz w:val="20"/>
          <w:szCs w:val="20"/>
          <w:color w:val="auto"/>
        </w:rPr>
        <w:t>partnership interests and membership interests (however designated, whether voting or non-voting), and any and all warrants, rights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options to purchase or other arrangements or rights to acquire any of the foregoing, but excluding any Indebtedness convertible into or exchangeable for any of the foregoing.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a credit balance in any demand or Deposit Account, in each case, determined in accordance with</w:t>
      </w:r>
    </w:p>
    <w:p>
      <w:pPr>
        <w:spacing w:after="0"/>
        <w:rPr>
          <w:sz w:val="20"/>
          <w:szCs w:val="20"/>
          <w:color w:val="auto"/>
        </w:rPr>
      </w:pPr>
      <w:r>
        <w:rPr>
          <w:rFonts w:ascii="Times New Roman" w:cs="Times New Roman" w:eastAsia="Times New Roman" w:hAnsi="Times New Roman"/>
          <w:sz w:val="20"/>
          <w:szCs w:val="20"/>
          <w:color w:val="auto"/>
        </w:rPr>
        <w:t>GAAP.</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of determination, (i) marketable securities (a) issued or directly and unconditionally guaranteed as to interest and principal by the United States government, or (b) issued by any agency of the United States the obligations of</w:t>
      </w:r>
    </w:p>
    <w:p>
      <w:pPr>
        <w:spacing w:after="0" w:line="212" w:lineRule="auto"/>
        <w:rPr>
          <w:sz w:val="20"/>
          <w:szCs w:val="20"/>
          <w:color w:val="auto"/>
        </w:rPr>
      </w:pPr>
      <w:r>
        <w:rPr>
          <w:rFonts w:ascii="Times New Roman" w:cs="Times New Roman" w:eastAsia="Times New Roman" w:hAnsi="Times New Roman"/>
          <w:sz w:val="20"/>
          <w:szCs w:val="20"/>
          <w:color w:val="auto"/>
        </w:rPr>
        <w:t>which are backed by the full faith and credit of the United States government, in each case, maturing within one (1) year after such date; (ii)</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marketable direct obligations issued by any state of the United States or any political subdivision of any such state or any public instrumentality thereof, in each case, maturing within one (1) year after such date and having, at the time of the acquisition thereof, a rating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at least A-1 from S&amp;P or at least P-1 from Moody’s (or, if at any time either S&amp;P or Moody’s are not rating such obligations, an equivalent rating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39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from another nationally recognized statistical rating agency); (iii) commercial paper maturing no more than one (1) year from the date of</w:t>
      </w:r>
    </w:p>
    <w:p>
      <w:pPr>
        <w:jc w:val="both"/>
        <w:spacing w:after="0" w:line="215" w:lineRule="auto"/>
        <w:rPr>
          <w:sz w:val="20"/>
          <w:szCs w:val="20"/>
          <w:color w:val="auto"/>
        </w:rPr>
      </w:pPr>
      <w:r>
        <w:rPr>
          <w:rFonts w:ascii="Times New Roman" w:cs="Times New Roman" w:eastAsia="Times New Roman" w:hAnsi="Times New Roman"/>
          <w:sz w:val="19"/>
          <w:szCs w:val="19"/>
          <w:color w:val="auto"/>
        </w:rPr>
        <w:t>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w:t>
      </w:r>
    </w:p>
    <w:p>
      <w:pPr>
        <w:jc w:val="both"/>
        <w:ind w:firstLine="8"/>
        <w:spacing w:after="0" w:line="210" w:lineRule="auto"/>
        <w:tabs>
          <w:tab w:leader="none" w:pos="34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entered into with any bank meeting the qualifications specified in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between any Borrower or any Restricted Subsidiary and any Cash</w:t>
      </w:r>
    </w:p>
    <w:p>
      <w:pPr>
        <w:spacing w:after="0" w:line="221" w:lineRule="auto"/>
        <w:rPr>
          <w:sz w:val="20"/>
          <w:szCs w:val="20"/>
          <w:color w:val="auto"/>
        </w:rPr>
      </w:pPr>
      <w:r>
        <w:rPr>
          <w:rFonts w:ascii="Times New Roman" w:cs="Times New Roman" w:eastAsia="Times New Roman" w:hAnsi="Times New Roman"/>
          <w:sz w:val="20"/>
          <w:szCs w:val="20"/>
          <w:color w:val="auto"/>
        </w:rPr>
        <w:t>Management Bank to provide Cash management services, including treasury, depository, overdraft, credit or debit card, electronic funds transfer and other Cash management arrangements.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that is a Lender or an Agent (or an Affiliate of a Lender or an Agent) and any Person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who was a Lender or an Agent (or any Affiliate of a Lender or an Agent) at the time it entered into a Cash Management Agreement, in each case, in its capacity as a party to such Cash Management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Person is (or was, at the time it entered into a Cash</w:t>
      </w:r>
    </w:p>
    <w:p>
      <w:pPr>
        <w:spacing w:after="0" w:line="204" w:lineRule="auto"/>
        <w:rPr>
          <w:sz w:val="20"/>
          <w:szCs w:val="20"/>
          <w:color w:val="auto"/>
        </w:rPr>
      </w:pPr>
      <w:r>
        <w:rPr>
          <w:rFonts w:ascii="Times New Roman" w:cs="Times New Roman" w:eastAsia="Times New Roman" w:hAnsi="Times New Roman"/>
          <w:sz w:val="20"/>
          <w:szCs w:val="20"/>
          <w:color w:val="auto"/>
        </w:rPr>
        <w:t>Management Agreement) an Affiliate of a Lender or an Agent (excluding, in each case, for the avoidance of doubt, Truist), such Person shall deliver to Administrative Agent a letter agreement pursuant to which such Person (i) appoints Collateral Agent as its agent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applicable Credit Documents and (ii) agrees to be bound by the provisions of </w:t>
      </w:r>
      <w:r>
        <w:rPr>
          <w:rFonts w:ascii="Times New Roman" w:cs="Times New Roman" w:eastAsia="Times New Roman" w:hAnsi="Times New Roman"/>
          <w:sz w:val="20"/>
          <w:szCs w:val="20"/>
          <w:u w:val="single" w:color="auto"/>
          <w:color w:val="auto"/>
        </w:rPr>
        <w:t>Sections 9.03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as if it were a Lender.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Regarding Non-Bank Status</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F-4</w:t>
      </w:r>
      <w:r>
        <w:rPr>
          <w:rFonts w:ascii="Times New Roman" w:cs="Times New Roman" w:eastAsia="Times New Roman" w:hAnsi="Times New Roman"/>
          <w:sz w:val="20"/>
          <w:szCs w:val="20"/>
          <w:color w:val="auto"/>
        </w:rPr>
        <w:t>, as applicable.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xml:space="preserve"> means a controlled foreign corporation as defined in Section 957(a) of the Internal Revenue Code.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at any time:</w:t>
      </w:r>
    </w:p>
    <w:p>
      <w:pPr>
        <w:spacing w:after="0" w:line="135" w:lineRule="exact"/>
        <w:rPr>
          <w:sz w:val="20"/>
          <w:szCs w:val="20"/>
          <w:color w:val="auto"/>
        </w:rPr>
      </w:pPr>
    </w:p>
    <w:p>
      <w:pPr>
        <w:jc w:val="both"/>
        <w:ind w:firstLine="656"/>
        <w:spacing w:after="0" w:line="226" w:lineRule="auto"/>
        <w:tabs>
          <w:tab w:leader="none" w:pos="115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 and 14(d) under the Exchange Act), other than one (1) or more Permitted Holders, is or becomes the beneficial owner (as defined in Rules 13d-3 and 13d-5 under the Exchange Act), directly or indirectly, of Capital Stock of PRTH representing more than 35% of the total voting power of the total outstanding Capital Stock of PRTH; or</w:t>
      </w:r>
    </w:p>
    <w:p>
      <w:pPr>
        <w:spacing w:after="0" w:line="106" w:lineRule="exact"/>
        <w:rPr>
          <w:rFonts w:ascii="Times New Roman" w:cs="Times New Roman" w:eastAsia="Times New Roman" w:hAnsi="Times New Roman"/>
          <w:sz w:val="20"/>
          <w:szCs w:val="20"/>
          <w:color w:val="auto"/>
        </w:rPr>
      </w:pPr>
    </w:p>
    <w:p>
      <w:pPr>
        <w:ind w:firstLine="656"/>
        <w:spacing w:after="0" w:line="233" w:lineRule="auto"/>
        <w:tabs>
          <w:tab w:leader="none" w:pos="109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PRTH shall cease to beneficially own, directly or indirectly, 100% on a fully diluted basis of the economic and voting interests in the Capital Stock of each Borrower, except as otherwise provided in Section 6.09.</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the foregoing, a Change of Control shall be deemed not to have occurred pursuant to clauses (a) or (b) above at any</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time if the Permitted Holders have, at such time, directly or indirectly, the right or the authority, by voting power, contract or otherwise, to elect or designate for election at least a majority of the board of directors of PRTH.</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means (i) with respect to Commitments or Loans, those of such Commitments or Loans that have the same terms and</w:t>
      </w:r>
    </w:p>
    <w:p>
      <w:pPr>
        <w:spacing w:after="0" w:line="215" w:lineRule="auto"/>
        <w:rPr>
          <w:sz w:val="20"/>
          <w:szCs w:val="20"/>
          <w:color w:val="auto"/>
        </w:rPr>
      </w:pPr>
      <w:r>
        <w:rPr>
          <w:rFonts w:ascii="Times New Roman" w:cs="Times New Roman" w:eastAsia="Times New Roman" w:hAnsi="Times New Roman"/>
          <w:sz w:val="19"/>
          <w:szCs w:val="19"/>
          <w:color w:val="auto"/>
        </w:rPr>
        <w:t>conditions (without regard to differences in the Type of Loan, Interest Period, upfront fees, OID or similar fees paid or payable in connection with such Commitments or Loans, or differences in tax treatment (e.g., “tax fungibility”)) and (ii) with respect to Lenders, those of such</w:t>
      </w:r>
    </w:p>
    <w:p>
      <w:pPr>
        <w:spacing w:after="0"/>
        <w:rPr>
          <w:sz w:val="20"/>
          <w:szCs w:val="20"/>
          <w:color w:val="auto"/>
        </w:rPr>
      </w:pPr>
      <w:r>
        <w:rPr>
          <w:rFonts w:ascii="Times New Roman" w:cs="Times New Roman" w:eastAsia="Times New Roman" w:hAnsi="Times New Roman"/>
          <w:sz w:val="20"/>
          <w:szCs w:val="20"/>
          <w:color w:val="auto"/>
        </w:rPr>
        <w:t>Lenders that have Commitments or Loans of a particular Class of Loans or Commitments.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May 16,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39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means a Closing Date Certificate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has the meaning set forth in the recitals hereto.</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Revolver Cap</w:t>
      </w:r>
      <w:r>
        <w:rPr>
          <w:rFonts w:ascii="Times New Roman" w:cs="Times New Roman" w:eastAsia="Times New Roman" w:hAnsi="Times New Roman"/>
          <w:sz w:val="20"/>
          <w:szCs w:val="20"/>
          <w:color w:val="auto"/>
        </w:rPr>
        <w:t xml:space="preserve">” means a limit of $10,000,000 in aggregate principal amount of Revolving Loans that are available to be borrowed on the Closing Date in accordance with the requirements of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collectively, all of the real, personal and mixed property (including Capital Stock) in which Liens are granted or purported to be granted pursuant to the Collateral Documents as security for the Obligations.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has the meaning set forth in the preamble hereto.</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the Pledge and Security Agreement, the PRTH Pledge Agreement, the Mortgages, Acceptable Intercreditor Agreements, Subordination Agreements and all other instruments, supplements, joinders, documents and agreements delivered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by any Credit Party pursuant to this Agreement or any of the other Credit Documents in order to grant to Collateral Agent, for the benefit of Secured Parties, a Lien on any real, personal or mixed property of that Credit Party as security for the Obligations.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the context requires, any Revolving Commitment or Term Loan Commitment.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shall mean, with respect to either the use or administration of Term SOFR or the use, administration, adoption or implementation of any Benchmark Replacement, any technical, administrative or operational changes (including changes to the</w:t>
      </w:r>
    </w:p>
    <w:p>
      <w:pPr>
        <w:spacing w:after="0" w:line="212" w:lineRule="auto"/>
        <w:rPr>
          <w:sz w:val="20"/>
          <w:szCs w:val="20"/>
          <w:color w:val="auto"/>
        </w:rPr>
      </w:pPr>
      <w:r>
        <w:rPr>
          <w:rFonts w:ascii="Times New Roman" w:cs="Times New Roman" w:eastAsia="Times New Roman" w:hAnsi="Times New Roman"/>
          <w:sz w:val="20"/>
          <w:szCs w:val="20"/>
          <w:color w:val="auto"/>
        </w:rPr>
        <w:t>definition of “Base Rate”, the definition of “Business Day”, the definition of “U.S. Government Securities Business Day”, the definition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Period” or any similar or analogous definition (or the addition of a concept of “interest period”), timing and frequency of determining rates and making payments of interest, timing of borrowing requests or prepayment, conversion or continuation notices,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applicability and length of lookback periods, the applicability of Section 2.17(c) and other technical, administrative or operational matters) that the Administrative Agent in consultation with the Borrower Representative decides may be appropriate to reflect the adoption and</w:t>
      </w:r>
    </w:p>
    <w:p>
      <w:pPr>
        <w:spacing w:after="0" w:line="211" w:lineRule="auto"/>
        <w:rPr>
          <w:sz w:val="20"/>
          <w:szCs w:val="20"/>
          <w:color w:val="auto"/>
        </w:rPr>
      </w:pPr>
      <w:r>
        <w:rPr>
          <w:rFonts w:ascii="Times New Roman" w:cs="Times New Roman" w:eastAsia="Times New Roman" w:hAnsi="Times New Roman"/>
          <w:sz w:val="20"/>
          <w:szCs w:val="20"/>
          <w:color w:val="auto"/>
        </w:rPr>
        <w:t>implementation of any such rate or to permit the use and administration thereof by the Administrative Agent in a manner substantially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consistent with market practice (or, if the Administrative Agent decides that adoption of any portion of such market practice is not administratively feasible or if the Administrative Agent determines that no market practice for the administration of any such rate exists,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other manner of administration as the Administrative Agent in consultation with the Borrower Representative decides is reasonably necessary in connection with the administration of this Agreement and the other Credit Documents).</w:t>
      </w:r>
    </w:p>
    <w:p>
      <w:pPr>
        <w:spacing w:after="0" w:line="9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0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Adjusted EBITDA</w:t>
      </w:r>
      <w:r>
        <w:rPr>
          <w:rFonts w:ascii="Times New Roman" w:cs="Times New Roman" w:eastAsia="Times New Roman" w:hAnsi="Times New Roman"/>
          <w:sz w:val="19"/>
          <w:szCs w:val="19"/>
          <w:color w:val="auto"/>
        </w:rPr>
        <w:t>” means, for any period, an amount determined for the Initial Borrower and its Restricted Subsidiaries (or, when reference is made to another Person, for such other Person and its Subsidiaries) on a consolidated basis equal to (i)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sum, without duplication, of the amounts for such period of (a)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except with respect to </w:t>
      </w:r>
      <w:r>
        <w:rPr>
          <w:rFonts w:ascii="Times New Roman" w:cs="Times New Roman" w:eastAsia="Times New Roman" w:hAnsi="Times New Roman"/>
          <w:sz w:val="20"/>
          <w:szCs w:val="20"/>
          <w:u w:val="single" w:color="auto"/>
          <w:color w:val="auto"/>
        </w:rPr>
        <w:t>clauses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to the extent reducing (and not added back to or excluded from) Consolidated Net Income, the sum of, without duplication:</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 Consolidated Interest Expense,</w:t>
      </w:r>
    </w:p>
    <w:p>
      <w:pPr>
        <w:spacing w:after="0" w:line="13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provisions for taxes based on income (including Permitted Tax Payments) of the Initial Borrower and its Restricted Subsidiaries,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399" w:right="339" w:bottom="1440" w:gutter="0" w:footer="0" w:header="0"/>
        </w:sectPr>
      </w:pPr>
    </w:p>
    <w:bookmarkStart w:id="43" w:name="page44"/>
    <w:bookmarkEnd w:id="43"/>
    <w:p>
      <w:pPr>
        <w:ind w:firstLine="648"/>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total depreciation expense, and amortization expense and impairment charges (including amortization of intangible assets (including goodwill) and amortization of deferred financing fees or costs) of the Initial Borrower and its Restricted Subsidiaries,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 (e)</w:t>
      </w:r>
      <w:r>
        <w:rPr>
          <w:rFonts w:ascii="Times New Roman" w:cs="Times New Roman" w:eastAsia="Times New Roman" w:hAnsi="Times New Roman"/>
          <w:sz w:val="20"/>
          <w:szCs w:val="20"/>
          <w:color w:val="auto"/>
        </w:rPr>
        <w:t xml:space="preserve"> [reserved],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(f) other non-Cash items (including non-Cash charges, costs, expenses and losses) reducing Consolidated Net Income (excluding</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such non-Cash item to the extent that it represents an accrual or reserve for potential Cash items in any future period and amortization of a prepaid Cash item that was paid in a prior period or write-off or write-down or reserves with respect to current assets),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(g) any net loss from discontinued operations and any net after-tax loss on disposal of discontinued operations,</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(h) other accruals, payments and expenses (including legal fees, costs and expenses), or any amortization thereof, related to the transactions contemplated by this Agreement (including all Transaction Costs), any Permitted Acquisitions, Assets Sales, Investments,</w:t>
      </w:r>
    </w:p>
    <w:p>
      <w:pPr>
        <w:spacing w:after="0" w:line="212" w:lineRule="auto"/>
        <w:rPr>
          <w:sz w:val="20"/>
          <w:szCs w:val="20"/>
          <w:color w:val="auto"/>
        </w:rPr>
      </w:pPr>
      <w:r>
        <w:rPr>
          <w:rFonts w:ascii="Times New Roman" w:cs="Times New Roman" w:eastAsia="Times New Roman" w:hAnsi="Times New Roman"/>
          <w:sz w:val="20"/>
          <w:szCs w:val="20"/>
          <w:color w:val="auto"/>
        </w:rPr>
        <w:t>Restricted Payments, Restricted Debt Payments, issuances of Indebtedness or Capital Stock permitted under the Credit Documents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repayment of Indebtedness, refinancing transactions or any amendments or other modifications of any Indebtedness (including, for the avoidance of doubt, any such transaction consummated on or prior to the Closing Date and any such transaction proposed or undertaken but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completed),</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fees, expenses, costs, accruals or reserves that are related to (i) business optimization, restructuring and integration, the closure, integration and/or consolidation of information technology or facilities, employee termination, or moving or relocating assets, (ii) the</w:t>
      </w:r>
    </w:p>
    <w:p>
      <w:pPr>
        <w:spacing w:after="0" w:line="222" w:lineRule="auto"/>
        <w:rPr>
          <w:sz w:val="20"/>
          <w:szCs w:val="20"/>
          <w:color w:val="auto"/>
        </w:rPr>
      </w:pPr>
      <w:r>
        <w:rPr>
          <w:rFonts w:ascii="Times New Roman" w:cs="Times New Roman" w:eastAsia="Times New Roman" w:hAnsi="Times New Roman"/>
          <w:sz w:val="19"/>
          <w:szCs w:val="19"/>
          <w:color w:val="auto"/>
        </w:rPr>
        <w:t>discontinuance of any portion of operations, (iii) recruitment, retention, relocation and severance, (iv) the undertaking and/or implementation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cost savings initiatives, cost rationalization programs, operating expense reductions and/or synergies and/or similar initiatives and/or programs, (v) project startup or implementation, new operations, or the entry into new markets, or (vi) any modification to any pension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post-retirement employee benefit plan (including, for the avoidance of doubt, any such transaction consummated on or prior to the Closing Date and any such transaction proposed or undertaken but not completed),</w:t>
      </w:r>
    </w:p>
    <w:p>
      <w:pPr>
        <w:spacing w:after="0" w:line="10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(j) non-Cash charges or expenses, in each case, excluding any non-Cash charge to the extent that it represents an accrual of or reserve for Cash expenses in any future period or amortization of a prepaid Cash expense incurred in a prior period,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(k) any non-recurring or unusual costs, expenses or charges,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(l) all net losses (whether Cash or non-Cash) resulting from the early termination or extinguishment of Indebtedness,</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(m) legal fees and expenses (excluding any judgments) actually paid in Cash during such period in connection with litigation involving the Credit Parties and their Restricted Subsidiaries,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(n) to the extent not already included in the Consolidated Net Income of the Initial Borrower and its Restricted Subsidiaries,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reimbursed within 365 days of the date of such loss (with a deduction in the immediately succeeding period for any amount so added back to the extent not so reimbursed within such 365 days),</w:t>
      </w:r>
    </w:p>
    <w:p>
      <w:pPr>
        <w:spacing w:after="0" w:line="9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 fees, expenses, costs, accruals or reserves of the Initial Borrower and/or its Restricted Subsidiaries incurred during such period to the extent reimbursed in Cash by any Person (other than the Initial Borrower and/or its Restricted Subsidiaries) during such period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pursuant to indemnification or other reimbursement provisions in favor of the Initial Borrower or such Restricted Subsidiaries or for which the Initial Borrower or such Restricted Subsidiary in good faith expects to receive such Cash reimbursement within the next four Fiscal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Quarters and such Cash reimbursement is in fact received during the next four Fiscal Quarters (with a deduction in the immediately succeeding period for any amount so added back to the extent not so reimbursed or received within such four Fiscal Quarters),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399" w:right="339" w:bottom="1440" w:gutter="0" w:footer="0" w:header="0"/>
        </w:sectPr>
      </w:pPr>
    </w:p>
    <w:bookmarkStart w:id="44" w:name="page45"/>
    <w:bookmarkEnd w:id="44"/>
    <w:p>
      <w:pPr>
        <w:jc w:val="both"/>
        <w:ind w:firstLine="648"/>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(p) net realized losses relating to mark-to-market of amounts denominated in foreign currencies resulting from the application of FASB ASC 830,</w:t>
      </w:r>
    </w:p>
    <w:p>
      <w:pPr>
        <w:spacing w:after="0" w:line="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amount of dividends or distributions that are paid in Cash by such non-wholly-owned Restricted Subsidiary to such third party,</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(r) (x) the amount of cost savings, operating expense reductions, other operating improvements and initiatives and synergies related to the Transactions that are reasonably identifiable, factually supportable and reasonably anticipated by the Initial Borrower in good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faith to be realized within eighteen (18) months of the Closing Date (which will be added to Consolidated Adjusted EBITDA as so projected until fully realized and calculated on a Pro Forma Basis as though such cost savings, operating expense reductions, other operating</w:t>
      </w:r>
    </w:p>
    <w:p>
      <w:pPr>
        <w:spacing w:after="0" w:line="211" w:lineRule="auto"/>
        <w:rPr>
          <w:sz w:val="20"/>
          <w:szCs w:val="20"/>
          <w:color w:val="auto"/>
        </w:rPr>
      </w:pPr>
      <w:r>
        <w:rPr>
          <w:rFonts w:ascii="Times New Roman" w:cs="Times New Roman" w:eastAsia="Times New Roman" w:hAnsi="Times New Roman"/>
          <w:sz w:val="20"/>
          <w:szCs w:val="20"/>
          <w:color w:val="auto"/>
        </w:rPr>
        <w:t>improvements and initiatives and synergies had been realized on the first day of such period) and (y) the amount of cost savings, operating</w:t>
      </w:r>
    </w:p>
    <w:p>
      <w:pPr>
        <w:jc w:val="both"/>
        <w:spacing w:after="0" w:line="204" w:lineRule="auto"/>
        <w:rPr>
          <w:sz w:val="20"/>
          <w:szCs w:val="20"/>
          <w:color w:val="auto"/>
        </w:rPr>
      </w:pPr>
      <w:r>
        <w:rPr>
          <w:rFonts w:ascii="Times New Roman" w:cs="Times New Roman" w:eastAsia="Times New Roman" w:hAnsi="Times New Roman"/>
          <w:sz w:val="20"/>
          <w:szCs w:val="20"/>
          <w:color w:val="auto"/>
        </w:rPr>
        <w:t>expense reductions, other operating improvements and initiatives and synergies resulting from or related to Permitted Acquisitions (including, for the avoidance of doubt, acquisitions occurring prior to the Closing Date) or other Investments, asset sales, divestitures,</w:t>
      </w:r>
    </w:p>
    <w:p>
      <w:pPr>
        <w:spacing w:after="0" w:line="223" w:lineRule="auto"/>
        <w:rPr>
          <w:sz w:val="20"/>
          <w:szCs w:val="20"/>
          <w:color w:val="auto"/>
        </w:rPr>
      </w:pPr>
      <w:r>
        <w:rPr>
          <w:rFonts w:ascii="Times New Roman" w:cs="Times New Roman" w:eastAsia="Times New Roman" w:hAnsi="Times New Roman"/>
          <w:sz w:val="19"/>
          <w:szCs w:val="19"/>
          <w:color w:val="auto"/>
        </w:rPr>
        <w:t>restructurings, cost savings initiatives and other similar initiatives, operational changes, and actions that are projected by the Initial Borrower</w:t>
      </w:r>
    </w:p>
    <w:p>
      <w:pPr>
        <w:jc w:val="both"/>
        <w:spacing w:after="0" w:line="215" w:lineRule="auto"/>
        <w:rPr>
          <w:sz w:val="20"/>
          <w:szCs w:val="20"/>
          <w:color w:val="auto"/>
        </w:rPr>
      </w:pPr>
      <w:r>
        <w:rPr>
          <w:rFonts w:ascii="Times New Roman" w:cs="Times New Roman" w:eastAsia="Times New Roman" w:hAnsi="Times New Roman"/>
          <w:sz w:val="19"/>
          <w:szCs w:val="19"/>
          <w:color w:val="auto"/>
        </w:rPr>
        <w:t>in good faith to be reasonably anticipated to be realized within eighteen (18) months of the date of the consummation of such transaction or implementation of such restructuring or initiative (which will be added to Consolidated Adjusted EBITDA as so projected until fully realized</w:t>
      </w:r>
    </w:p>
    <w:p>
      <w:pPr>
        <w:spacing w:after="0" w:line="211" w:lineRule="auto"/>
        <w:rPr>
          <w:sz w:val="20"/>
          <w:szCs w:val="20"/>
          <w:color w:val="auto"/>
        </w:rPr>
      </w:pPr>
      <w:r>
        <w:rPr>
          <w:rFonts w:ascii="Times New Roman" w:cs="Times New Roman" w:eastAsia="Times New Roman" w:hAnsi="Times New Roman"/>
          <w:sz w:val="20"/>
          <w:szCs w:val="20"/>
          <w:color w:val="auto"/>
        </w:rPr>
        <w:t>and calculated on a Pro Forma Basis as though such cost savings, operating expense reductions, other operating improvements, operational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changes and initiatives and synergies had been realized on the first day of such period), in the case of the preceding </w:t>
      </w:r>
      <w:r>
        <w:rPr>
          <w:rFonts w:ascii="Times New Roman" w:cs="Times New Roman" w:eastAsia="Times New Roman" w:hAnsi="Times New Roman"/>
          <w:sz w:val="19"/>
          <w:szCs w:val="19"/>
          <w:u w:val="single" w:color="auto"/>
          <w:color w:val="auto"/>
        </w:rPr>
        <w:t>clauses (x)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net of the amount of actual benefits realized during such period from such 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any adjustments or addbacks under this </w:t>
      </w:r>
      <w:r>
        <w:rPr>
          <w:rFonts w:ascii="Times New Roman" w:cs="Times New Roman" w:eastAsia="Times New Roman" w:hAnsi="Times New Roman"/>
          <w:sz w:val="19"/>
          <w:szCs w:val="19"/>
          <w:u w:val="single" w:color="auto"/>
          <w:color w:val="auto"/>
        </w:rPr>
        <w:t>clause</w:t>
      </w:r>
    </w:p>
    <w:p>
      <w:pPr>
        <w:jc w:val="both"/>
        <w:ind w:firstLine="8"/>
        <w:spacing w:after="0" w:line="212" w:lineRule="auto"/>
        <w:tabs>
          <w:tab w:leader="none" w:pos="250"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any period of four consecutive Fiscal Quarters shall not exceed 30% of Consolidated Adjusted EBITDA (determined after giving effect to such adjustments),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such 30% limitation shall not apply with respect to any such add-backs that are determined on a basis consistent with Regulation S-X,</w:t>
      </w:r>
    </w:p>
    <w:p>
      <w:pPr>
        <w:spacing w:after="0" w:line="9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Times New Roman" w:cs="Times New Roman" w:eastAsia="Times New Roman" w:hAnsi="Times New Roman"/>
          <w:sz w:val="20"/>
          <w:szCs w:val="20"/>
          <w:u w:val="single" w:color="auto"/>
          <w:color w:val="auto"/>
        </w:rPr>
        <w:t>clause (ii)(a)</w:t>
      </w:r>
      <w:r>
        <w:rPr>
          <w:rFonts w:ascii="Times New Roman" w:cs="Times New Roman" w:eastAsia="Times New Roman" w:hAnsi="Times New Roman"/>
          <w:sz w:val="20"/>
          <w:szCs w:val="20"/>
          <w:color w:val="auto"/>
        </w:rPr>
        <w:t xml:space="preserve"> below for any previous period and not added back,</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plus (t) non-Cash charges relating to straight rent in accordance with GAAP,</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(u) any cash or non-cash charge, expense or loss with respect to earn-out and contingent consideration obligations (including to</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the extent accounted for as bonuses or otherwise) and adjustments thereof and purchase price adjustments, in each case in connection with Permitted Acquisitions (including, for the avoidance of doubt, acquisitions occurring prior to the Closing Date) and other Investments,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(v) any expenses, charges or losses that are covered by indemnification or other reimbursement provisions in connection with</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Investment, Permitted Acquisition or any Asset Sale permitted under this Agreement, to the extent actually reimbursed, or, so long as the applicable insurance carrier has not denied coverage of such expenses, charges or losses and that and only to the extent that such amount is</w:t>
      </w:r>
    </w:p>
    <w:p>
      <w:pPr>
        <w:jc w:val="both"/>
        <w:ind w:firstLine="8"/>
        <w:spacing w:after="0" w:line="218" w:lineRule="auto"/>
        <w:tabs>
          <w:tab w:leader="none" w:pos="33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denied by the applicable carrier in writing within 180 days and (B) in fact reimbursed within 365 days of the date of such evidence (with a deduction in the immediately succeeding period for any amount so added back to the extent not so reimbursed within such 365 days), and</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 fees and expenses incurred in connection with the consummation of the Transactions,</w:t>
      </w:r>
    </w:p>
    <w:p>
      <w:pPr>
        <w:spacing w:after="0" w:line="13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minus </w:t>
      </w:r>
      <w:r>
        <w:rPr>
          <w:rFonts w:ascii="Times New Roman" w:cs="Times New Roman" w:eastAsia="Times New Roman" w:hAnsi="Times New Roman"/>
          <w:sz w:val="20"/>
          <w:szCs w:val="20"/>
          <w:color w:val="auto"/>
        </w:rPr>
        <w:t>(ii) the sum, without duplication of the amounts for such period and to the extent included in arriving at such Consolidated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Net Income,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1399" w:right="339" w:bottom="1440" w:gutter="0" w:footer="0" w:header="0"/>
        </w:sectPr>
      </w:pPr>
    </w:p>
    <w:bookmarkStart w:id="45" w:name="page46"/>
    <w:bookmarkEnd w:id="45"/>
    <w:p>
      <w:pPr>
        <w:jc w:val="both"/>
        <w:ind w:firstLine="656"/>
        <w:spacing w:after="0" w:line="226" w:lineRule="auto"/>
        <w:tabs>
          <w:tab w:leader="none" w:pos="93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Times New Roman" w:cs="Times New Roman" w:eastAsia="Times New Roman" w:hAnsi="Times New Roman"/>
          <w:sz w:val="20"/>
          <w:szCs w:val="20"/>
          <w:u w:val="single" w:color="auto"/>
          <w:color w:val="auto"/>
        </w:rPr>
        <w:t>plus</w:t>
      </w:r>
    </w:p>
    <w:p>
      <w:pPr>
        <w:spacing w:after="0" w:line="106" w:lineRule="exact"/>
        <w:rPr>
          <w:rFonts w:ascii="Times New Roman" w:cs="Times New Roman" w:eastAsia="Times New Roman" w:hAnsi="Times New Roman"/>
          <w:sz w:val="20"/>
          <w:szCs w:val="20"/>
          <w:color w:val="auto"/>
        </w:rPr>
      </w:pPr>
    </w:p>
    <w:p>
      <w:pPr>
        <w:ind w:firstLine="656"/>
        <w:spacing w:after="0"/>
        <w:tabs>
          <w:tab w:leader="none" w:pos="9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minority interest income consisting of Restricted Subsidiary losses attributable to minority interests or non-controlling interests of third parties in any non-wholly-owned Restricted Subsidiary, </w:t>
      </w:r>
      <w:r>
        <w:rPr>
          <w:rFonts w:ascii="Times New Roman" w:cs="Times New Roman" w:eastAsia="Times New Roman" w:hAnsi="Times New Roman"/>
          <w:sz w:val="20"/>
          <w:szCs w:val="20"/>
          <w:u w:val="single" w:color="auto"/>
          <w:color w:val="auto"/>
        </w:rPr>
        <w:t>plus</w:t>
      </w:r>
    </w:p>
    <w:p>
      <w:pPr>
        <w:spacing w:after="0" w:line="93"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gain from discontinued operations and any net after-tax gain on disposal of discontinued operations, </w:t>
      </w:r>
      <w:r>
        <w:rPr>
          <w:rFonts w:ascii="Times New Roman" w:cs="Times New Roman" w:eastAsia="Times New Roman" w:hAnsi="Times New Roman"/>
          <w:sz w:val="20"/>
          <w:szCs w:val="20"/>
          <w:u w:val="single" w:color="auto"/>
          <w:color w:val="auto"/>
        </w:rPr>
        <w:t>plus</w:t>
      </w:r>
    </w:p>
    <w:p>
      <w:pPr>
        <w:spacing w:after="0" w:line="134"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customer acquisition costs (excluding Permitted Acquisitions and Permitted Joint Venture Investments), </w:t>
      </w:r>
      <w:r>
        <w:rPr>
          <w:rFonts w:ascii="Times New Roman" w:cs="Times New Roman" w:eastAsia="Times New Roman" w:hAnsi="Times New Roman"/>
          <w:sz w:val="20"/>
          <w:szCs w:val="20"/>
          <w:u w:val="single" w:color="auto"/>
          <w:color w:val="auto"/>
        </w:rPr>
        <w:t>plus</w:t>
      </w:r>
    </w:p>
    <w:p>
      <w:pPr>
        <w:spacing w:after="0" w:line="134" w:lineRule="exact"/>
        <w:rPr>
          <w:rFonts w:ascii="Times New Roman" w:cs="Times New Roman" w:eastAsia="Times New Roman" w:hAnsi="Times New Roman"/>
          <w:sz w:val="20"/>
          <w:szCs w:val="20"/>
          <w:color w:val="auto"/>
        </w:rPr>
      </w:pPr>
    </w:p>
    <w:p>
      <w:pPr>
        <w:ind w:firstLine="656"/>
        <w:spacing w:after="0" w:line="233" w:lineRule="auto"/>
        <w:tabs>
          <w:tab w:leader="none" w:pos="9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state, local and foreign income tax credits and reimbursements received by the Initial Borrower or any of its Restricted Subsidiaries during such period, </w:t>
      </w:r>
      <w:r>
        <w:rPr>
          <w:rFonts w:ascii="Times New Roman" w:cs="Times New Roman" w:eastAsia="Times New Roman" w:hAnsi="Times New Roman"/>
          <w:sz w:val="20"/>
          <w:szCs w:val="20"/>
          <w:u w:val="single" w:color="auto"/>
          <w:color w:val="auto"/>
        </w:rPr>
        <w:t>plus</w:t>
      </w:r>
    </w:p>
    <w:p>
      <w:pPr>
        <w:spacing w:after="0" w:line="10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gains (whether Cash or non-Cash) resulting from the early termination or extinguishment of Indebtedness, </w:t>
      </w:r>
      <w:r>
        <w:rPr>
          <w:rFonts w:ascii="Times New Roman" w:cs="Times New Roman" w:eastAsia="Times New Roman" w:hAnsi="Times New Roman"/>
          <w:sz w:val="20"/>
          <w:szCs w:val="20"/>
          <w:u w:val="single" w:color="auto"/>
          <w:color w:val="auto"/>
        </w:rPr>
        <w:t>plus</w:t>
      </w:r>
    </w:p>
    <w:p>
      <w:pPr>
        <w:spacing w:after="0" w:line="1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 actual Cash rent paid over rent expense during such period due to the use of straight line rent for GAAP purposes,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w:t>
      </w:r>
    </w:p>
    <w:p>
      <w:pPr>
        <w:spacing w:after="0" w:line="112" w:lineRule="exact"/>
        <w:rPr>
          <w:rFonts w:ascii="Times New Roman" w:cs="Times New Roman" w:eastAsia="Times New Roman" w:hAnsi="Times New Roman"/>
          <w:sz w:val="20"/>
          <w:szCs w:val="20"/>
          <w:color w:val="auto"/>
        </w:rPr>
      </w:pPr>
    </w:p>
    <w:p>
      <w:pPr>
        <w:ind w:right="20" w:firstLine="656"/>
        <w:spacing w:after="0"/>
        <w:tabs>
          <w:tab w:leader="none" w:pos="9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realized gains relating to mark-to-market of amounts denominated in foreign currencies resulting from the application of FASB ASC 830,</w:t>
      </w:r>
    </w:p>
    <w:p>
      <w:pPr>
        <w:spacing w:after="0" w:line="9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Notwithstanding anything to the contrary contained herein, for the purposes of determining Consolidated Adjusted EBITDA under this Agreement for any period that includes any of the Fiscal Quarters ended June 30, 2023, September 30, 2023, December 31, 2023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March 31, 2024, Consolidated Adjusted EBITDA of the Initial Borrower and its Restricted Subsidiaries shall be deemed to be for each such Fiscal Quarter, $41,468,933, $45,544,652, $45,667,470 and $46,251,617, respectively. For the avoidance of doubt, Consolidated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EBITDA shall be calculated (without duplication), including pro forma adjustments,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for any period, the aggregate of all expenditures of the Initial Borrower and its Restricted Subsidiaries during such period determined on a consolidated basis that, in accordance with GAAP, are or should be included in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“purchase of property and equipment or which should otherwise be capitalized” or similar items reflected in the consolidated statement of cash flows of the Initial Borrower and its Restricted Subsidiaries.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 Interest Expense</w:t>
      </w:r>
      <w:r>
        <w:rPr>
          <w:rFonts w:ascii="Times New Roman" w:cs="Times New Roman" w:eastAsia="Times New Roman" w:hAnsi="Times New Roman"/>
          <w:sz w:val="20"/>
          <w:szCs w:val="20"/>
          <w:color w:val="auto"/>
        </w:rPr>
        <w:t>” means, for any period, Consolidated Interest Expense for such period, but excluding (i) any</w:t>
      </w:r>
    </w:p>
    <w:p>
      <w:pPr>
        <w:spacing w:after="0" w:line="221" w:lineRule="auto"/>
        <w:rPr>
          <w:sz w:val="20"/>
          <w:szCs w:val="20"/>
          <w:color w:val="auto"/>
        </w:rPr>
      </w:pPr>
      <w:r>
        <w:rPr>
          <w:rFonts w:ascii="Times New Roman" w:cs="Times New Roman" w:eastAsia="Times New Roman" w:hAnsi="Times New Roman"/>
          <w:sz w:val="20"/>
          <w:szCs w:val="20"/>
          <w:color w:val="auto"/>
        </w:rPr>
        <w:t>Consolidated Interest Expense paid in kind, (ii) the amortization of deferred financing costs and (iii) any realized or unrealized gains or losses attributable to Interest Rate Agreements.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means, as at any date of determination, the total assets of the Initial Borrower and its Restricted</w:t>
      </w:r>
    </w:p>
    <w:p>
      <w:pPr>
        <w:spacing w:after="0" w:line="221" w:lineRule="auto"/>
        <w:rPr>
          <w:sz w:val="20"/>
          <w:szCs w:val="20"/>
          <w:color w:val="auto"/>
        </w:rPr>
      </w:pPr>
      <w:r>
        <w:rPr>
          <w:rFonts w:ascii="Times New Roman" w:cs="Times New Roman" w:eastAsia="Times New Roman" w:hAnsi="Times New Roman"/>
          <w:sz w:val="20"/>
          <w:szCs w:val="20"/>
          <w:color w:val="auto"/>
        </w:rPr>
        <w:t>Subsidiaries on a consolidated basis that may properly be classified on a consolidated balance sheet of the Initial Borrower and its Restricted Subsidiaries as current assets in conformity with GAAP at such date of determination, excluding Cash and Cash Equivalents.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means, as at any date of determination, the total liabilities of the Initial Borrower and its</w:t>
      </w:r>
    </w:p>
    <w:p>
      <w:pPr>
        <w:jc w:val="both"/>
        <w:spacing w:after="0" w:line="215" w:lineRule="auto"/>
        <w:rPr>
          <w:sz w:val="20"/>
          <w:szCs w:val="20"/>
          <w:color w:val="auto"/>
        </w:rPr>
      </w:pPr>
      <w:r>
        <w:rPr>
          <w:rFonts w:ascii="Times New Roman" w:cs="Times New Roman" w:eastAsia="Times New Roman" w:hAnsi="Times New Roman"/>
          <w:sz w:val="19"/>
          <w:szCs w:val="19"/>
          <w:color w:val="auto"/>
        </w:rPr>
        <w:t>Restricted Subsidiaries on a consolidated basis that may properly be classified on a consolidated balance sheet of the Initial Borrower and its Restricted Subsidiaries as current liabilities in conformity with GAAP at such date of determination (including, for the avoidance of doubt,</w:t>
      </w:r>
    </w:p>
    <w:p>
      <w:pPr>
        <w:spacing w:after="0"/>
        <w:rPr>
          <w:sz w:val="20"/>
          <w:szCs w:val="20"/>
          <w:color w:val="auto"/>
        </w:rPr>
      </w:pPr>
      <w:r>
        <w:rPr>
          <w:rFonts w:ascii="Times New Roman" w:cs="Times New Roman" w:eastAsia="Times New Roman" w:hAnsi="Times New Roman"/>
          <w:sz w:val="20"/>
          <w:szCs w:val="20"/>
          <w:color w:val="auto"/>
        </w:rPr>
        <w:t>settlement obligations), excluding the current portion of long term debt.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Excess Cash Flow</w:t>
      </w:r>
      <w:r>
        <w:rPr>
          <w:rFonts w:ascii="Times New Roman" w:cs="Times New Roman" w:eastAsia="Times New Roman" w:hAnsi="Times New Roman"/>
          <w:sz w:val="19"/>
          <w:szCs w:val="19"/>
          <w:color w:val="auto"/>
        </w:rPr>
        <w:t>” means, for any Consolidated Excess Cash Flow Period, an amount (if positive) determined for the</w:t>
      </w:r>
    </w:p>
    <w:p>
      <w:pPr>
        <w:spacing w:after="0"/>
        <w:rPr>
          <w:sz w:val="20"/>
          <w:szCs w:val="20"/>
          <w:color w:val="auto"/>
        </w:rPr>
      </w:pPr>
      <w:r>
        <w:rPr>
          <w:rFonts w:ascii="Times New Roman" w:cs="Times New Roman" w:eastAsia="Times New Roman" w:hAnsi="Times New Roman"/>
          <w:sz w:val="20"/>
          <w:szCs w:val="20"/>
          <w:color w:val="auto"/>
        </w:rPr>
        <w:t>Initial Borrower and its Restricted Subsidiaries on a consolidated basis equal 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1399" w:right="339" w:bottom="1440" w:gutter="0" w:footer="0" w:header="0"/>
        </w:sectPr>
      </w:pPr>
    </w:p>
    <w:bookmarkStart w:id="46" w:name="page47"/>
    <w:bookmarkEnd w:id="46"/>
    <w:p>
      <w:pPr>
        <w:ind w:left="424" w:hanging="424"/>
        <w:spacing w:after="0"/>
        <w:tabs>
          <w:tab w:leader="none" w:pos="4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175" w:lineRule="exact"/>
        <w:rPr>
          <w:rFonts w:ascii="Times New Roman" w:cs="Times New Roman" w:eastAsia="Times New Roman" w:hAnsi="Times New Roman"/>
          <w:sz w:val="20"/>
          <w:szCs w:val="20"/>
          <w:color w:val="auto"/>
        </w:rPr>
      </w:pPr>
    </w:p>
    <w:p>
      <w:pPr>
        <w:ind w:left="644" w:right="20" w:firstLine="652"/>
        <w:spacing w:after="0" w:line="269" w:lineRule="auto"/>
        <w:tabs>
          <w:tab w:leader="none" w:pos="174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Adjusted EBITDA (without giving effect to </w:t>
      </w:r>
      <w:r>
        <w:rPr>
          <w:rFonts w:ascii="Times New Roman" w:cs="Times New Roman" w:eastAsia="Times New Roman" w:hAnsi="Times New Roman"/>
          <w:sz w:val="20"/>
          <w:szCs w:val="20"/>
          <w:u w:val="single" w:color="auto"/>
          <w:color w:val="auto"/>
        </w:rPr>
        <w:t>clause (i)(r)</w:t>
      </w:r>
      <w:r>
        <w:rPr>
          <w:rFonts w:ascii="Times New Roman" w:cs="Times New Roman" w:eastAsia="Times New Roman" w:hAnsi="Times New Roman"/>
          <w:sz w:val="20"/>
          <w:szCs w:val="20"/>
          <w:color w:val="auto"/>
        </w:rPr>
        <w:t xml:space="preserve"> thereof) for such Consolidated Excess Cash Flow Period;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jc w:val="both"/>
        <w:ind w:left="644" w:firstLine="652"/>
        <w:spacing w:after="0" w:line="261" w:lineRule="auto"/>
        <w:tabs>
          <w:tab w:leader="none" w:pos="1774" w:val="left"/>
        </w:tabs>
        <w:numPr>
          <w:ilvl w:val="1"/>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extraordinary Cash gain excluded (and not added back) from the calculation of Consolidated Net Income and/or Consolidated Adjusted EBITDA pursuant to the respective definitions thereof for such Consolidated Excess Cash Flow Period;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u w:val="single" w:color="auto"/>
          <w:color w:val="auto"/>
        </w:rPr>
      </w:pPr>
    </w:p>
    <w:p>
      <w:pPr>
        <w:ind w:left="1784" w:hanging="488"/>
        <w:spacing w:after="0"/>
        <w:tabs>
          <w:tab w:leader="none" w:pos="178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plus</w:t>
      </w:r>
    </w:p>
    <w:p>
      <w:pPr>
        <w:spacing w:after="0" w:line="161" w:lineRule="exact"/>
        <w:rPr>
          <w:rFonts w:ascii="Times New Roman" w:cs="Times New Roman" w:eastAsia="Times New Roman" w:hAnsi="Times New Roman"/>
          <w:sz w:val="20"/>
          <w:szCs w:val="20"/>
          <w:color w:val="auto"/>
        </w:rPr>
      </w:pPr>
    </w:p>
    <w:p>
      <w:pPr>
        <w:jc w:val="both"/>
        <w:ind w:left="644" w:firstLine="652"/>
        <w:spacing w:after="0" w:line="261" w:lineRule="auto"/>
        <w:tabs>
          <w:tab w:leader="none" w:pos="182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amount described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above, any Cash gain or income excluded (and not added back) in calculating Consolidated Net Income pursuant to the definition thereof for such Consolidated Excess Cash Flow Period;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decrease, if any, in Consolidated Working Capital from the first day to the last day of such Consolidated</w:t>
      </w:r>
    </w:p>
    <w:p>
      <w:pPr>
        <w:spacing w:after="0" w:line="2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Excess Cash Flow Period, but excluding any such decrease in Consolidated Working Capital arising from or attributable to</w:t>
      </w:r>
    </w:p>
    <w:p>
      <w:pPr>
        <w:spacing w:after="0" w:line="6" w:lineRule="exact"/>
        <w:rPr>
          <w:sz w:val="20"/>
          <w:szCs w:val="20"/>
          <w:color w:val="auto"/>
        </w:rPr>
      </w:pPr>
    </w:p>
    <w:p>
      <w:pPr>
        <w:jc w:val="both"/>
        <w:ind w:left="644" w:firstLine="4"/>
        <w:spacing w:after="0" w:line="251" w:lineRule="auto"/>
        <w:tabs>
          <w:tab w:leader="none" w:pos="1011"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acquisition or disposition of any Person by the Initial Borrower or any of its Restricted Subsidiaries, (x) the reclassification during such period of current assets to long term assets and current liabilities to long term liabilities, (y) the application of purchase and/or recapitalization accounting and/or (z) the effect of any fluctuation in the amount of accrued and contingent obligations under any Interest Rate Agreement; </w:t>
      </w:r>
      <w:r>
        <w:rPr>
          <w:rFonts w:ascii="Times New Roman" w:cs="Times New Roman" w:eastAsia="Times New Roman" w:hAnsi="Times New Roman"/>
          <w:sz w:val="20"/>
          <w:szCs w:val="20"/>
          <w:u w:val="single" w:color="auto"/>
          <w:color w:val="auto"/>
        </w:rPr>
        <w:t>plus</w:t>
      </w:r>
    </w:p>
    <w:p>
      <w:pPr>
        <w:spacing w:after="0" w:line="136"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ind w:left="644" w:firstLine="652"/>
        <w:spacing w:after="0" w:line="283" w:lineRule="auto"/>
        <w:tabs>
          <w:tab w:leader="none" w:pos="1981"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payments received during such period on account of any amounts deducted in a previous period pursuant to </w:t>
      </w:r>
      <w:r>
        <w:rPr>
          <w:rFonts w:ascii="Times New Roman" w:cs="Times New Roman" w:eastAsia="Times New Roman" w:hAnsi="Times New Roman"/>
          <w:sz w:val="20"/>
          <w:szCs w:val="20"/>
          <w:u w:val="single" w:color="auto"/>
          <w:color w:val="auto"/>
        </w:rPr>
        <w:t>clause (b)(xi)</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minus</w:t>
      </w:r>
    </w:p>
    <w:p>
      <w:pPr>
        <w:spacing w:after="0" w:line="7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148" w:lineRule="exact"/>
        <w:rPr>
          <w:rFonts w:ascii="Times New Roman" w:cs="Times New Roman" w:eastAsia="Times New Roman" w:hAnsi="Times New Roman"/>
          <w:sz w:val="20"/>
          <w:szCs w:val="20"/>
          <w:color w:val="auto"/>
        </w:rPr>
      </w:pPr>
    </w:p>
    <w:p>
      <w:pPr>
        <w:jc w:val="both"/>
        <w:ind w:left="644" w:firstLine="652"/>
        <w:spacing w:after="0" w:line="261" w:lineRule="auto"/>
        <w:tabs>
          <w:tab w:leader="none" w:pos="182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w:t>
      </w:r>
      <w:r>
        <w:rPr>
          <w:rFonts w:ascii="Times New Roman" w:cs="Times New Roman" w:eastAsia="Times New Roman" w:hAnsi="Times New Roman"/>
          <w:sz w:val="20"/>
          <w:szCs w:val="20"/>
          <w:u w:val="single" w:color="auto"/>
          <w:color w:val="auto"/>
        </w:rPr>
        <w:t>plus</w:t>
      </w:r>
    </w:p>
    <w:p>
      <w:pPr>
        <w:spacing w:after="0" w:line="127" w:lineRule="exact"/>
        <w:rPr>
          <w:rFonts w:ascii="Times New Roman" w:cs="Times New Roman" w:eastAsia="Times New Roman" w:hAnsi="Times New Roman"/>
          <w:sz w:val="20"/>
          <w:szCs w:val="20"/>
          <w:color w:val="auto"/>
        </w:rPr>
      </w:pPr>
    </w:p>
    <w:p>
      <w:pPr>
        <w:jc w:val="both"/>
        <w:ind w:left="644" w:firstLine="652"/>
        <w:spacing w:after="0" w:line="265" w:lineRule="auto"/>
        <w:tabs>
          <w:tab w:leader="none" w:pos="1732" w:val="left"/>
        </w:tabs>
        <w:numPr>
          <w:ilvl w:val="2"/>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financed through the incurrence of long-term Indebtedness (other than revolving Indebtedness) and to the extent such payments are permitted hereunder, the aggregate amount of all principal payments of Indebtedness (in the case of any payments of loans under any revolving credit facility, solely to the extent accompanied by a permanent reduction of the commitments thereunder in a like amount) of the Initial Borrower or its Restricted Subsidiaries (including</w:t>
      </w:r>
    </w:p>
    <w:p>
      <w:pPr>
        <w:spacing w:after="0" w:line="2" w:lineRule="exact"/>
        <w:rPr>
          <w:rFonts w:ascii="Times New Roman" w:cs="Times New Roman" w:eastAsia="Times New Roman" w:hAnsi="Times New Roman"/>
          <w:sz w:val="19"/>
          <w:szCs w:val="19"/>
          <w:color w:val="auto"/>
        </w:rPr>
      </w:pPr>
    </w:p>
    <w:p>
      <w:pPr>
        <w:jc w:val="both"/>
        <w:ind w:left="644"/>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 the principal component of payments in respect of Capital Leases, (B) the amount of any scheduled repayment of Initial Term Loans, Extended Term Loans, Refinancing Term Loans and Incremental Term Loans made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any scheduled repayment of Other Applicable Indebtedness and (C) any mandatory prepayment of Term Loans pursuant to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any mandatory prepayment of Other Applicable Indebtedness, in each case, to the extent required due to an Asset Sale, casualty event or condemnation that resulted in an increase to Consolidated Net Income and not in excess of such increase but excluding (W) all other prepayments, purchases and buybacks of Term Loans by any Borrower or any Restricted Subsidiary (but excluding any</w:t>
      </w:r>
    </w:p>
    <w:p>
      <w:pPr>
        <w:spacing w:after="0" w:line="38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584"/>
          </w:cols>
          <w:pgMar w:left="976" w:top="1413" w:right="339" w:bottom="1440" w:gutter="0" w:footer="0" w:header="0"/>
        </w:sectPr>
      </w:pPr>
    </w:p>
    <w:bookmarkStart w:id="47" w:name="page48"/>
    <w:bookmarkEnd w:id="47"/>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 xml:space="preserve">repayments pursuant to clauses (B) and (C) above), (X) all prepayments of Revolving Loans, loans made pursuant to an Extended Revolving Credit Commitment, Incremental Revolving Loans and Refinancing Revolving Loans, (Y) all other prepayments, purchases and buybacks of any Junior Financing by any Borrower or any Restricted Subsidiary and (Z) any optional prepayment of, or other Cash repurchases to reduce the outstanding amount of, Indebtedness that reduces the amount of the ECF Prepayment Amount in accordance with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in each case during such Consolidated Excess Cash Flow Period; </w:t>
      </w:r>
      <w:r>
        <w:rPr>
          <w:rFonts w:ascii="Times New Roman" w:cs="Times New Roman" w:eastAsia="Times New Roman" w:hAnsi="Times New Roman"/>
          <w:sz w:val="20"/>
          <w:szCs w:val="20"/>
          <w:u w:val="single" w:color="auto"/>
          <w:color w:val="auto"/>
        </w:rPr>
        <w:t>plus</w:t>
      </w:r>
    </w:p>
    <w:p>
      <w:pPr>
        <w:spacing w:after="0" w:line="138" w:lineRule="exact"/>
        <w:rPr>
          <w:sz w:val="20"/>
          <w:szCs w:val="20"/>
          <w:color w:val="auto"/>
        </w:rPr>
      </w:pPr>
    </w:p>
    <w:p>
      <w:pPr>
        <w:ind w:left="180" w:right="20" w:firstLine="652"/>
        <w:spacing w:after="0" w:line="269" w:lineRule="auto"/>
        <w:tabs>
          <w:tab w:leader="none" w:pos="146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(including any Permitted Tax Payments) paid or payable by the Borrowers and/or any Restricted Subsidiary in Cash with respect to such Consolidated Excess Cash Flow Period;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33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fees and expenses (including premium, make-whole and penalty payments) incurred in connection with the issuance or prepayment of any Indebtedness (including any refinancing, except to the extent such costs, fees and expenses are financed with the proceeds of long-term Indebtedness (other than revolving Indebtedness)) to the extent permitted under this Agreement during such Consolidated Excess Cash Flow Period;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jc w:val="both"/>
        <w:ind w:left="180" w:firstLine="652"/>
        <w:spacing w:after="0" w:line="257" w:lineRule="auto"/>
        <w:tabs>
          <w:tab w:leader="none" w:pos="135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fees and expenses incurred in connection with the issuance of equity (including all classes of stock, options to purchase stock and stock appreciation rights to management of a Credit Party or any Subsidiary), Restricted Payments, Capital Expenditures, Investments, Asset Sales or divestitures, in each case, to the extent permitted hereunder and paid in Cash (except to the extent such costs, fees and expenses are financed with the proceeds of such equity issuance or long-term Indebtedness (other than revolving Indebtedness)) during such Consolidated Excess Cash Flow Period; </w:t>
      </w:r>
      <w:r>
        <w:rPr>
          <w:rFonts w:ascii="Times New Roman" w:cs="Times New Roman" w:eastAsia="Times New Roman" w:hAnsi="Times New Roman"/>
          <w:sz w:val="20"/>
          <w:szCs w:val="20"/>
          <w:u w:val="single" w:color="auto"/>
          <w:color w:val="auto"/>
        </w:rPr>
        <w:t>plus</w:t>
      </w:r>
    </w:p>
    <w:p>
      <w:pPr>
        <w:spacing w:after="0" w:line="118" w:lineRule="exact"/>
        <w:rPr>
          <w:rFonts w:ascii="Times New Roman" w:cs="Times New Roman" w:eastAsia="Times New Roman" w:hAnsi="Times New Roman"/>
          <w:sz w:val="20"/>
          <w:szCs w:val="20"/>
          <w:color w:val="auto"/>
        </w:rPr>
      </w:pPr>
    </w:p>
    <w:p>
      <w:pPr>
        <w:ind w:left="1360" w:hanging="528"/>
        <w:spacing w:after="0"/>
        <w:tabs>
          <w:tab w:leader="none" w:pos="1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increases, if any, in Consolidated Working Capital from the first day to the last day of such Consolidated</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Excess Cash Flow Period, but excluding any such increase in Consolidated Working Capital arising from or attributable to</w:t>
      </w:r>
    </w:p>
    <w:p>
      <w:pPr>
        <w:spacing w:after="0" w:line="6" w:lineRule="exact"/>
        <w:rPr>
          <w:sz w:val="20"/>
          <w:szCs w:val="20"/>
          <w:color w:val="auto"/>
        </w:rPr>
      </w:pPr>
    </w:p>
    <w:p>
      <w:pPr>
        <w:jc w:val="both"/>
        <w:ind w:left="180" w:firstLine="4"/>
        <w:spacing w:after="0" w:line="251" w:lineRule="auto"/>
        <w:tabs>
          <w:tab w:leader="none" w:pos="54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acquisition or disposition of any Person by the Initial Borrower or any of its Restricted Subsidiaries, (x) the reclassification during such period of current assets to long term assets and current liabilities to long term liabilities, (y) the application of purchase and/or recapitalization accounting and/or (z) the effect of any fluctuation in the amount of accrued and contingent obligations under any Interest Rate Agreement; </w:t>
      </w:r>
      <w:r>
        <w:rPr>
          <w:rFonts w:ascii="Times New Roman" w:cs="Times New Roman" w:eastAsia="Times New Roman" w:hAnsi="Times New Roman"/>
          <w:sz w:val="20"/>
          <w:szCs w:val="20"/>
          <w:u w:val="single" w:color="auto"/>
          <w:color w:val="auto"/>
        </w:rPr>
        <w:t>plus</w:t>
      </w:r>
    </w:p>
    <w:p>
      <w:pPr>
        <w:spacing w:after="0" w:line="136" w:lineRule="exact"/>
        <w:rPr>
          <w:rFonts w:ascii="Times New Roman" w:cs="Times New Roman" w:eastAsia="Times New Roman" w:hAnsi="Times New Roman"/>
          <w:sz w:val="20"/>
          <w:szCs w:val="20"/>
          <w:color w:val="auto"/>
        </w:rPr>
      </w:pPr>
    </w:p>
    <w:p>
      <w:pPr>
        <w:ind w:left="1380" w:hanging="548"/>
        <w:spacing w:after="0"/>
        <w:tabs>
          <w:tab w:leader="none" w:pos="13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ind w:left="180" w:firstLine="652"/>
        <w:spacing w:after="0" w:line="283" w:lineRule="auto"/>
        <w:tabs>
          <w:tab w:leader="none" w:pos="150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Cash Interest Expense paid during such period to the extent not financed with the proceeds of long-term Indebtedness (other than revolving Indebtedness); </w:t>
      </w:r>
      <w:r>
        <w:rPr>
          <w:rFonts w:ascii="Times New Roman" w:cs="Times New Roman" w:eastAsia="Times New Roman" w:hAnsi="Times New Roman"/>
          <w:sz w:val="20"/>
          <w:szCs w:val="20"/>
          <w:u w:val="single" w:color="auto"/>
          <w:color w:val="auto"/>
        </w:rPr>
        <w:t>plus</w:t>
      </w:r>
    </w:p>
    <w:p>
      <w:pPr>
        <w:spacing w:after="0" w:line="92"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1260" w:hanging="428"/>
        <w:spacing w:after="0"/>
        <w:tabs>
          <w:tab w:leader="none" w:pos="12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180" w:right="20" w:firstLine="652"/>
        <w:spacing w:after="0" w:line="269" w:lineRule="auto"/>
        <w:tabs>
          <w:tab w:leader="none" w:pos="136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reimbursable or insured expenses incurred during such period to the extent that such reimbursement has not yet been received and to the extent not deducted in arriving at such Consolidated Adjusted EBITDA;</w:t>
      </w:r>
    </w:p>
    <w:p>
      <w:pPr>
        <w:spacing w:after="0" w:line="36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20"/>
          </w:cols>
          <w:pgMar w:left="1440" w:top="1413"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0"/>
          <w:szCs w:val="20"/>
          <w:color w:val="auto"/>
        </w:rPr>
        <w:t>provided, that, notwithstanding anything to the contrary set forth herein, for the purposes of calculating Consolidated Excess Cash</w:t>
      </w:r>
    </w:p>
    <w:p>
      <w:pPr>
        <w:spacing w:after="0" w:line="215" w:lineRule="auto"/>
        <w:rPr>
          <w:sz w:val="20"/>
          <w:szCs w:val="20"/>
          <w:color w:val="auto"/>
        </w:rPr>
      </w:pPr>
      <w:r>
        <w:rPr>
          <w:rFonts w:ascii="Times New Roman" w:cs="Times New Roman" w:eastAsia="Times New Roman" w:hAnsi="Times New Roman"/>
          <w:sz w:val="19"/>
          <w:szCs w:val="19"/>
          <w:color w:val="auto"/>
        </w:rPr>
        <w:t>Flow, at any time there is a Designated Restricted Subsidiary, Consolidated Adjusted EBITDA and the additions and deductions thereto set forth in clauses (a) and (b) above shall only include the portion of Consolidated Adjusted EBITDA and such other amounts attributable to the</w:t>
      </w:r>
    </w:p>
    <w:p>
      <w:pPr>
        <w:spacing w:after="0" w:line="228" w:lineRule="auto"/>
        <w:rPr>
          <w:sz w:val="20"/>
          <w:szCs w:val="20"/>
          <w:color w:val="auto"/>
        </w:rPr>
      </w:pPr>
      <w:r>
        <w:rPr>
          <w:rFonts w:ascii="Times New Roman" w:cs="Times New Roman" w:eastAsia="Times New Roman" w:hAnsi="Times New Roman"/>
          <w:sz w:val="20"/>
          <w:szCs w:val="20"/>
          <w:color w:val="auto"/>
        </w:rPr>
        <w:t>Initial Borrower’s or any of its Restricted Subsidiaries’ (other than any Designated Restricted Subsidiary’s) ownership interest in such Designated Restricted Subsidiary.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Excess Cash Flow Period</w:t>
      </w:r>
      <w:r>
        <w:rPr>
          <w:rFonts w:ascii="Times New Roman" w:cs="Times New Roman" w:eastAsia="Times New Roman" w:hAnsi="Times New Roman"/>
          <w:sz w:val="20"/>
          <w:szCs w:val="20"/>
          <w:color w:val="auto"/>
        </w:rPr>
        <w:t>” means each Fiscal Year commencing with the Fiscal Year ending December 31,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means, for any period, total interest expense (including that portion attributable to Capital Leases in</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accordance with GAAP and capitalized interest including paid-in-kind amounts) of the Initial Borrower and its Restricted Subsidiaries on a consolidated basis for such period, including all commissions, discounts and other fees and charges owed with respect to letters of credit and</w:t>
      </w:r>
    </w:p>
    <w:p>
      <w:pPr>
        <w:spacing w:after="0" w:line="211" w:lineRule="auto"/>
        <w:rPr>
          <w:sz w:val="20"/>
          <w:szCs w:val="20"/>
          <w:color w:val="auto"/>
        </w:rPr>
      </w:pPr>
      <w:r>
        <w:rPr>
          <w:rFonts w:ascii="Times New Roman" w:cs="Times New Roman" w:eastAsia="Times New Roman" w:hAnsi="Times New Roman"/>
          <w:sz w:val="20"/>
          <w:szCs w:val="20"/>
          <w:color w:val="auto"/>
        </w:rPr>
        <w:t>net costs under Interest Rate Agreements and amortization or write off of deferred financing fees, debt issuance costs, debt discount or</w:t>
      </w:r>
    </w:p>
    <w:p>
      <w:pPr>
        <w:spacing w:after="0" w:line="221" w:lineRule="auto"/>
        <w:rPr>
          <w:sz w:val="20"/>
          <w:szCs w:val="20"/>
          <w:color w:val="auto"/>
        </w:rPr>
      </w:pPr>
      <w:r>
        <w:rPr>
          <w:rFonts w:ascii="Times New Roman" w:cs="Times New Roman" w:eastAsia="Times New Roman" w:hAnsi="Times New Roman"/>
          <w:sz w:val="20"/>
          <w:szCs w:val="20"/>
          <w:color w:val="auto"/>
        </w:rPr>
        <w:t>premium, commissions, fees and expenses, including commitment, letter of credit and administrative fees and charges with respect to the credit facilities provided for herein and with respect to other Indebtedness permitted to be incurred under this Agreement.</w:t>
      </w:r>
    </w:p>
    <w:p>
      <w:pPr>
        <w:spacing w:after="0" w:line="10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(i) the net income (or loss) of the Initial Borrower and its Restricted Subsidiaries (or, when reference is made to another Person, for such other Person and its Subsidiaries) on a consolidated basis for such period taken as a</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single accounting period determined in conformity with GAAP,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without duplication, (a) the income (or loss) of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(other than a Restricted Subsidiary) (x) in which any other Person (other than a Credit Party or a Restricted Subsidiary) has a joint interest (including any Permitted Joint Venture) or (y) that is an Unrestricted Subsidiary, except to the extent of the amount of any dividends</w:t>
      </w:r>
    </w:p>
    <w:p>
      <w:pPr>
        <w:spacing w:after="0" w:line="211" w:lineRule="auto"/>
        <w:rPr>
          <w:sz w:val="20"/>
          <w:szCs w:val="20"/>
          <w:color w:val="auto"/>
        </w:rPr>
      </w:pPr>
      <w:r>
        <w:rPr>
          <w:rFonts w:ascii="Times New Roman" w:cs="Times New Roman" w:eastAsia="Times New Roman" w:hAnsi="Times New Roman"/>
          <w:sz w:val="20"/>
          <w:szCs w:val="20"/>
          <w:color w:val="auto"/>
        </w:rPr>
        <w:t>or other distributions actually paid in Cash or Cash Equivalents (or to the extent subsequently converted into Cash or Cash Equivalents)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Initial Borrower and its Restricted Subsidiaries by such Person during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income (or loss) of any Person accrued prior to the date it becomes a Restricted Subsidiary of the Initial Borrower or is merged into or consolidated with the Initial Borrower or any</w:t>
      </w:r>
    </w:p>
    <w:p>
      <w:pPr>
        <w:spacing w:after="0" w:line="211" w:lineRule="auto"/>
        <w:rPr>
          <w:sz w:val="20"/>
          <w:szCs w:val="20"/>
          <w:color w:val="auto"/>
        </w:rPr>
      </w:pPr>
      <w:r>
        <w:rPr>
          <w:rFonts w:ascii="Times New Roman" w:cs="Times New Roman" w:eastAsia="Times New Roman" w:hAnsi="Times New Roman"/>
          <w:sz w:val="20"/>
          <w:szCs w:val="20"/>
          <w:color w:val="auto"/>
        </w:rPr>
        <w:t>of its Restricted Subsidiaries or that Person’s assets are acquired by the Initial Borrower or any of its Restricted Subsidiaries (except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extent required for any calculation of Consolidated Adjusted EBITDA on a Pro Forma Basis in accordance with Section 1.08),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income of any Restricted Subsidiary of the Initial Borrower (other than a Borrower or a Guarantor) to the extent that the declaration or</w:t>
      </w:r>
    </w:p>
    <w:p>
      <w:pPr>
        <w:spacing w:after="0" w:line="211" w:lineRule="auto"/>
        <w:rPr>
          <w:sz w:val="20"/>
          <w:szCs w:val="20"/>
          <w:color w:val="auto"/>
        </w:rPr>
      </w:pPr>
      <w:r>
        <w:rPr>
          <w:rFonts w:ascii="Times New Roman" w:cs="Times New Roman" w:eastAsia="Times New Roman" w:hAnsi="Times New Roman"/>
          <w:sz w:val="20"/>
          <w:szCs w:val="20"/>
          <w:color w:val="auto"/>
        </w:rPr>
        <w:t>payment of dividends or similar distributions by that Restricted Subsidiary of that income is not at the time permitted by operation of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terms of its Organizational Documents or any agreement, instrument, judgment, decree, order, statute, rule or governmental regulation applicable to that Subsidiary (except (solely to the extent permitted to be paid) to the extent of the amount of dividends or other distributions</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actually paid to a Borrower or Guarantor by such Person during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(d) any gains or losses, together with any related provision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for taxes on such gain (or loss), realized in connection with any Asset Sales or other disposition or abandonment and any reserves relating thereto, in each case, not in the ordinary course of business,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any net unrealized gain (loss) (after any offset) resulting during such</w:t>
      </w:r>
    </w:p>
    <w:p>
      <w:pPr>
        <w:spacing w:after="0" w:line="211" w:lineRule="auto"/>
        <w:rPr>
          <w:sz w:val="20"/>
          <w:szCs w:val="20"/>
          <w:color w:val="auto"/>
        </w:rPr>
      </w:pPr>
      <w:r>
        <w:rPr>
          <w:rFonts w:ascii="Times New Roman" w:cs="Times New Roman" w:eastAsia="Times New Roman" w:hAnsi="Times New Roman"/>
          <w:sz w:val="20"/>
          <w:szCs w:val="20"/>
          <w:color w:val="auto"/>
        </w:rPr>
        <w:t>period from obligations under any Interest Rate Agreement or other derivative instruments as determined in accordance with GAAP and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application of Statement of Financial Accounting Standards No. 133,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(f) to the extent not included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above, any net extraordinary gains or net extraordinary losses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(g) the cumulative effect of a change in accounting principles during</w:t>
      </w:r>
    </w:p>
    <w:p>
      <w:pPr>
        <w:spacing w:after="0"/>
        <w:rPr>
          <w:sz w:val="20"/>
          <w:szCs w:val="20"/>
          <w:color w:val="auto"/>
        </w:rPr>
      </w:pPr>
      <w:r>
        <w:rPr>
          <w:rFonts w:ascii="Times New Roman" w:cs="Times New Roman" w:eastAsia="Times New Roman" w:hAnsi="Times New Roman"/>
          <w:sz w:val="20"/>
          <w:szCs w:val="20"/>
          <w:color w:val="auto"/>
        </w:rPr>
        <w:t>such period to the extent included in Consolidated Net Income.</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There shall be excluded from Consolidated Net Income for any period, the purchase accounting effects of adjustments in component amounts required or permitted by GAAP (including the inventory, property and equipment, software, goodwill, intangible assets, in-process</w:t>
      </w:r>
    </w:p>
    <w:p>
      <w:pPr>
        <w:spacing w:after="0" w:line="211" w:lineRule="auto"/>
        <w:rPr>
          <w:sz w:val="20"/>
          <w:szCs w:val="20"/>
          <w:color w:val="auto"/>
        </w:rPr>
      </w:pPr>
      <w:r>
        <w:rPr>
          <w:rFonts w:ascii="Times New Roman" w:cs="Times New Roman" w:eastAsia="Times New Roman" w:hAnsi="Times New Roman"/>
          <w:sz w:val="20"/>
          <w:szCs w:val="20"/>
          <w:color w:val="auto"/>
        </w:rPr>
        <w:t>research and development, deferred revenue and debt line items thereof) and related authoritative pronouncements (including the effects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adjustments pushed down to the Initial Borrower and the Restricted Subsidiaries), as a result of the Transactions, any acquisition constituting an Investment permitted under this Agreement consummated prior to or after the Closing Date, or the amortization or write-off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of any amounts thereof. For the avoidance of doubt, Consolidated Net Income shall be calculated, including pro forma adjustments,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1394"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as of any date, the total property and assets of the Initial Borrower and its Restricted Subsidiaries, determined in accordance with GAAP, as set forth on the most recent consolidated balance sheet of the Initial Borrower delivered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the balance sheet delivered pursuant to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means, as to the Initial Borrower and its Restricted Subsidiaries on a consolidated basis at any date of</w:t>
      </w:r>
    </w:p>
    <w:p>
      <w:pPr>
        <w:jc w:val="both"/>
        <w:spacing w:after="0" w:line="204" w:lineRule="auto"/>
        <w:rPr>
          <w:sz w:val="20"/>
          <w:szCs w:val="20"/>
          <w:color w:val="auto"/>
        </w:rPr>
      </w:pPr>
      <w:r>
        <w:rPr>
          <w:rFonts w:ascii="Times New Roman" w:cs="Times New Roman" w:eastAsia="Times New Roman" w:hAnsi="Times New Roman"/>
          <w:sz w:val="20"/>
          <w:szCs w:val="20"/>
          <w:color w:val="auto"/>
        </w:rPr>
        <w:t>determination, the aggregate principal amount of all third party Indebtedness for borrowed money (which for the avoidance of doubt shall not include intercompany indebtedness), Indebtedness evidenced by bonds, debentures, notes, loan agreements or other similar instruments,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Capital Leases, purchase money Indebtedness and Guarantees in respect of any of the foregoing items;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Debt” shall be calculated (i) net of the aggregate amount of Unrestricted Cash of the Initial Borrower and its Restricted Subsidiaries and (ii) for any Indebtedness issued at a discount to the initial principal amount, based on the initial stated principal amount thereof without giving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effect to any such discounts;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 Debt shall not include Letters of Credit (or other letters of credit, bankers’ acceptances and bank guarantees), except to the extent of Unreimbursed Amounts thereunder.</w:t>
      </w:r>
    </w:p>
    <w:p>
      <w:pPr>
        <w:spacing w:after="0" w:line="9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Working Capital</w:t>
      </w:r>
      <w:r>
        <w:rPr>
          <w:rFonts w:ascii="Times New Roman" w:cs="Times New Roman" w:eastAsia="Times New Roman" w:hAnsi="Times New Roman"/>
          <w:sz w:val="19"/>
          <w:szCs w:val="19"/>
          <w:color w:val="auto"/>
        </w:rPr>
        <w:t xml:space="preserve">” means, as at any date of determination on a consolidated basis, Consolidated Current Assets at such date of determination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Consolidated Current Liabilities at such date of determination, and calculated without regard to any changes in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Consolidated Current Assets or Consolidated Current Liabilities as a result of any reclassification in accordance with GAAP of assets or liabilities, as applicable, between current and noncurrent.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w:t>
      </w:r>
    </w:p>
    <w:p>
      <w:pPr>
        <w:jc w:val="both"/>
        <w:spacing w:after="0" w:line="221" w:lineRule="auto"/>
        <w:rPr>
          <w:sz w:val="20"/>
          <w:szCs w:val="20"/>
          <w:color w:val="auto"/>
        </w:rPr>
      </w:pPr>
      <w:r>
        <w:rPr>
          <w:rFonts w:ascii="Times New Roman" w:cs="Times New Roman" w:eastAsia="Times New Roman" w:hAnsi="Times New Roman"/>
          <w:sz w:val="20"/>
          <w:szCs w:val="20"/>
          <w:color w:val="auto"/>
        </w:rPr>
        <w:t>mortgage, deed of trust, contract, undertaking, agreement or other instrument to which that Person is a party or by which it or any of its properties is bound or to which it or any of its properties is subject.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Contributing Guarantors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(including, with correlative meanings,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Controlled by</w:t>
      </w:r>
      <w:r>
        <w:rPr>
          <w:rFonts w:ascii="Times New Roman" w:cs="Times New Roman" w:eastAsia="Times New Roman" w:hAnsi="Times New Roman"/>
          <w:sz w:val="20"/>
          <w:szCs w:val="20"/>
          <w:color w:val="auto"/>
        </w:rPr>
        <w:t>”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9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Date</w:t>
      </w:r>
      <w:r>
        <w:rPr>
          <w:rFonts w:ascii="Times New Roman" w:cs="Times New Roman" w:eastAsia="Times New Roman" w:hAnsi="Times New Roman"/>
          <w:sz w:val="20"/>
          <w:szCs w:val="20"/>
          <w:color w:val="auto"/>
        </w:rPr>
        <w:t>” means the effective date of a continuation or conversion, as the case may be, as set forth in the applicable Conversion/Continuation Notice.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Notice</w:t>
      </w:r>
      <w:r>
        <w:rPr>
          <w:rFonts w:ascii="Times New Roman" w:cs="Times New Roman" w:eastAsia="Times New Roman" w:hAnsi="Times New Roman"/>
          <w:sz w:val="20"/>
          <w:szCs w:val="20"/>
          <w:color w:val="auto"/>
        </w:rPr>
        <w:t xml:space="preserve">” means a Conversion/Continuation Notice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Rating</w:t>
      </w:r>
      <w:r>
        <w:rPr>
          <w:rFonts w:ascii="Times New Roman" w:cs="Times New Roman" w:eastAsia="Times New Roman" w:hAnsi="Times New Roman"/>
          <w:sz w:val="20"/>
          <w:szCs w:val="20"/>
          <w:color w:val="auto"/>
        </w:rPr>
        <w:t xml:space="preserve">” means, as of any date of determination, the public corporate rating or public corporate family rating as determined by either S&amp;P or Moody’s, respectively, of PRTH and/or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S&amp;P or Moody’s</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shall change the basis on which ratings are established by it, each reference to the Corporate Rating announced by S&amp;P or Moody’s shall refer to the then equivalent rating by S&amp;P or Moody’s, as the case may be.</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Counterpart Agreement</w:t>
      </w:r>
      <w:r>
        <w:rPr>
          <w:rFonts w:ascii="Times New Roman" w:cs="Times New Roman" w:eastAsia="Times New Roman" w:hAnsi="Times New Roman"/>
          <w:sz w:val="20"/>
          <w:szCs w:val="20"/>
          <w:color w:val="auto"/>
        </w:rPr>
        <w:t xml:space="preserve">” means a Counterpart Agreement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delivered by a Credit Party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1413" w:right="339" w:bottom="1440" w:gutter="0" w:footer="0" w:header="0"/>
        </w:sectPr>
      </w:pPr>
    </w:p>
    <w:bookmarkStart w:id="50" w:name="page51"/>
    <w:bookmarkEnd w:id="50"/>
    <w:p>
      <w:pPr>
        <w:ind w:left="1720" w:hanging="416"/>
        <w:spacing w:after="0"/>
        <w:tabs>
          <w:tab w:leader="none" w:pos="1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 Refinancing Indebtedness</w:t>
      </w:r>
      <w:r>
        <w:rPr>
          <w:rFonts w:ascii="Times New Roman" w:cs="Times New Roman" w:eastAsia="Times New Roman" w:hAnsi="Times New Roman"/>
          <w:sz w:val="20"/>
          <w:szCs w:val="20"/>
          <w:color w:val="auto"/>
        </w:rPr>
        <w:t>” means (a) Permitted First Priority Refinancing Debt, (b) Permitted Junior Priority Refinancing Debt, (c) Permitted Unsecured Refinancing Debt or (d) other Indebtedness incurred pursuant to a Refinancing Amendment, in</w:t>
      </w:r>
    </w:p>
    <w:p>
      <w:pPr>
        <w:spacing w:after="0" w:line="212" w:lineRule="auto"/>
        <w:rPr>
          <w:sz w:val="20"/>
          <w:szCs w:val="20"/>
          <w:color w:val="auto"/>
        </w:rPr>
      </w:pPr>
      <w:r>
        <w:rPr>
          <w:rFonts w:ascii="Times New Roman" w:cs="Times New Roman" w:eastAsia="Times New Roman" w:hAnsi="Times New Roman"/>
          <w:sz w:val="20"/>
          <w:szCs w:val="20"/>
          <w:color w:val="auto"/>
        </w:rPr>
        <w:t>each case, issued, incurred or otherwise obtained (including by means of the extension or renewal of existing Indebtedness) in exchange for,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to extend, renew, replace, repurchase, retire or refinance, in whole or part, existing Term Loans or existing Revolving Loans (or unused Revolving Credit Commitments), or any then-existing Credit Agreement Refinancing Indebtedness (the “</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provided that (i)</w:t>
      </w:r>
    </w:p>
    <w:p>
      <w:pPr>
        <w:spacing w:after="0" w:line="222" w:lineRule="auto"/>
        <w:rPr>
          <w:sz w:val="20"/>
          <w:szCs w:val="20"/>
          <w:color w:val="auto"/>
        </w:rPr>
      </w:pPr>
      <w:r>
        <w:rPr>
          <w:rFonts w:ascii="Times New Roman" w:cs="Times New Roman" w:eastAsia="Times New Roman" w:hAnsi="Times New Roman"/>
          <w:sz w:val="19"/>
          <w:szCs w:val="19"/>
          <w:color w:val="auto"/>
        </w:rPr>
        <w:t>such Credit Agreement Refinancing Indebtedness shall not mature (or, in the case of Credit Agreement Refinancing Indebtedness in the form</w:t>
      </w:r>
    </w:p>
    <w:p>
      <w:pPr>
        <w:spacing w:after="0" w:line="204" w:lineRule="auto"/>
        <w:rPr>
          <w:sz w:val="20"/>
          <w:szCs w:val="20"/>
          <w:color w:val="auto"/>
        </w:rPr>
      </w:pPr>
      <w:r>
        <w:rPr>
          <w:rFonts w:ascii="Times New Roman" w:cs="Times New Roman" w:eastAsia="Times New Roman" w:hAnsi="Times New Roman"/>
          <w:sz w:val="20"/>
          <w:szCs w:val="20"/>
          <w:color w:val="auto"/>
        </w:rPr>
        <w:t>of revolving Indebtedness, require commitment reductions) prior to the earlier of (x) the maturity date of the Refinanced Debt and (y) the Latest Maturity Date, and, in the case of any refinancing of Term Loans or other term Credit Agreement Refinancing Indebtedness, such</w:t>
      </w:r>
    </w:p>
    <w:p>
      <w:pPr>
        <w:spacing w:after="0" w:line="211" w:lineRule="auto"/>
        <w:rPr>
          <w:sz w:val="20"/>
          <w:szCs w:val="20"/>
          <w:color w:val="auto"/>
        </w:rPr>
      </w:pPr>
      <w:r>
        <w:rPr>
          <w:rFonts w:ascii="Times New Roman" w:cs="Times New Roman" w:eastAsia="Times New Roman" w:hAnsi="Times New Roman"/>
          <w:sz w:val="20"/>
          <w:szCs w:val="20"/>
          <w:color w:val="auto"/>
        </w:rPr>
        <w:t>Credit Agreement Refinancing Indebtedness shall have a Weighted Average Life to Maturity equal to or greater than the shorter of (x)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Refinanced Debt and (y) the remaining Weighted Average Life to Maturity of any Term Loan outstanding at the time such Credit Agreement Refinancing Indebtedness is incurred (provided that the requirements set forth in this clause (i) shall not apply to any Credit Agreement</w:t>
      </w:r>
    </w:p>
    <w:p>
      <w:pPr>
        <w:spacing w:after="0" w:line="211" w:lineRule="auto"/>
        <w:rPr>
          <w:sz w:val="20"/>
          <w:szCs w:val="20"/>
          <w:color w:val="auto"/>
        </w:rPr>
      </w:pPr>
      <w:r>
        <w:rPr>
          <w:rFonts w:ascii="Times New Roman" w:cs="Times New Roman" w:eastAsia="Times New Roman" w:hAnsi="Times New Roman"/>
          <w:sz w:val="20"/>
          <w:szCs w:val="20"/>
          <w:color w:val="auto"/>
        </w:rPr>
        <w:t>Refinancing Indebtedness (A) consisting of a customary bridge facility, so long as such customary bridge facility by its terms will</w:t>
      </w:r>
    </w:p>
    <w:p>
      <w:pPr>
        <w:spacing w:after="0" w:line="204" w:lineRule="auto"/>
        <w:rPr>
          <w:sz w:val="20"/>
          <w:szCs w:val="20"/>
          <w:color w:val="auto"/>
        </w:rPr>
      </w:pPr>
      <w:r>
        <w:rPr>
          <w:rFonts w:ascii="Times New Roman" w:cs="Times New Roman" w:eastAsia="Times New Roman" w:hAnsi="Times New Roman"/>
          <w:sz w:val="20"/>
          <w:szCs w:val="20"/>
          <w:color w:val="auto"/>
        </w:rPr>
        <w:t>automatically be converted into, or exchanged for, long-term Indebtedness that satisfies the requirements set forth in this clause (i) or (B) incurred in reliance on the Inside Maturity Basket), (ii) such Credit Agreement Refinancing Indebtedness shall not have an aggregate</w:t>
      </w:r>
    </w:p>
    <w:p>
      <w:pPr>
        <w:spacing w:after="0" w:line="211" w:lineRule="auto"/>
        <w:rPr>
          <w:sz w:val="20"/>
          <w:szCs w:val="20"/>
          <w:color w:val="auto"/>
        </w:rPr>
      </w:pPr>
      <w:r>
        <w:rPr>
          <w:rFonts w:ascii="Times New Roman" w:cs="Times New Roman" w:eastAsia="Times New Roman" w:hAnsi="Times New Roman"/>
          <w:sz w:val="20"/>
          <w:szCs w:val="20"/>
          <w:color w:val="auto"/>
        </w:rPr>
        <w:t>principal  amount  (including  any  unutilized  commitments)  greater  than  the  aggregate  principal  amount  (including  any  unutilized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commitments) of the Refinanced Debt plus accrued interest , fees, premiums (if any) and penalties thereon and fees and expenses associated with the refinancing, (iii) any payments, borrowings, participations and commitment reductions shall be made pro rata as between the</w:t>
      </w:r>
    </w:p>
    <w:p>
      <w:pPr>
        <w:spacing w:after="0" w:line="211" w:lineRule="auto"/>
        <w:rPr>
          <w:sz w:val="20"/>
          <w:szCs w:val="20"/>
          <w:color w:val="auto"/>
        </w:rPr>
      </w:pPr>
      <w:r>
        <w:rPr>
          <w:rFonts w:ascii="Times New Roman" w:cs="Times New Roman" w:eastAsia="Times New Roman" w:hAnsi="Times New Roman"/>
          <w:sz w:val="20"/>
          <w:szCs w:val="20"/>
          <w:color w:val="auto"/>
        </w:rPr>
        <w:t>Revolving Loans and any Credit Agreement Refinancing Indebtedness in the form of revolving loans or revolving commitments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accordance with the aggregate principal amounts thereof, respectively, (iv) the terms and conditions of such Credit Agreement Refinancing Indebtedness (except as otherwise provided in this definition) shall be as agreed between a Credit Party and the financing sources providing</w:t>
      </w:r>
    </w:p>
    <w:p>
      <w:pPr>
        <w:spacing w:after="0" w:line="211" w:lineRule="auto"/>
        <w:rPr>
          <w:sz w:val="20"/>
          <w:szCs w:val="20"/>
          <w:color w:val="auto"/>
        </w:rPr>
      </w:pPr>
      <w:r>
        <w:rPr>
          <w:rFonts w:ascii="Times New Roman" w:cs="Times New Roman" w:eastAsia="Times New Roman" w:hAnsi="Times New Roman"/>
          <w:sz w:val="20"/>
          <w:szCs w:val="20"/>
          <w:color w:val="auto"/>
        </w:rPr>
        <w:t>such Credit Agreement Refinancing Indebtedness (provided that, if the terms of such Credit Agreement Refinancing Indebtedness are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consistent with the terms of the Refinanced Debt, such terms shall not be materially more favorable, taken as a whole, to such financing sources than the terms of the Refinanced Debt unless (I) such more favorable terms are conformed (or added) to the Credit Documents for the</w:t>
      </w:r>
    </w:p>
    <w:p>
      <w:pPr>
        <w:spacing w:after="0" w:line="211" w:lineRule="auto"/>
        <w:rPr>
          <w:sz w:val="20"/>
          <w:szCs w:val="20"/>
          <w:color w:val="auto"/>
        </w:rPr>
      </w:pPr>
      <w:r>
        <w:rPr>
          <w:rFonts w:ascii="Times New Roman" w:cs="Times New Roman" w:eastAsia="Times New Roman" w:hAnsi="Times New Roman"/>
          <w:sz w:val="20"/>
          <w:szCs w:val="20"/>
          <w:color w:val="auto"/>
        </w:rPr>
        <w:t>benefit of the applicable Lenders pursuant to an amendment subject solely to the reasonable satisfaction of the Administrative Agent or (II)</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such more favorable terms apply only after the Maturity Date of the Initial Term Loans), (v) no Default or Event of Default shall exist at the time of issuance, incurrence or obtaining of such Credit Agreement Refinancing Indebtedness or would result from such issuance,</w:t>
      </w:r>
    </w:p>
    <w:p>
      <w:pPr>
        <w:spacing w:after="0" w:line="223" w:lineRule="auto"/>
        <w:rPr>
          <w:sz w:val="20"/>
          <w:szCs w:val="20"/>
          <w:color w:val="auto"/>
        </w:rPr>
      </w:pPr>
      <w:r>
        <w:rPr>
          <w:rFonts w:ascii="Times New Roman" w:cs="Times New Roman" w:eastAsia="Times New Roman" w:hAnsi="Times New Roman"/>
          <w:sz w:val="19"/>
          <w:szCs w:val="19"/>
          <w:color w:val="auto"/>
        </w:rPr>
        <w:t>incurrence or obtaining of such Credit Agreement Refinancing Indebtedness, (vi) such Refinanced Debt shall be repaid, repurchased, retired,</w:t>
      </w:r>
    </w:p>
    <w:p>
      <w:pPr>
        <w:spacing w:after="0" w:line="204" w:lineRule="auto"/>
        <w:rPr>
          <w:sz w:val="20"/>
          <w:szCs w:val="20"/>
          <w:color w:val="auto"/>
        </w:rPr>
      </w:pPr>
      <w:r>
        <w:rPr>
          <w:rFonts w:ascii="Times New Roman" w:cs="Times New Roman" w:eastAsia="Times New Roman" w:hAnsi="Times New Roman"/>
          <w:sz w:val="20"/>
          <w:szCs w:val="20"/>
          <w:color w:val="auto"/>
        </w:rPr>
        <w:t>defeased or satisfied and discharged, and all accrued interest, fees, premiums (if any) and penalties in connection therewith shall be paid substantially concurrently with the issuance, incurrence or obtaining of such Credit Agreement Refinancing Indebtedness, (vii) such Credit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 Refinancing Indebtedness shall not be guaranteed by any Person other than any Credit Party and shall not have any obligors other than any Credit Party, (viii) to the extent such Credit Agreement Refinancing Indebtedness is secured, it is not secured by any property or</w:t>
      </w:r>
    </w:p>
    <w:p>
      <w:pPr>
        <w:spacing w:after="0" w:line="211" w:lineRule="auto"/>
        <w:rPr>
          <w:sz w:val="20"/>
          <w:szCs w:val="20"/>
          <w:color w:val="auto"/>
        </w:rPr>
      </w:pPr>
      <w:r>
        <w:rPr>
          <w:rFonts w:ascii="Times New Roman" w:cs="Times New Roman" w:eastAsia="Times New Roman" w:hAnsi="Times New Roman"/>
          <w:sz w:val="20"/>
          <w:szCs w:val="20"/>
          <w:color w:val="auto"/>
        </w:rPr>
        <w:t>assets other than the Collateral (it being agreed that such Credit Agreement Refinancing Indebtedness shall not be required to be secured by</w:t>
      </w:r>
    </w:p>
    <w:p>
      <w:pPr>
        <w:spacing w:after="0" w:line="215" w:lineRule="auto"/>
        <w:rPr>
          <w:sz w:val="20"/>
          <w:szCs w:val="20"/>
          <w:color w:val="auto"/>
        </w:rPr>
      </w:pPr>
      <w:r>
        <w:rPr>
          <w:rFonts w:ascii="Times New Roman" w:cs="Times New Roman" w:eastAsia="Times New Roman" w:hAnsi="Times New Roman"/>
          <w:sz w:val="19"/>
          <w:szCs w:val="19"/>
          <w:color w:val="auto"/>
        </w:rPr>
        <w:t>all of the Collateral), (ix) if such Credit Agreement Refinancing Indebtedness is secured by the Collateral, a Senior Representative acting on behalf of the holders of such Credit Agreement Refinancing Indebtedness shall have become party to an Acceptable Intercreditor Agreement</w:t>
      </w:r>
    </w:p>
    <w:p>
      <w:pPr>
        <w:spacing w:after="0" w:line="211" w:lineRule="auto"/>
        <w:rPr>
          <w:sz w:val="20"/>
          <w:szCs w:val="20"/>
          <w:color w:val="auto"/>
        </w:rPr>
      </w:pPr>
      <w:r>
        <w:rPr>
          <w:rFonts w:ascii="Times New Roman" w:cs="Times New Roman" w:eastAsia="Times New Roman" w:hAnsi="Times New Roman"/>
          <w:sz w:val="20"/>
          <w:szCs w:val="20"/>
          <w:color w:val="auto"/>
        </w:rPr>
        <w:t>(or any Acceptable Intercreditor Agreement shall have been amended or replaced in a manner reasonably acceptable to the Borrower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Representative and the Administrative Agent, which results in such Senior Representative having rights to share in the Collateral on a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basis or a junior lien basis to the Obligations, 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20" w:top="14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applicable), (x)(A) if the Refinanced Debt is subordinated in right of payment or security to any Obligations, then any Credit Agreement</w:t>
      </w:r>
    </w:p>
    <w:p>
      <w:pPr>
        <w:spacing w:after="0" w:line="215" w:lineRule="auto"/>
        <w:rPr>
          <w:sz w:val="20"/>
          <w:szCs w:val="20"/>
          <w:color w:val="auto"/>
        </w:rPr>
      </w:pPr>
      <w:r>
        <w:rPr>
          <w:rFonts w:ascii="Times New Roman" w:cs="Times New Roman" w:eastAsia="Times New Roman" w:hAnsi="Times New Roman"/>
          <w:sz w:val="19"/>
          <w:szCs w:val="19"/>
          <w:color w:val="auto"/>
        </w:rPr>
        <w:t>Refinancing Indebtedness in respect thereof shall be subordinated in right of payment to, or to the Liens securing, such Obligations, as applicable, on the same basis (and, if the Refinanced Debt is secured, then any Credit Agreement Refinancing Indebtedness in respect thereof</w:t>
      </w:r>
    </w:p>
    <w:p>
      <w:pPr>
        <w:spacing w:after="0" w:line="211" w:lineRule="auto"/>
        <w:rPr>
          <w:sz w:val="20"/>
          <w:szCs w:val="20"/>
          <w:color w:val="auto"/>
        </w:rPr>
      </w:pPr>
      <w:r>
        <w:rPr>
          <w:rFonts w:ascii="Times New Roman" w:cs="Times New Roman" w:eastAsia="Times New Roman" w:hAnsi="Times New Roman"/>
          <w:sz w:val="20"/>
          <w:szCs w:val="20"/>
          <w:color w:val="auto"/>
        </w:rPr>
        <w:t>also may be unsecured) pursuant to a customary subordination agreement or provisions reasonably satisfactory to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(B) if the Refinanced Debt is unsecured, then any Credit Agreement Refinancing Indebtedness shall be unsecured, (xi) any Credit Agreement Refinancing Indebtedness shall be pari passu or junior in right of payment and, if secured, secured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basis</w:t>
      </w:r>
    </w:p>
    <w:p>
      <w:pPr>
        <w:spacing w:after="0" w:line="211" w:lineRule="auto"/>
        <w:rPr>
          <w:sz w:val="20"/>
          <w:szCs w:val="20"/>
          <w:color w:val="auto"/>
        </w:rPr>
      </w:pPr>
      <w:r>
        <w:rPr>
          <w:rFonts w:ascii="Times New Roman" w:cs="Times New Roman" w:eastAsia="Times New Roman" w:hAnsi="Times New Roman"/>
          <w:sz w:val="20"/>
          <w:szCs w:val="20"/>
          <w:color w:val="auto"/>
        </w:rPr>
        <w:t>with the Initial Revolving Credit Commitments and the Initial Term Loans and (xii) any Credit Agreement Refinancing Indebtedness (other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than any such Credit Agreement Refinancing Indebtedness that is revolving in nature) may participate (A) on a pro rata basis (only to the extent such Credit Agreement Refinancing Indebtedness is secured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Initial Term Loans and not subordinated in</w:t>
      </w:r>
    </w:p>
    <w:p>
      <w:pPr>
        <w:spacing w:after="0" w:line="222" w:lineRule="auto"/>
        <w:rPr>
          <w:sz w:val="20"/>
          <w:szCs w:val="20"/>
          <w:color w:val="auto"/>
        </w:rPr>
      </w:pPr>
      <w:r>
        <w:rPr>
          <w:rFonts w:ascii="Times New Roman" w:cs="Times New Roman" w:eastAsia="Times New Roman" w:hAnsi="Times New Roman"/>
          <w:sz w:val="19"/>
          <w:szCs w:val="19"/>
          <w:color w:val="auto"/>
        </w:rPr>
        <w:t>right of payment) or less than pro rata basis (but not greater than pro rata basis) in any voluntary prepayments hereunder and (B) on a pro rata</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basis (only to the extent such Credit Agreement Refinancing Indebtedness is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and not subordinated in right of payment) or a less than pro rata basis (but not greater than pro rata basis) in any mandatory prepayments</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 Representative shall deliver to the Administrative Agent (which shall provide to the Lenders)</w:t>
      </w:r>
    </w:p>
    <w:p>
      <w:pPr>
        <w:spacing w:after="0" w:line="215" w:lineRule="auto"/>
        <w:rPr>
          <w:sz w:val="20"/>
          <w:szCs w:val="20"/>
          <w:color w:val="auto"/>
        </w:rPr>
      </w:pPr>
      <w:r>
        <w:rPr>
          <w:rFonts w:ascii="Times New Roman" w:cs="Times New Roman" w:eastAsia="Times New Roman" w:hAnsi="Times New Roman"/>
          <w:sz w:val="19"/>
          <w:szCs w:val="19"/>
          <w:color w:val="auto"/>
        </w:rPr>
        <w:t>a certificate of a Senior Officer of the Borrower Representative at least five Business Days prior to such modification, refinancing, refunding, renewal or extension stating that the Borrower has determined in good faith that the terms and conditions thereof satisfy the foregoing</w:t>
      </w:r>
    </w:p>
    <w:p>
      <w:pPr>
        <w:spacing w:after="0"/>
        <w:rPr>
          <w:sz w:val="20"/>
          <w:szCs w:val="20"/>
          <w:color w:val="auto"/>
        </w:rPr>
      </w:pPr>
      <w:r>
        <w:rPr>
          <w:rFonts w:ascii="Times New Roman" w:cs="Times New Roman" w:eastAsia="Times New Roman" w:hAnsi="Times New Roman"/>
          <w:sz w:val="20"/>
          <w:szCs w:val="20"/>
          <w:color w:val="auto"/>
        </w:rPr>
        <w:t>requirements.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Date</w:t>
      </w:r>
      <w:r>
        <w:rPr>
          <w:rFonts w:ascii="Times New Roman" w:cs="Times New Roman" w:eastAsia="Times New Roman" w:hAnsi="Times New Roman"/>
          <w:sz w:val="20"/>
          <w:szCs w:val="20"/>
          <w:color w:val="auto"/>
        </w:rPr>
        <w:t>” means the date of a Credit Extension, which date must be a Business Day.</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Document</w:t>
      </w:r>
      <w:r>
        <w:rPr>
          <w:rFonts w:ascii="Times New Roman" w:cs="Times New Roman" w:eastAsia="Times New Roman" w:hAnsi="Times New Roman"/>
          <w:sz w:val="20"/>
          <w:szCs w:val="20"/>
          <w:color w:val="auto"/>
        </w:rPr>
        <w:t>” means, collectively, (i) this Agreement, (ii) the Notes, if any, (iii) the Collateral Documents, (iv) the Fee Letter,</w:t>
      </w:r>
    </w:p>
    <w:p>
      <w:pPr>
        <w:jc w:val="both"/>
        <w:ind w:firstLine="8"/>
        <w:spacing w:after="0" w:line="216" w:lineRule="auto"/>
        <w:tabs>
          <w:tab w:leader="none" w:pos="30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Refinancing Amendment </w:t>
      </w:r>
      <w:r>
        <w:rPr>
          <w:rFonts w:ascii="Times New Roman" w:cs="Times New Roman" w:eastAsia="Times New Roman" w:hAnsi="Times New Roman"/>
          <w:sz w:val="20"/>
          <w:szCs w:val="20"/>
          <w:u w:val="single" w:color="auto"/>
          <w:color w:val="0000FF"/>
        </w:rPr>
        <w:t>(including, for the avoidance of doubt, Amendment No. 2)</w:t>
      </w:r>
      <w:r>
        <w:rPr>
          <w:rFonts w:ascii="Times New Roman" w:cs="Times New Roman" w:eastAsia="Times New Roman" w:hAnsi="Times New Roman"/>
          <w:sz w:val="20"/>
          <w:szCs w:val="20"/>
          <w:color w:val="auto"/>
        </w:rPr>
        <w:t xml:space="preserve">, Incremental Amendment (including, for the avoidance of doubt, Amendment No. 1 </w:t>
      </w:r>
      <w:r>
        <w:rPr>
          <w:rFonts w:ascii="Times New Roman" w:cs="Times New Roman" w:eastAsia="Times New Roman" w:hAnsi="Times New Roman"/>
          <w:sz w:val="20"/>
          <w:szCs w:val="20"/>
          <w:color w:val="0000FF"/>
        </w:rPr>
        <w:t>and Amendment No. 2</w:t>
      </w:r>
      <w:r>
        <w:rPr>
          <w:rFonts w:ascii="Times New Roman" w:cs="Times New Roman" w:eastAsia="Times New Roman" w:hAnsi="Times New Roman"/>
          <w:sz w:val="20"/>
          <w:szCs w:val="20"/>
          <w:color w:val="auto"/>
        </w:rPr>
        <w:t>) or Extension Amendment, (vi) each Letter of Credit Application, (vii) any other document or instrument designated by the Borrower Representative and Administrative Agent as a “Credit Document”, (viii) any Acceptable Intercreditor Agreement, (ix) the PRTH Pledge Agreement and (x) any other amendment or joinder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-284480</wp:posOffset>
            </wp:positionV>
            <wp:extent cx="1210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as the context may require, (i) the making of a Loan or (ii) the making of any L/C Credit Extension.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each Borrower and each Guarantor.</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Retained Consolidated Excess Cash Flow Amount</w:t>
      </w:r>
      <w:r>
        <w:rPr>
          <w:rFonts w:ascii="Times New Roman" w:cs="Times New Roman" w:eastAsia="Times New Roman" w:hAnsi="Times New Roman"/>
          <w:sz w:val="20"/>
          <w:szCs w:val="20"/>
          <w:color w:val="auto"/>
        </w:rPr>
        <w:t>” means, at any time, an amount, not less than zero in the aggregate, determined on a cumulative basis equal to the sum of (i) the aggregate cumulative sum of the Retained Percentage of Consolidated Excess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Cash Flow and (ii) the aggregate cumulative sum of the ECF Prepayment Amounts below the ECF Prepayment Threshold for all Consolidated Excess Cash Flow Periods ending after the Closing Date and prior to such date.</w:t>
      </w:r>
    </w:p>
    <w:p>
      <w:pPr>
        <w:spacing w:after="0" w:line="9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2.13(g)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 condition or event that constitutes an Event of Default or that, after notice or lapse of time or both, would constitute an Event of Default.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the applicable rate of interest payable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0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any Lender that, (a) has refused (which refusal may be given verbally or in writing and has not been retracted) or failed to perform any of 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1394" w:right="339" w:bottom="1440" w:gutter="0" w:footer="0" w:header="0"/>
        </w:sectPr>
      </w:pPr>
    </w:p>
    <w:bookmarkStart w:id="52" w:name="page53"/>
    <w:bookmarkEnd w:id="52"/>
    <w:p>
      <w:pPr>
        <w:jc w:val="both"/>
        <w:spacing w:after="0" w:line="248" w:lineRule="auto"/>
        <w:rPr>
          <w:sz w:val="20"/>
          <w:szCs w:val="20"/>
          <w:color w:val="auto"/>
        </w:rPr>
      </w:pPr>
      <w:r>
        <w:rPr>
          <w:rFonts w:ascii="Times New Roman" w:cs="Times New Roman" w:eastAsia="Times New Roman" w:hAnsi="Times New Roman"/>
          <w:sz w:val="20"/>
          <w:szCs w:val="20"/>
          <w:color w:val="auto"/>
        </w:rPr>
        <w:t>funding obligations hereunder, including in respect of its Loans or participations in respect of L/C Obligations or Swing Line Loans, which refusal or failure is not cured within two (2) Business Days after the date of such refusal or failure (unless such Lender’s refusal or failure to fund is based on such Lender’s good faith determination that a condition precedent to funding cannot be or has not been satisfied), (b) has notified the Borrower Representative, Administrative Agent or any Issuing Bank or the Swing Line Lender that it does not intend to comply with its funding obligations or has made a public statement to that effect with respect to its funding obligations hereunder (unless such Lender’s refusal or failure to fund is based on such Lender’s good faith determination that a condition precedent to funding cannot be or has not been satisfied) or under other agreements in which it commits to extend credit, (c) has failed, within three (3) Business Days after request by Administrative Agent, to confirm in a manner reasonably satisfactory to Administrative Agent that it will comply with its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Administrative Agent and the Borrower Representative), or (d) has, or has a direct or indirect parent company that has, after the date of this Agreement, (i) become the subject of a (x) 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xml:space="preserve">) upon delivery of written notice of such determination to the Borrower Representative, the Issuing Banks, the Swing Line Lender and each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 Lender shall not be a Defaulting Lender under clause (d) of this definition if such Lender is subject to an Undisclosed Administration.</w:t>
      </w:r>
    </w:p>
    <w:p>
      <w:pPr>
        <w:spacing w:after="0" w:line="19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9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Restricted Subsidiary</w:t>
      </w:r>
      <w:r>
        <w:rPr>
          <w:rFonts w:ascii="Times New Roman" w:cs="Times New Roman" w:eastAsia="Times New Roman" w:hAnsi="Times New Roman"/>
          <w:sz w:val="20"/>
          <w:szCs w:val="20"/>
          <w:color w:val="auto"/>
        </w:rPr>
        <w:t>” means (i) a non-wholly-owned Restricted Subsidiary that has been designated in writing by the Initial Borrower to the Administrative Agent as a “Designated Restricted Subsidiary” (the “</w:t>
      </w:r>
      <w:r>
        <w:rPr>
          <w:rFonts w:ascii="Times New Roman" w:cs="Times New Roman" w:eastAsia="Times New Roman" w:hAnsi="Times New Roman"/>
          <w:sz w:val="20"/>
          <w:szCs w:val="20"/>
          <w:u w:val="single" w:color="auto"/>
          <w:color w:val="auto"/>
        </w:rPr>
        <w:t>Primary Designated Restricted Subsidiary</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 no Event of Default then exists or would result immediately therefrom, (x) the transaction pursuant to which such Restricted Subsidiary ceases to be a wholly-owned Subsidiary was permitted hereunder and entered into for a bona fide business purpose (as</w:t>
      </w:r>
    </w:p>
    <w:p>
      <w:pPr>
        <w:spacing w:after="0" w:line="211" w:lineRule="auto"/>
        <w:rPr>
          <w:sz w:val="20"/>
          <w:szCs w:val="20"/>
          <w:color w:val="auto"/>
        </w:rPr>
      </w:pPr>
      <w:r>
        <w:rPr>
          <w:rFonts w:ascii="Times New Roman" w:cs="Times New Roman" w:eastAsia="Times New Roman" w:hAnsi="Times New Roman"/>
          <w:sz w:val="20"/>
          <w:szCs w:val="20"/>
          <w:color w:val="auto"/>
        </w:rPr>
        <w:t>reasonably determined by the Borrower Representative), (y) after giving pro forma effect to the consummation of the transaction that causes</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Restricted Subsidiary to be a non-wholly-owned Subsidiary, the non-controlling interest is not owned by an Affiliate of the Borrowers and (z) after giving effect to such designation and the related transactions, the portion of the Capital Stock of such Designated Restricted</w:t>
      </w:r>
    </w:p>
    <w:p>
      <w:pPr>
        <w:spacing w:after="0" w:line="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9"/>
          <w:szCs w:val="19"/>
          <w:color w:val="auto"/>
        </w:rPr>
        <w:t>Subsidiary that continues to be owned or held by the Initial Borrower or any Subsidiary Guarantor shall continue to be pledged as Collateral pursuant to the Pledge and Security Agreement and (ii) all Restricted Subsidiaries of the Primary Designated Restricted Subsidiary.</w:t>
      </w:r>
    </w:p>
    <w:p>
      <w:pPr>
        <w:spacing w:after="0" w:line="9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 Competitor</w:t>
      </w:r>
      <w:r>
        <w:rPr>
          <w:rFonts w:ascii="Times New Roman" w:cs="Times New Roman" w:eastAsia="Times New Roman" w:hAnsi="Times New Roman"/>
          <w:sz w:val="20"/>
          <w:szCs w:val="20"/>
          <w:color w:val="auto"/>
        </w:rPr>
        <w:t>” means any Person primarily engaged in one or more lines of business substantially similar to one or more lines of business conducted by the Borrowers and their Restricted Subsidiaries in the normal course in the business from time to time.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1413"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Capital Stock</w:t>
      </w:r>
      <w:r>
        <w:rPr>
          <w:rFonts w:ascii="Times New Roman" w:cs="Times New Roman" w:eastAsia="Times New Roman" w:hAnsi="Times New Roman"/>
          <w:sz w:val="19"/>
          <w:szCs w:val="19"/>
          <w:color w:val="auto"/>
        </w:rPr>
        <w:t>” means any Capital Stock which, by its terms (or by the terms of any security or any other Capital Stock</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into which it is convertible or for which it is exchangeable) or upon the happening of any event or condition (a) matures or is mandatorily redeemable (other than solely for a Permitted Stock Issuance), pursuant to a sinking fund obligation or otherwise (except as a result of a</w:t>
      </w:r>
    </w:p>
    <w:p>
      <w:pPr>
        <w:spacing w:after="0" w:line="211" w:lineRule="auto"/>
        <w:rPr>
          <w:sz w:val="20"/>
          <w:szCs w:val="20"/>
          <w:color w:val="auto"/>
        </w:rPr>
      </w:pPr>
      <w:r>
        <w:rPr>
          <w:rFonts w:ascii="Times New Roman" w:cs="Times New Roman" w:eastAsia="Times New Roman" w:hAnsi="Times New Roman"/>
          <w:sz w:val="20"/>
          <w:szCs w:val="20"/>
          <w:color w:val="auto"/>
        </w:rPr>
        <w:t>customarily defined change of control or asset sale and only so long as any rights of the holders thereof after such change of control or asset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sale shall be subject to the prior Payment in Full of the Obligations and the termination of the Revolving Commitments), (b) provides for scheduled payments of dividends in Cash, (c) is redeemable at the option of the holder thereof (other than solely for a Permitted Stock</w:t>
      </w:r>
    </w:p>
    <w:p>
      <w:pPr>
        <w:spacing w:after="0" w:line="211" w:lineRule="auto"/>
        <w:rPr>
          <w:sz w:val="20"/>
          <w:szCs w:val="20"/>
          <w:color w:val="auto"/>
        </w:rPr>
      </w:pPr>
      <w:r>
        <w:rPr>
          <w:rFonts w:ascii="Times New Roman" w:cs="Times New Roman" w:eastAsia="Times New Roman" w:hAnsi="Times New Roman"/>
          <w:sz w:val="20"/>
          <w:szCs w:val="20"/>
          <w:color w:val="auto"/>
        </w:rPr>
        <w:t>Issuance), in whole or in part, (d) is secured by any assets of the Initial Borrower or its Restricted Subsidiaries or (e) is or becomes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convertible into or exchangeable for Indebtedness or any other Disqualified Capital Stock, in whole or in part, in each case, on or prior to the date that is ninety-one (91) days after the Latest Maturity Date at the time of issuance.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 means those Persons that are (i) Direct Competitors (other than Bona Fide Debt Funds) of any Borrower</w:t>
      </w:r>
    </w:p>
    <w:p>
      <w:pPr>
        <w:spacing w:after="0" w:line="204" w:lineRule="auto"/>
        <w:rPr>
          <w:sz w:val="20"/>
          <w:szCs w:val="20"/>
          <w:color w:val="auto"/>
        </w:rPr>
      </w:pPr>
      <w:r>
        <w:rPr>
          <w:rFonts w:ascii="Times New Roman" w:cs="Times New Roman" w:eastAsia="Times New Roman" w:hAnsi="Times New Roman"/>
          <w:sz w:val="20"/>
          <w:szCs w:val="20"/>
          <w:color w:val="auto"/>
        </w:rPr>
        <w:t>or its Subsidiaries that are separately identified by name in writing by the Initial Borrower to the Lead Arrangers prior to the Closing Date (or to Administrative Agent after the Closing Date from time to time), (ii) those banks, financial institutions and other Persons separately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identified by name by the Initial Borrower to the Lead Arrangers in writing on or before April 9, 2024 or (iii) in the case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of their Affiliates (other than, in respect of Disqualified Institutions identified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Bona Fide Debt Funds) that are identified in writing by the Borrower Representative to Administrative Agent or that are clearly identifiable as Affiliates solely on the basis of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Affiliate’s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additional Disqualified Institutions shall not apply retroactively to disqualify any parties that have previously acquired an assignment or participation interest in the Facilities.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money of the United States.</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Holding Company</w:t>
      </w:r>
      <w:r>
        <w:rPr>
          <w:rFonts w:ascii="Times New Roman" w:cs="Times New Roman" w:eastAsia="Times New Roman" w:hAnsi="Times New Roman"/>
          <w:sz w:val="20"/>
          <w:szCs w:val="20"/>
          <w:color w:val="auto"/>
        </w:rPr>
        <w:t>” means any Domestic Subsidiary, substantially all of the assets of which consist of the Capital Stock or Capital Stock and Indebtedness of one or more Foreign Subsidiaries that are CFCs.</w:t>
      </w:r>
    </w:p>
    <w:p>
      <w:pPr>
        <w:spacing w:after="0" w:line="10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organized under the laws of the United States, any State thereof or the District of Columbia.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10.06(c)(iii)</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means a modified Dutch auction or other buy-back process with a third party financial institution as auction agent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to repurchase Term Loans of a specific Class on a non-pro rata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Dutch Auction shall be offered to all Term Loan Lenders of such Class on a </w:t>
      </w:r>
      <w:r>
        <w:rPr>
          <w:rFonts w:ascii="Times New Roman" w:cs="Times New Roman" w:eastAsia="Times New Roman" w:hAnsi="Times New Roman"/>
          <w:sz w:val="19"/>
          <w:szCs w:val="19"/>
          <w:i w:val="1"/>
          <w:iCs w:val="1"/>
          <w:color w:val="auto"/>
        </w:rPr>
        <w:t>pro rata basis</w:t>
      </w:r>
      <w:r>
        <w:rPr>
          <w:rFonts w:ascii="Times New Roman" w:cs="Times New Roman" w:eastAsia="Times New Roman" w:hAnsi="Times New Roman"/>
          <w:sz w:val="19"/>
          <w:szCs w:val="19"/>
          <w:color w:val="auto"/>
        </w:rPr>
        <w:t xml:space="preserve"> and (B) such Dutch Auction is conducted pursuant to the procedures mutually established by</w:t>
      </w:r>
    </w:p>
    <w:p>
      <w:pPr>
        <w:spacing w:after="0"/>
        <w:rPr>
          <w:sz w:val="20"/>
          <w:szCs w:val="20"/>
          <w:color w:val="auto"/>
        </w:rPr>
      </w:pPr>
      <w:r>
        <w:rPr>
          <w:rFonts w:ascii="Times New Roman" w:cs="Times New Roman" w:eastAsia="Times New Roman" w:hAnsi="Times New Roman"/>
          <w:sz w:val="20"/>
          <w:szCs w:val="20"/>
          <w:color w:val="auto"/>
        </w:rPr>
        <w:t xml:space="preserve">Administrative Agent and the Borrower Representative which are consistent with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Cutoff Date</w:t>
      </w:r>
      <w:r>
        <w:rPr>
          <w:rFonts w:ascii="Times New Roman" w:cs="Times New Roman" w:eastAsia="Times New Roman" w:hAnsi="Times New Roman"/>
          <w:sz w:val="20"/>
          <w:szCs w:val="20"/>
          <w:color w:val="auto"/>
        </w:rPr>
        <w:t>” means, with respect to any Consolidated Excess Cash Flow Period, December 31 of the next succeeding Consolidated Excess Cash Flow Period.</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Prepayment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Prepayment Threshold</w:t>
      </w:r>
      <w:r>
        <w:rPr>
          <w:rFonts w:ascii="Times New Roman" w:cs="Times New Roman" w:eastAsia="Times New Roman" w:hAnsi="Times New Roman"/>
          <w:sz w:val="20"/>
          <w:szCs w:val="20"/>
          <w:color w:val="auto"/>
        </w:rPr>
        <w:t>” has the meaning set forth in Section 2.13(d).</w:t>
      </w:r>
    </w:p>
    <w:p>
      <w:pPr>
        <w:spacing w:after="0" w:line="12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20" w:top="1399" w:right="339" w:bottom="1440" w:gutter="0" w:footer="0" w:header="0"/>
        </w:sectPr>
      </w:pPr>
    </w:p>
    <w:bookmarkStart w:id="54" w:name="page55"/>
    <w:bookmarkEnd w:id="54"/>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Assignee</w:t>
      </w:r>
      <w:r>
        <w:rPr>
          <w:rFonts w:ascii="Times New Roman" w:cs="Times New Roman" w:eastAsia="Times New Roman" w:hAnsi="Times New Roman"/>
          <w:sz w:val="19"/>
          <w:szCs w:val="19"/>
          <w:color w:val="auto"/>
        </w:rPr>
        <w:t>” means (i) if the assignment includes assignments of Revolving Loans or Revolving Commitments, (a) any Revolving Credit Lender, or any Affiliate (other than a natural person) of a Revolving Credit Lender, (b) a commercial bank organized under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laws of the United States, or any state thereof, and having total assets or net worth in excess of $100,000,000, (c) a commercial bank organized under the laws of any other country which is a member of the Organization for Economic Cooperation and Development or a</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political subdivision of any such country and which has total assets or net worth in excess of $100,000,000,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bank is acting</w:t>
      </w:r>
    </w:p>
    <w:p>
      <w:pPr>
        <w:spacing w:after="0" w:line="215" w:lineRule="auto"/>
        <w:rPr>
          <w:sz w:val="20"/>
          <w:szCs w:val="20"/>
          <w:color w:val="auto"/>
        </w:rPr>
      </w:pPr>
      <w:r>
        <w:rPr>
          <w:rFonts w:ascii="Times New Roman" w:cs="Times New Roman" w:eastAsia="Times New Roman" w:hAnsi="Times New Roman"/>
          <w:sz w:val="19"/>
          <w:szCs w:val="19"/>
          <w:color w:val="auto"/>
        </w:rPr>
        <w:t>through a branch or agency located in the United States, and (d) a finance company, insurance company, or other financial institution or fund that is engaged in making, purchasing, or otherwise investing in commercial loans in the ordinary course of its business and having (together</w:t>
      </w:r>
    </w:p>
    <w:p>
      <w:pPr>
        <w:spacing w:after="0" w:line="211" w:lineRule="auto"/>
        <w:rPr>
          <w:sz w:val="20"/>
          <w:szCs w:val="20"/>
          <w:color w:val="auto"/>
        </w:rPr>
      </w:pPr>
      <w:r>
        <w:rPr>
          <w:rFonts w:ascii="Times New Roman" w:cs="Times New Roman" w:eastAsia="Times New Roman" w:hAnsi="Times New Roman"/>
          <w:sz w:val="20"/>
          <w:szCs w:val="20"/>
          <w:color w:val="auto"/>
        </w:rPr>
        <w:t>with its Affiliates) total assets or net worth in excess of $100,000,000, (ii) if the assignment includes assignments of Term Loans, (a) any</w:t>
      </w:r>
    </w:p>
    <w:p>
      <w:pPr>
        <w:spacing w:after="0" w:line="204" w:lineRule="auto"/>
        <w:rPr>
          <w:sz w:val="20"/>
          <w:szCs w:val="20"/>
          <w:color w:val="auto"/>
        </w:rPr>
      </w:pPr>
      <w:r>
        <w:rPr>
          <w:rFonts w:ascii="Times New Roman" w:cs="Times New Roman" w:eastAsia="Times New Roman" w:hAnsi="Times New Roman"/>
          <w:sz w:val="20"/>
          <w:szCs w:val="20"/>
          <w:color w:val="auto"/>
        </w:rPr>
        <w:t>Lender, any Affiliate (other than a natural person) of any Lender and any Related Fund (any two or more Related Funds being treated as a single Eligible Assignee for all purposes hereof), (b) any commercial bank, insurance company, investment or mutual fund or other entity</w:t>
      </w:r>
    </w:p>
    <w:p>
      <w:pPr>
        <w:spacing w:after="0" w:line="211" w:lineRule="auto"/>
        <w:rPr>
          <w:sz w:val="20"/>
          <w:szCs w:val="20"/>
          <w:color w:val="auto"/>
        </w:rPr>
      </w:pPr>
      <w:r>
        <w:rPr>
          <w:rFonts w:ascii="Times New Roman" w:cs="Times New Roman" w:eastAsia="Times New Roman" w:hAnsi="Times New Roman"/>
          <w:sz w:val="20"/>
          <w:szCs w:val="20"/>
          <w:color w:val="auto"/>
        </w:rPr>
        <w:t>that is an “accredited investor” (as defined in Regulation D under the Securities Act) and which extends credit or buys loans as one of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businesses, (c) any Affiliated Lender to the extent permitted by </w:t>
      </w:r>
      <w:r>
        <w:rPr>
          <w:rFonts w:ascii="Times New Roman" w:cs="Times New Roman" w:eastAsia="Times New Roman" w:hAnsi="Times New Roman"/>
          <w:sz w:val="20"/>
          <w:szCs w:val="20"/>
          <w:u w:val="single" w:color="auto"/>
          <w:color w:val="auto"/>
        </w:rPr>
        <w:t>Section 10.06(i)</w:t>
      </w:r>
      <w:r>
        <w:rPr>
          <w:rFonts w:ascii="Times New Roman" w:cs="Times New Roman" w:eastAsia="Times New Roman" w:hAnsi="Times New Roman"/>
          <w:sz w:val="20"/>
          <w:szCs w:val="20"/>
          <w:color w:val="auto"/>
        </w:rPr>
        <w:t xml:space="preserve">, and (d) any Borrower to the extent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10.06(c)(iv)</w:t>
      </w:r>
      <w:r>
        <w:rPr>
          <w:rFonts w:ascii="Times New Roman" w:cs="Times New Roman" w:eastAsia="Times New Roman" w:hAnsi="Times New Roman"/>
          <w:sz w:val="20"/>
          <w:szCs w:val="20"/>
          <w:color w:val="auto"/>
        </w:rPr>
        <w:t>, and (iii) any other Person (other than a natural Person) approved by Borrower Representative (so long as no Event of Default</w:t>
      </w:r>
    </w:p>
    <w:p>
      <w:pPr>
        <w:spacing w:after="0" w:line="211" w:lineRule="auto"/>
        <w:rPr>
          <w:sz w:val="20"/>
          <w:szCs w:val="20"/>
          <w:color w:val="auto"/>
        </w:rPr>
      </w:pPr>
      <w:r>
        <w:rPr>
          <w:rFonts w:ascii="Times New Roman" w:cs="Times New Roman" w:eastAsia="Times New Roman" w:hAnsi="Times New Roman"/>
          <w:sz w:val="20"/>
          <w:szCs w:val="20"/>
          <w:color w:val="auto"/>
        </w:rPr>
        <w:t>under Section 8.01(a), (f) or (g) has occurred and is continuing; such approval not to be unreasonably withheld or delayed) and</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such approval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the case of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that (v) the consent of the Borrower Representative (such consent not to be unreasonably withheld or delayed) shall be required in the case of</w:t>
      </w:r>
    </w:p>
    <w:p>
      <w:pPr>
        <w:spacing w:after="0" w:line="215" w:lineRule="auto"/>
        <w:rPr>
          <w:sz w:val="20"/>
          <w:szCs w:val="20"/>
          <w:color w:val="auto"/>
        </w:rPr>
      </w:pPr>
      <w:r>
        <w:rPr>
          <w:rFonts w:ascii="Times New Roman" w:cs="Times New Roman" w:eastAsia="Times New Roman" w:hAnsi="Times New Roman"/>
          <w:sz w:val="19"/>
          <w:szCs w:val="19"/>
          <w:color w:val="auto"/>
        </w:rPr>
        <w:t>all assignments other than assignments made (a) pursuant to the foregoing clauses (i)(a) or (ii)(a) or (b) during the continuance of an Event of Default under Section 8.01(a), (f) or (g), (w) to the extent the consent of the Borrower Representative is required for any assignment, such</w:t>
      </w:r>
    </w:p>
    <w:p>
      <w:pPr>
        <w:spacing w:after="0" w:line="211" w:lineRule="auto"/>
        <w:rPr>
          <w:sz w:val="20"/>
          <w:szCs w:val="20"/>
          <w:color w:val="auto"/>
        </w:rPr>
      </w:pPr>
      <w:r>
        <w:rPr>
          <w:rFonts w:ascii="Times New Roman" w:cs="Times New Roman" w:eastAsia="Times New Roman" w:hAnsi="Times New Roman"/>
          <w:sz w:val="20"/>
          <w:szCs w:val="20"/>
          <w:color w:val="auto"/>
        </w:rPr>
        <w:t>consent shall be deemed to have been given if the Borrower Representative has not responded within ten (10) Business Days of a written</w:t>
      </w:r>
    </w:p>
    <w:p>
      <w:pPr>
        <w:spacing w:after="0" w:line="204" w:lineRule="auto"/>
        <w:rPr>
          <w:sz w:val="20"/>
          <w:szCs w:val="20"/>
          <w:color w:val="auto"/>
        </w:rPr>
      </w:pPr>
      <w:r>
        <w:rPr>
          <w:rFonts w:ascii="Times New Roman" w:cs="Times New Roman" w:eastAsia="Times New Roman" w:hAnsi="Times New Roman"/>
          <w:sz w:val="20"/>
          <w:szCs w:val="20"/>
          <w:color w:val="auto"/>
        </w:rPr>
        <w:t>request from the Administrative Agent for such consent, (x) “Eligible Assignee” shall not include at any time any Disqualified Institutions (unless consented to in writing by the Borrower Representative in its sole discretion), any Defaulting Lender, any natural person and any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Initial Borrower or any of its Subsidiaries (other than as permitted pursuant to </w:t>
      </w:r>
      <w:r>
        <w:rPr>
          <w:rFonts w:ascii="Times New Roman" w:cs="Times New Roman" w:eastAsia="Times New Roman" w:hAnsi="Times New Roman"/>
          <w:sz w:val="20"/>
          <w:szCs w:val="20"/>
          <w:u w:val="single" w:color="auto"/>
          <w:color w:val="auto"/>
        </w:rPr>
        <w:t>clause (ii)(d)</w:t>
      </w:r>
      <w:r>
        <w:rPr>
          <w:rFonts w:ascii="Times New Roman" w:cs="Times New Roman" w:eastAsia="Times New Roman" w:hAnsi="Times New Roman"/>
          <w:sz w:val="20"/>
          <w:szCs w:val="20"/>
          <w:color w:val="auto"/>
        </w:rPr>
        <w:t xml:space="preserve"> above), (y) the consent of Administrative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Agent (such consent not to be unreasonably withheld or delayed) shall be required in the case of all assignments other than assignments made pursuant to foregoing </w:t>
      </w:r>
      <w:r>
        <w:rPr>
          <w:rFonts w:ascii="Times New Roman" w:cs="Times New Roman" w:eastAsia="Times New Roman" w:hAnsi="Times New Roman"/>
          <w:sz w:val="19"/>
          <w:szCs w:val="19"/>
          <w:u w:val="single" w:color="auto"/>
          <w:color w:val="auto"/>
        </w:rPr>
        <w:t>clauses (i)(a)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(ii)(a)</w:t>
      </w:r>
      <w:r>
        <w:rPr>
          <w:rFonts w:ascii="Times New Roman" w:cs="Times New Roman" w:eastAsia="Times New Roman" w:hAnsi="Times New Roman"/>
          <w:sz w:val="19"/>
          <w:szCs w:val="19"/>
          <w:color w:val="auto"/>
        </w:rPr>
        <w:t xml:space="preserve"> and (z) the consent of the Swing Line Lender and the Issuing Bank (such consent not to be</w:t>
      </w:r>
    </w:p>
    <w:p>
      <w:pPr>
        <w:spacing w:after="0"/>
        <w:rPr>
          <w:sz w:val="20"/>
          <w:szCs w:val="20"/>
          <w:color w:val="auto"/>
        </w:rPr>
      </w:pPr>
      <w:r>
        <w:rPr>
          <w:rFonts w:ascii="Times New Roman" w:cs="Times New Roman" w:eastAsia="Times New Roman" w:hAnsi="Times New Roman"/>
          <w:sz w:val="20"/>
          <w:szCs w:val="20"/>
          <w:color w:val="auto"/>
        </w:rPr>
        <w:t xml:space="preserve">unreasonably withheld or delayed) shall be required for all assignments in respect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any “employee benefit plan” as defined in Section 3(3) of ERISA which is or was sponsored, maintained or contributed to by, or required to be contributed by, any Credit Party, any of its Subsidiaries or any of their respective ERISA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w:t>
      </w:r>
      <w:r>
        <w:rPr>
          <w:rFonts w:ascii="Times New Roman" w:cs="Times New Roman" w:eastAsia="Times New Roman" w:hAnsi="Times New Roman"/>
          <w:sz w:val="20"/>
          <w:szCs w:val="20"/>
          <w:color w:val="auto"/>
        </w:rPr>
        <w:t>” means any notice of investigation, notice, notice of violation, claim, action, suit, proceeding, demand, abatement order or other order or directive to the extent each of the foregoing is in writing (conditional or otherwise), by any Governmental</w:t>
      </w:r>
    </w:p>
    <w:p>
      <w:pPr>
        <w:spacing w:after="0" w:line="212" w:lineRule="auto"/>
        <w:rPr>
          <w:sz w:val="20"/>
          <w:szCs w:val="20"/>
          <w:color w:val="auto"/>
        </w:rPr>
      </w:pPr>
      <w:r>
        <w:rPr>
          <w:rFonts w:ascii="Times New Roman" w:cs="Times New Roman" w:eastAsia="Times New Roman" w:hAnsi="Times New Roman"/>
          <w:sz w:val="20"/>
          <w:szCs w:val="20"/>
          <w:color w:val="auto"/>
        </w:rPr>
        <w:t>Authority or any other Person, arising (i) pursuant to or in connection with any actual or alleged violation of any Environmental Law; (ii)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connection with any actual or alleged Hazardous Materials Activity; or (iii) in connection with any actual or alleged damage, injury, threat or harm to health and safety (with respect to exposure to Hazardous Materials), natural resources or the environment.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current or future foreign or domestic, federal or state (or any subdivision of any of them)</w:t>
      </w:r>
    </w:p>
    <w:p>
      <w:pPr>
        <w:spacing w:after="0" w:line="204" w:lineRule="auto"/>
        <w:rPr>
          <w:sz w:val="20"/>
          <w:szCs w:val="20"/>
          <w:color w:val="auto"/>
        </w:rPr>
      </w:pPr>
      <w:r>
        <w:rPr>
          <w:rFonts w:ascii="Times New Roman" w:cs="Times New Roman" w:eastAsia="Times New Roman" w:hAnsi="Times New Roman"/>
          <w:sz w:val="20"/>
          <w:szCs w:val="20"/>
          <w:color w:val="auto"/>
        </w:rPr>
        <w:t>laws, common law, statutes, ordinances, orders, rules, regulations, legally-binding judgments, or any other legally-binding requirements of Governmental Authorities relating to (i) environmental matters, including those relating to any Hazardous Materials Activity; (ii) the</w:t>
      </w:r>
    </w:p>
    <w:p>
      <w:pPr>
        <w:spacing w:after="0" w:line="223" w:lineRule="auto"/>
        <w:rPr>
          <w:sz w:val="20"/>
          <w:szCs w:val="20"/>
          <w:color w:val="auto"/>
        </w:rPr>
      </w:pPr>
      <w:r>
        <w:rPr>
          <w:rFonts w:ascii="Times New Roman" w:cs="Times New Roman" w:eastAsia="Times New Roman" w:hAnsi="Times New Roman"/>
          <w:sz w:val="19"/>
          <w:szCs w:val="19"/>
          <w:color w:val="auto"/>
        </w:rPr>
        <w:t>generation, use, storage, transportation or disposal of Hazardous Materials; or (iii) occupational safety and health, industrial hygiene, land use</w:t>
      </w:r>
    </w:p>
    <w:p>
      <w:pPr>
        <w:spacing w:after="0" w:line="221" w:lineRule="auto"/>
        <w:rPr>
          <w:sz w:val="20"/>
          <w:szCs w:val="20"/>
          <w:color w:val="auto"/>
        </w:rPr>
      </w:pPr>
      <w:r>
        <w:rPr>
          <w:rFonts w:ascii="Times New Roman" w:cs="Times New Roman" w:eastAsia="Times New Roman" w:hAnsi="Times New Roman"/>
          <w:sz w:val="20"/>
          <w:szCs w:val="20"/>
          <w:color w:val="auto"/>
        </w:rPr>
        <w:t>or the protection of human, plant or animal health or welfare in each case with respect to exposure to Hazardous Materials, in any manner applicable to any Credit Party or any of its Subsidiaries or any Real Estate Asset.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40"/>
          </w:cols>
          <w:pgMar w:left="320" w:top="1399" w:right="339" w:bottom="1440" w:gutter="0" w:footer="0" w:header="0"/>
        </w:sectPr>
      </w:pPr>
    </w:p>
    <w:bookmarkStart w:id="55" w:name="page56"/>
    <w:bookmarkEnd w:id="55"/>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any Environmental Law.</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including any regulations promulgated thereunder.</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as applied to any Person, (i) any corporation which is a member of a controlled group of corporations</w:t>
      </w:r>
    </w:p>
    <w:p>
      <w:pPr>
        <w:spacing w:after="0" w:line="204" w:lineRule="auto"/>
        <w:rPr>
          <w:sz w:val="20"/>
          <w:szCs w:val="20"/>
          <w:color w:val="auto"/>
        </w:rPr>
      </w:pPr>
      <w:r>
        <w:rPr>
          <w:rFonts w:ascii="Times New Roman" w:cs="Times New Roman" w:eastAsia="Times New Roman" w:hAnsi="Times New Roman"/>
          <w:sz w:val="20"/>
          <w:szCs w:val="20"/>
          <w:color w:val="auto"/>
        </w:rPr>
        <w:t>within the meaning of Section 414(b) of the Internal Revenue Code of which that Person is a member; (ii) any trade or business (whether or not incorporated) which is a member of a group of trades or businesses under Common Control within the meaning of Section 414(c)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Internal Revenue Code of which that Person is a member; and (iii)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any trade or</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business described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is a member. Any former ERISA Affiliate of any Credit Party or any of its Subsidiaries shall continue</w:t>
      </w:r>
    </w:p>
    <w:p>
      <w:pPr>
        <w:spacing w:after="0" w:line="204" w:lineRule="auto"/>
        <w:rPr>
          <w:sz w:val="20"/>
          <w:szCs w:val="20"/>
          <w:color w:val="auto"/>
        </w:rPr>
      </w:pPr>
      <w:r>
        <w:rPr>
          <w:rFonts w:ascii="Times New Roman" w:cs="Times New Roman" w:eastAsia="Times New Roman" w:hAnsi="Times New Roman"/>
          <w:sz w:val="20"/>
          <w:szCs w:val="20"/>
          <w:color w:val="auto"/>
        </w:rPr>
        <w:t>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such Credit Party or such Subsidiary could be liable under the Internal Revenue Code or ERISA.</w:t>
      </w:r>
    </w:p>
    <w:p>
      <w:pPr>
        <w:spacing w:after="0" w:line="11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(i) a “reportable event” within the meaning of Section 4043 of ERISA and the regulations issued thereunder with respect to any Pension Plan (excluding those for which the provision for thirty-day notice to the PBGC has been waived by regulation);</w:t>
      </w:r>
    </w:p>
    <w:p>
      <w:pPr>
        <w:jc w:val="both"/>
        <w:ind w:firstLine="8"/>
        <w:spacing w:after="0" w:line="208" w:lineRule="auto"/>
        <w:tabs>
          <w:tab w:leader="none" w:pos="31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any Credit Party, any of its Subsidiaries or any of their respective ERISA Affiliates pursuant to Title IV of ERISA or Chapter 43 of the Internal Revenue Code, other than for PBGC premiums due but not delinquent under Section 4007 of ERISA; (viii) the withdrawal of any Credit Party, any of its Subsidiaries or any of their respective ERISA Affiliates in a complete or partial withdrawal (within the meaning of Sections 4203 and 4205 of ERISA) from any Multiemployer Plan; (ix) notification of any Credit Party,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which could give rise to the imposition on any Credit Party,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 (xii)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(xiii) a Pension Plan is in “at risk” status within the meaning of Code Section 430(i); or (xiv) the imposition of a Lien pursuant to Section 412 or 430(k) of the Internal Revenue Code or pursuant to Section 303 or 4068 of ERISA.</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9.13(a)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20" w:top="1413" w:right="339" w:bottom="1440" w:gutter="0" w:footer="0" w:header="0"/>
        </w:sectPr>
      </w:pPr>
    </w:p>
    <w:bookmarkStart w:id="56" w:name="page57"/>
    <w:bookmarkEnd w:id="56"/>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each of the conditions or events set forth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has the meaning set forth in the Pledge and Security Agreement.</w:t>
      </w:r>
    </w:p>
    <w:p>
      <w:pPr>
        <w:spacing w:after="0" w:line="12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any Subsidiary that is not a wholly-owned Subsidiary of the Initial Borrower or any other Guarantor (including any Designated Restricted Subsidiary), (b) any Unrestricted Subsidiary, (c) any not-for-profit Subsidiaries, (d) any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Foreign Subsidiary, any Domestic Holding Company, or any Domestic Subsidiary that is a direct or indirect Subsidiary of a Foreign Subsidiary or Domestic Holding Company, (e) any Immaterial Subsidiary, (f) any captive insurance entity that is a Subsidiary, (g) any</w:t>
      </w:r>
    </w:p>
    <w:p>
      <w:pPr>
        <w:spacing w:after="0" w:line="211" w:lineRule="auto"/>
        <w:rPr>
          <w:sz w:val="20"/>
          <w:szCs w:val="20"/>
          <w:color w:val="auto"/>
        </w:rPr>
      </w:pPr>
      <w:r>
        <w:rPr>
          <w:rFonts w:ascii="Times New Roman" w:cs="Times New Roman" w:eastAsia="Times New Roman" w:hAnsi="Times New Roman"/>
          <w:sz w:val="20"/>
          <w:szCs w:val="20"/>
          <w:color w:val="auto"/>
        </w:rPr>
        <w:t>Subsidiary that is prohibited by applicable law, rule or regulation or by any Contractual Obligation existing on the Closing Date (or, if later,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date such Subsidiary becomes a Restricted Subsidiary and not entered into in contemplation of such Subsidiary becoming a Guarantor) from guaranteeing the Obligations or which would require the consent, approval, license or authorization of any third party (other than PRTH</w:t>
      </w:r>
    </w:p>
    <w:p>
      <w:pPr>
        <w:spacing w:after="0" w:line="211" w:lineRule="auto"/>
        <w:rPr>
          <w:sz w:val="20"/>
          <w:szCs w:val="20"/>
          <w:color w:val="auto"/>
        </w:rPr>
      </w:pPr>
      <w:r>
        <w:rPr>
          <w:rFonts w:ascii="Times New Roman" w:cs="Times New Roman" w:eastAsia="Times New Roman" w:hAnsi="Times New Roman"/>
          <w:sz w:val="20"/>
          <w:szCs w:val="20"/>
          <w:color w:val="auto"/>
        </w:rPr>
        <w:t>or the Initial Borrower or any of its Restricted Subsidiaries) to provide a Guaranty (unless such consent, approval, license or authorization</w:t>
      </w:r>
    </w:p>
    <w:p>
      <w:pPr>
        <w:spacing w:after="0" w:line="204" w:lineRule="auto"/>
        <w:rPr>
          <w:sz w:val="20"/>
          <w:szCs w:val="20"/>
          <w:color w:val="auto"/>
        </w:rPr>
      </w:pPr>
      <w:r>
        <w:rPr>
          <w:rFonts w:ascii="Times New Roman" w:cs="Times New Roman" w:eastAsia="Times New Roman" w:hAnsi="Times New Roman"/>
          <w:sz w:val="20"/>
          <w:szCs w:val="20"/>
          <w:color w:val="auto"/>
        </w:rPr>
        <w:t>has been received), (h) any Subsidiary where Administrative Agent and the Borrower Representative reasonably agree that the cost of providing such guaranty is excessive in relation to the value afforded thereby, (i) any Subsidiary, the obtaining of a Guaranty with respect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which would result in material adverse tax consequences as reasonably determined by the Borrower Representative, in consultation with Administrative Agent and (j) any Receivables Subsidiary.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Guaranty of such Guarantor of, or the grant by such Guarantor of a security interest pursuant to the Collateral Documents to secure, such Swap Obligation (or any guaranty thereof) is or would otherwise have become illegal or unlawful under the Commodity Exchange Act or any</w:t>
      </w:r>
    </w:p>
    <w:p>
      <w:pPr>
        <w:spacing w:after="0" w:line="222" w:lineRule="auto"/>
        <w:rPr>
          <w:sz w:val="20"/>
          <w:szCs w:val="20"/>
          <w:color w:val="auto"/>
        </w:rPr>
      </w:pPr>
      <w:r>
        <w:rPr>
          <w:rFonts w:ascii="Times New Roman" w:cs="Times New Roman" w:eastAsia="Times New Roman" w:hAnsi="Times New Roman"/>
          <w:sz w:val="19"/>
          <w:szCs w:val="19"/>
          <w:color w:val="auto"/>
        </w:rPr>
        <w:t>rule, regulation or order of the Commodity Futures Trading Commission (or the application or official interpretation of any thereof) by virtue</w:t>
      </w:r>
    </w:p>
    <w:p>
      <w:pPr>
        <w:ind w:right="20"/>
        <w:spacing w:after="0" w:line="204" w:lineRule="auto"/>
        <w:rPr>
          <w:sz w:val="20"/>
          <w:szCs w:val="20"/>
          <w:color w:val="auto"/>
        </w:rPr>
      </w:pPr>
      <w:r>
        <w:rPr>
          <w:rFonts w:ascii="Times New Roman" w:cs="Times New Roman" w:eastAsia="Times New Roman" w:hAnsi="Times New Roman"/>
          <w:sz w:val="20"/>
          <w:szCs w:val="20"/>
          <w:color w:val="auto"/>
        </w:rPr>
        <w:t>of such Guarantor’s failing for any reason to constitute an “eligible contract participant” as defined in the Commodity Exchange Act and the regulations thereunder at the time the Guaranty of such Guarantor or the grant of such security interest would otherwise have become</w:t>
      </w:r>
    </w:p>
    <w:p>
      <w:pPr>
        <w:spacing w:after="0" w:line="211" w:lineRule="auto"/>
        <w:rPr>
          <w:sz w:val="20"/>
          <w:szCs w:val="20"/>
          <w:color w:val="auto"/>
        </w:rPr>
      </w:pPr>
      <w:r>
        <w:rPr>
          <w:rFonts w:ascii="Times New Roman" w:cs="Times New Roman" w:eastAsia="Times New Roman" w:hAnsi="Times New Roman"/>
          <w:sz w:val="20"/>
          <w:szCs w:val="20"/>
          <w:color w:val="auto"/>
        </w:rPr>
        <w:t>effective with respect to such related Swap Obligation but for such Guarantor’s failing to constitute an “eligible contract participant” at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time. If a Swap Obligation arises under a “master agreement” governing more than one (1) swap, such exclusion shall apply only to the portion of such Swap Obligation that is attributable to swaps for which such Guaranty or security interest is or becomes illegal or unlawful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under the Commodity Exchange Act or any rule, regulation or order of the Commodity Futures Trading Commission (or the application or official interpretation of any thereof).</w:t>
      </w:r>
    </w:p>
    <w:p>
      <w:pPr>
        <w:spacing w:after="0" w:line="9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w:t>
      </w:r>
    </w:p>
    <w:p>
      <w:pPr>
        <w:spacing w:after="0" w:line="211" w:lineRule="auto"/>
        <w:rPr>
          <w:sz w:val="20"/>
          <w:szCs w:val="20"/>
          <w:color w:val="auto"/>
        </w:rPr>
      </w:pPr>
      <w:r>
        <w:rPr>
          <w:rFonts w:ascii="Times New Roman" w:cs="Times New Roman" w:eastAsia="Times New Roman" w:hAnsi="Times New Roman"/>
          <w:sz w:val="20"/>
          <w:szCs w:val="20"/>
          <w:color w:val="auto"/>
        </w:rPr>
        <w:t>Other Connection Taxes, (b) in the case of a Lender, U.S. federal withholding Taxes imposed on amounts payable to or for the account of</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Lender with respect to an applicable interest in a Loan or Commitment pursuant to a law in effect on the date on which (i) such Lender acquires such interest in the Loan or Commitment or (ii) such Lender changes its lending office, except in each case to the extent that,</w:t>
      </w:r>
    </w:p>
    <w:p>
      <w:pPr>
        <w:spacing w:after="0" w:line="223" w:lineRule="auto"/>
        <w:rPr>
          <w:sz w:val="20"/>
          <w:szCs w:val="20"/>
          <w:color w:val="auto"/>
        </w:rPr>
      </w:pPr>
      <w:r>
        <w:rPr>
          <w:rFonts w:ascii="Times New Roman" w:cs="Times New Roman" w:eastAsia="Times New Roman" w:hAnsi="Times New Roman"/>
          <w:sz w:val="19"/>
          <w:szCs w:val="19"/>
          <w:color w:val="auto"/>
        </w:rPr>
        <w:t>pursuant to Section 2.19, amounts with respect to such Taxes were payable either to such Lender’s assignor immediately before such Lender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(d) any U.S. federal withholding Taxes imposed under FATCA.</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“Existing Lender” has the meaning set forth in Amendment No. 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20" w:top="1399" w:right="339" w:bottom="1440" w:gutter="0" w:footer="0" w:header="0"/>
        </w:sectPr>
      </w:pPr>
    </w:p>
    <w:bookmarkStart w:id="57" w:name="page58"/>
    <w:bookmarkEnd w:id="57"/>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any letters of credit outstanding under the Existing Credit Agreement on the Closing Date and described in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Existing Term Lender</w:t>
      </w:r>
      <w:r>
        <w:rPr>
          <w:rFonts w:ascii="Times New Roman" w:cs="Times New Roman" w:eastAsia="Times New Roman" w:hAnsi="Times New Roman"/>
          <w:sz w:val="20"/>
          <w:szCs w:val="20"/>
          <w:color w:val="FF0000"/>
          <w:strike w:val="1"/>
        </w:rPr>
        <w:t>” means a “Term Lender” (as defined in the Existing Credit Agreement) that is a party to this Agreement as of the Closing Date in respect of all or a portion of its Existing Term Loans.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Term Loan Tranche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Term Loans</w:t>
      </w:r>
      <w:r>
        <w:rPr>
          <w:rFonts w:ascii="Times New Roman" w:cs="Times New Roman" w:eastAsia="Times New Roman" w:hAnsi="Times New Roman"/>
          <w:sz w:val="20"/>
          <w:szCs w:val="20"/>
          <w:color w:val="auto"/>
        </w:rPr>
        <w:t>” means a “Term Loan” (as defined in the Existing Credit Agreement) held by an Existing Term Lender.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Expiring Credit Commitment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2.04(g)</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Revolving Credit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2.26(c)</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Term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2.26(c)</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means the establishment of an Extension Series by amending a Loan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and the applicable Extension Amendment.</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2.26(d)</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2.26(c)</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means any Term Loan Extension Request or a Revolver Extension Request, as the case may be.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Series</w:t>
      </w:r>
      <w:r>
        <w:rPr>
          <w:rFonts w:ascii="Times New Roman" w:cs="Times New Roman" w:eastAsia="Times New Roman" w:hAnsi="Times New Roman"/>
          <w:sz w:val="20"/>
          <w:szCs w:val="20"/>
          <w:color w:val="auto"/>
        </w:rPr>
        <w:t>” means any Term Loan Extension Series or a Revolver Extension Series, as the case may be.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 given Class of Term Loans or Revolving Commitments, as the context may require.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Group</w:t>
      </w:r>
      <w:r>
        <w:rPr>
          <w:rFonts w:ascii="Times New Roman" w:cs="Times New Roman" w:eastAsia="Times New Roman" w:hAnsi="Times New Roman"/>
          <w:sz w:val="20"/>
          <w:szCs w:val="20"/>
          <w:color w:val="auto"/>
        </w:rPr>
        <w:t>” means, as to any particular Person, (i) such Person’s descendants (whether natural or adopted), (ii) any trust solely for the benefit of such Person and/or such Person’s descendants (whether natural or adopted) and (iii) any partnerships or limited liability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companies where the only partners or members are such Person and/or such Person’s descendants (whether natural or adopted) or a trust solely for the benefit of such Person and/or such Person’s descendants (whether natural or adopted).</w:t>
      </w:r>
    </w:p>
    <w:p>
      <w:pPr>
        <w:spacing w:after="0" w:line="9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Closing Date (or any amended or successor version that is substantively comparable and not materially more onerous to comply with) and any current or future regulations or official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interpretations thereof, any agreements entered into pursuant to Section 1471(b)(1) of the Internal Revenue Code and any intergovernmental agreement, treaty or convention entered into pursuant to the foregoing and applicable fiscal or regulatory legislation, rules or official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guidance implementing the foregoing.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means the United States Foreign Corrupt Practices Act of 1977, as amended.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means for any day, the rate per annum (rounded upwards, if necessary, to the next 1/100 of 1%) equal</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to the weighted average of the rates on overnight Federal funds transactions with member banks of the Federal Reserve System, as published by the Federal Reserve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40"/>
          </w:cols>
          <w:pgMar w:left="320" w:top="139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Bank of New York on the next succeeding Business Day or, if such rate is not so published by for any Business Day, the Federal Funds</w:t>
      </w:r>
    </w:p>
    <w:p>
      <w:pPr>
        <w:spacing w:after="0" w:line="204" w:lineRule="auto"/>
        <w:rPr>
          <w:sz w:val="20"/>
          <w:szCs w:val="20"/>
          <w:color w:val="auto"/>
        </w:rPr>
      </w:pPr>
      <w:r>
        <w:rPr>
          <w:rFonts w:ascii="Times New Roman" w:cs="Times New Roman" w:eastAsia="Times New Roman" w:hAnsi="Times New Roman"/>
          <w:sz w:val="20"/>
          <w:szCs w:val="20"/>
          <w:color w:val="auto"/>
        </w:rPr>
        <w:t>Effective Rate for such days shall be the average (rounded upwards, if necessary to the next 1/100 of 1%) of the quotations for such day on such transactions received by the Administrative Agent from three Federal funds brokers of recognized standing selected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For purposes of this Agreement the Federal Funds Effective Rate shall not be less than zero percent (0%).</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w:t>
      </w:r>
    </w:p>
    <w:p>
      <w:pPr>
        <w:spacing w:after="0" w:line="12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fee letter, dated as of April 9, 2024, between the Initial Borrower, the Administrative Agent and Truist Securities, Inc.</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means the covenant set forth in </w:t>
      </w:r>
      <w:r>
        <w:rPr>
          <w:rFonts w:ascii="Times New Roman" w:cs="Times New Roman" w:eastAsia="Times New Roman" w:hAnsi="Times New Roman"/>
          <w:sz w:val="20"/>
          <w:szCs w:val="20"/>
          <w:u w:val="single" w:color="auto"/>
          <w:color w:val="auto"/>
        </w:rPr>
        <w:t>Section 6.08(a)(i)</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 Certification</w:t>
      </w:r>
      <w:r>
        <w:rPr>
          <w:rFonts w:ascii="Times New Roman" w:cs="Times New Roman" w:eastAsia="Times New Roman" w:hAnsi="Times New Roman"/>
          <w:sz w:val="20"/>
          <w:szCs w:val="20"/>
          <w:color w:val="auto"/>
        </w:rPr>
        <w:t>” means, with respect to the financial statements for which such certification is required, the certification of the chief financial officer of the Initial Borrower that such financial statements fairly present, in all material respects,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financial condition of the Initial Borrower and its Subsidiaries as at the dates indicated and the results of their operations and their cash flows for the periods indicated, subject to changes resulting from audit and normal year-end adjustments and, with respect to unaudited financial</w:t>
      </w:r>
    </w:p>
    <w:p>
      <w:pPr>
        <w:spacing w:after="0"/>
        <w:rPr>
          <w:sz w:val="20"/>
          <w:szCs w:val="20"/>
          <w:color w:val="auto"/>
        </w:rPr>
      </w:pPr>
      <w:r>
        <w:rPr>
          <w:rFonts w:ascii="Times New Roman" w:cs="Times New Roman" w:eastAsia="Times New Roman" w:hAnsi="Times New Roman"/>
          <w:sz w:val="20"/>
          <w:szCs w:val="20"/>
          <w:color w:val="auto"/>
        </w:rPr>
        <w:t>statements, the absence of footnotes.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5.01(i)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FIRREA</w:t>
      </w:r>
      <w:r>
        <w:rPr>
          <w:rFonts w:ascii="Times New Roman" w:cs="Times New Roman" w:eastAsia="Times New Roman" w:hAnsi="Times New Roman"/>
          <w:sz w:val="20"/>
          <w:szCs w:val="20"/>
          <w:color w:val="auto"/>
        </w:rPr>
        <w:t>” means the Financial Institutions Reform, Recovery and Enforcement Act of 1989.</w:t>
      </w:r>
    </w:p>
    <w:p>
      <w:pPr>
        <w:spacing w:after="0" w:line="24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Priority</w:t>
      </w:r>
      <w:r>
        <w:rPr>
          <w:rFonts w:ascii="Times New Roman" w:cs="Times New Roman" w:eastAsia="Times New Roman" w:hAnsi="Times New Roman"/>
          <w:sz w:val="19"/>
          <w:szCs w:val="19"/>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w:t>
      </w:r>
    </w:p>
    <w:p>
      <w:pPr>
        <w:spacing w:after="0"/>
        <w:rPr>
          <w:sz w:val="20"/>
          <w:szCs w:val="20"/>
          <w:color w:val="auto"/>
        </w:rPr>
      </w:pPr>
      <w:r>
        <w:rPr>
          <w:rFonts w:ascii="Times New Roman" w:cs="Times New Roman" w:eastAsia="Times New Roman" w:hAnsi="Times New Roman"/>
          <w:sz w:val="20"/>
          <w:szCs w:val="20"/>
          <w:color w:val="auto"/>
        </w:rPr>
        <w:t>than any Permitted Lien (excluding any Permitted Lien that is expressly subordinated to such Lien).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Initial Borrower and its Restricted Subsidiaries ending on December 31 of each calendar</w:t>
      </w:r>
    </w:p>
    <w:p>
      <w:pPr>
        <w:spacing w:after="0"/>
        <w:rPr>
          <w:sz w:val="20"/>
          <w:szCs w:val="20"/>
          <w:color w:val="auto"/>
        </w:rPr>
      </w:pPr>
      <w:r>
        <w:rPr>
          <w:rFonts w:ascii="Times New Roman" w:cs="Times New Roman" w:eastAsia="Times New Roman" w:hAnsi="Times New Roman"/>
          <w:sz w:val="20"/>
          <w:szCs w:val="20"/>
          <w:color w:val="auto"/>
        </w:rPr>
        <w:t>year.</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Hazard Property</w:t>
      </w:r>
      <w:r>
        <w:rPr>
          <w:rFonts w:ascii="Times New Roman" w:cs="Times New Roman" w:eastAsia="Times New Roman" w:hAnsi="Times New Roman"/>
          <w:sz w:val="20"/>
          <w:szCs w:val="20"/>
          <w:color w:val="auto"/>
        </w:rPr>
        <w:t>” means any Real Estate Asset subject to a Mortgage in favor of Collateral Agent, for the benefit of the Secured Parties, which contains improvements located either wholly or partially in an area designated by the Federal Emergency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Agency as having special flood or mud slide hazards.</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Flood Insurance Laws</w:t>
      </w:r>
      <w:r>
        <w:rPr>
          <w:rFonts w:ascii="Times New Roman" w:cs="Times New Roman" w:eastAsia="Times New Roman" w:hAnsi="Times New Roman"/>
          <w:sz w:val="19"/>
          <w:szCs w:val="19"/>
          <w:color w:val="auto"/>
        </w:rPr>
        <w:t>” means, collectively, (i) the National Flood Insurance Act of 1968, (ii) the Flood Disaster Protection Act of 1973, (iii) the National Flood Insurance Reform Act of 1994, (iv) the Flood Insurance Reform Act of 2004 and (v) the Biggert-Waters Flood</w:t>
      </w:r>
    </w:p>
    <w:p>
      <w:pPr>
        <w:spacing w:after="0"/>
        <w:rPr>
          <w:sz w:val="20"/>
          <w:szCs w:val="20"/>
          <w:color w:val="auto"/>
        </w:rPr>
      </w:pPr>
      <w:r>
        <w:rPr>
          <w:rFonts w:ascii="Times New Roman" w:cs="Times New Roman" w:eastAsia="Times New Roman" w:hAnsi="Times New Roman"/>
          <w:sz w:val="20"/>
          <w:szCs w:val="20"/>
          <w:color w:val="auto"/>
        </w:rPr>
        <w:t>Insurance Reform Act of 2012, in each case as now or hereafter in effect or any successor statute thereto.</w:t>
      </w:r>
    </w:p>
    <w:p>
      <w:pPr>
        <w:spacing w:after="0" w:line="11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(i) with respect to Initial Term Loans,</w:t>
      </w:r>
      <w:r>
        <w:rPr>
          <w:rFonts w:ascii="Times New Roman" w:cs="Times New Roman" w:eastAsia="Times New Roman" w:hAnsi="Times New Roman"/>
          <w:sz w:val="20"/>
          <w:szCs w:val="20"/>
          <w:color w:val="auto"/>
        </w:rPr>
        <w:t xml:space="preserve"> a rate of interest equal to 0.50% per annum </w:t>
      </w:r>
      <w:r>
        <w:rPr>
          <w:rFonts w:ascii="Times New Roman" w:cs="Times New Roman" w:eastAsia="Times New Roman" w:hAnsi="Times New Roman"/>
          <w:sz w:val="20"/>
          <w:szCs w:val="20"/>
          <w:color w:val="0000FF"/>
        </w:rPr>
        <w:t>and (ii) with respect to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Loans, a rate of interest equal to 0.00% per annum</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-148590</wp:posOffset>
            </wp:positionV>
            <wp:extent cx="17665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8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Official</w:t>
      </w:r>
      <w:r>
        <w:rPr>
          <w:rFonts w:ascii="Times New Roman" w:cs="Times New Roman" w:eastAsia="Times New Roman" w:hAnsi="Times New Roman"/>
          <w:sz w:val="20"/>
          <w:szCs w:val="20"/>
          <w:color w:val="auto"/>
        </w:rPr>
        <w:t>” means a Person acting in an official capacity for or on behalf of any Governmental Authority (other than a Governmental Authority of the United States, any state thereof or the District of Columbia).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Fronting Exposure</w:t>
      </w:r>
      <w:r>
        <w:rPr>
          <w:rFonts w:ascii="Times New Roman" w:cs="Times New Roman" w:eastAsia="Times New Roman" w:hAnsi="Times New Roman"/>
          <w:sz w:val="19"/>
          <w:szCs w:val="19"/>
          <w:color w:val="auto"/>
        </w:rPr>
        <w:t>” means, at any time there is a Defaulting Lender, (a) with respect to the Issuing Banks, such Defaulting Lender’s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 Rata Share or other applicable share provided under this Agreement of the Outstanding Amount of L/C Obligations other than L/C Obligations as to which such Defaulting Lender’s participation obligation has been reallocated to other Lenders or Cash Collateralized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accordance with the terms hereof, and (b) with respect to the Swing Line Lender, such Defaulting Lender’s Pro Rata Share or other applicable share provided under this Agreement of Swing Line Loans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20" w:top="139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other than Swing Line Loans as to which such Defaulting Lender’s participation obligation has been reallocated to other Lenders or Cash Collateralized in accordance with the terms hereof.</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engaged in making, purchasing, holding or otherwise investing in commercial loans and similar extensions of credit in the ordinary course.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Guarantors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means a funding notice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subject to the limitations on the application thereof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United States generally accepted accounting principles in effect as of the date of determination thereof.</w:t>
      </w:r>
    </w:p>
    <w:p>
      <w:pPr>
        <w:spacing w:after="0" w:line="9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or other government, governmental department, commission, board, bureau, court, agency or instrumentality or political subdivision thereof or any entity or officer exercising executive,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legislative, judicial, regulatory or administrative functions of or pertaining to any government (including, NAIC and any supra-national bodies such as the European Union or the European Central Bank), any court or any central bank, in each case, whether associated with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the United States, the United States, or a foreign entity or government.</w:t>
      </w:r>
    </w:p>
    <w:p>
      <w:pPr>
        <w:spacing w:after="0" w:line="11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plan, directive, consent order or consent decree of or from any Governmental Authority.</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has the meaning set forth in the Pledge and Security Agreement.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without duplication, any obligation, contingent or otherwise of such Person guaranteeing or having the economic effect of guaranteeing any Indebtedness by another Person (the “primary obligor”) in any manner, whether directly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w:t>
      </w:r>
    </w:p>
    <w:p>
      <w:pPr>
        <w:spacing w:after="0" w:line="222" w:lineRule="auto"/>
        <w:rPr>
          <w:sz w:val="20"/>
          <w:szCs w:val="20"/>
          <w:color w:val="auto"/>
        </w:rPr>
      </w:pPr>
      <w:r>
        <w:rPr>
          <w:rFonts w:ascii="Times New Roman" w:cs="Times New Roman" w:eastAsia="Times New Roman" w:hAnsi="Times New Roman"/>
          <w:sz w:val="19"/>
          <w:szCs w:val="19"/>
          <w:color w:val="auto"/>
        </w:rPr>
        <w:t>such Indebtedness of the payment or performance or such Indebtedness, (iii) to maintain working capital, equity capital or any other financial</w:t>
      </w:r>
    </w:p>
    <w:p>
      <w:pPr>
        <w:spacing w:after="0" w:line="204" w:lineRule="auto"/>
        <w:rPr>
          <w:sz w:val="20"/>
          <w:szCs w:val="20"/>
          <w:color w:val="auto"/>
        </w:rPr>
      </w:pPr>
      <w:r>
        <w:rPr>
          <w:rFonts w:ascii="Times New Roman" w:cs="Times New Roman" w:eastAsia="Times New Roman" w:hAnsi="Times New Roman"/>
          <w:sz w:val="20"/>
          <w:szCs w:val="20"/>
          <w:color w:val="auto"/>
        </w:rPr>
        <w:t>statement condition or liquidity or level of income or cash flow of the primary obligor so as to enable the primary obligor to pay such Indebtedness or (iv) entered into for the purpose of assuring in any other manner the obligee in respect of such Indebtedness of the payment</w:t>
      </w:r>
    </w:p>
    <w:p>
      <w:pPr>
        <w:spacing w:after="0" w:line="211" w:lineRule="auto"/>
        <w:rPr>
          <w:sz w:val="20"/>
          <w:szCs w:val="20"/>
          <w:color w:val="auto"/>
        </w:rPr>
      </w:pPr>
      <w:r>
        <w:rPr>
          <w:rFonts w:ascii="Times New Roman" w:cs="Times New Roman" w:eastAsia="Times New Roman" w:hAnsi="Times New Roman"/>
          <w:sz w:val="20"/>
          <w:szCs w:val="20"/>
          <w:color w:val="auto"/>
        </w:rPr>
        <w:t>or performance thereof or to protect such obligee against loss in respect thereof (in whole or in part). The amount of any Guarantee shall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deemed to be an amount equal to the stated or determinable amount of the related primary obligation, or portion thereof, in respect of which such Guarantee is made or, if not stated or determinable, the maximum reasonable anticipated liability in respect thereof as determined by the</w:t>
      </w:r>
    </w:p>
    <w:p>
      <w:pPr>
        <w:spacing w:after="0"/>
        <w:rPr>
          <w:sz w:val="20"/>
          <w:szCs w:val="20"/>
          <w:color w:val="auto"/>
        </w:rPr>
      </w:pPr>
      <w:r>
        <w:rPr>
          <w:rFonts w:ascii="Times New Roman" w:cs="Times New Roman" w:eastAsia="Times New Roman" w:hAnsi="Times New Roman"/>
          <w:sz w:val="20"/>
          <w:szCs w:val="20"/>
          <w:color w:val="auto"/>
        </w:rPr>
        <w:t>guaranteeing Person in good faith. The term “Guarantee” as a verb has a corresponding meaning.</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xml:space="preserve">” means each of the Initial Borrower’s’ Restricted Subsidiaries (other than a Borrower) that executes a counterpart to this Agreement on the Closing Date or becomes a Guarantor pursuant to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and each Borrower (other than with respect to its direct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Obligations as a primary obligor (as opposed to guarantor) under the Credit Documents, any Secured Interest Rate Agreement and/or any Cash Management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of each Guarantor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any chemical, material or substance, exposure to which is prohibited, limited or regulated by any Governmental Authority or Environmental Law or which could result in any liability under any Environmental Law.</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 Activity</w:t>
      </w:r>
      <w:r>
        <w:rPr>
          <w:rFonts w:ascii="Times New Roman" w:cs="Times New Roman" w:eastAsia="Times New Roman" w:hAnsi="Times New Roman"/>
          <w:sz w:val="20"/>
          <w:szCs w:val="20"/>
          <w:color w:val="auto"/>
        </w:rPr>
        <w:t>” means any past or current event or occurrence involving the use, manufacture, possession, storage,</w:t>
      </w:r>
    </w:p>
    <w:p>
      <w:pPr>
        <w:ind w:right="20"/>
        <w:spacing w:after="0" w:line="221" w:lineRule="auto"/>
        <w:rPr>
          <w:sz w:val="20"/>
          <w:szCs w:val="20"/>
          <w:color w:val="auto"/>
        </w:rPr>
      </w:pPr>
      <w:r>
        <w:rPr>
          <w:rFonts w:ascii="Times New Roman" w:cs="Times New Roman" w:eastAsia="Times New Roman" w:hAnsi="Times New Roman"/>
          <w:sz w:val="20"/>
          <w:szCs w:val="20"/>
          <w:color w:val="auto"/>
        </w:rPr>
        <w:t>Release, threatened Release, discharge, generation, import, export, transportation, processing, treatment, abatement, removal, remediation, disposal or handling of any Hazardous Materials, and any corrective action or response action with respect to any of the foregoing.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1399"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means the maximum lawful interest rate, if any, that at any time or from time to time may be contracted for,</w:t>
      </w:r>
    </w:p>
    <w:p>
      <w:pPr>
        <w:jc w:val="both"/>
        <w:spacing w:after="0" w:line="204" w:lineRule="auto"/>
        <w:rPr>
          <w:sz w:val="20"/>
          <w:szCs w:val="20"/>
          <w:color w:val="auto"/>
        </w:rPr>
      </w:pPr>
      <w:r>
        <w:rPr>
          <w:rFonts w:ascii="Times New Roman" w:cs="Times New Roman" w:eastAsia="Times New Roman" w:hAnsi="Times New Roman"/>
          <w:sz w:val="20"/>
          <w:szCs w:val="20"/>
          <w:color w:val="auto"/>
        </w:rPr>
        <w:t>charged, or received under the laws applicable to any Lender which are presently in effect or, to the extent allowed by law, under such applicable laws which may hereafter be in effect and which allow a higher maximum non-usurious interest rate than applicable laws now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w:t>
      </w:r>
    </w:p>
    <w:p>
      <w:pPr>
        <w:spacing w:after="0" w:line="11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Historical Financial Statements</w:t>
      </w:r>
      <w:r>
        <w:rPr>
          <w:rFonts w:ascii="Times New Roman" w:cs="Times New Roman" w:eastAsia="Times New Roman" w:hAnsi="Times New Roman"/>
          <w:sz w:val="19"/>
          <w:szCs w:val="19"/>
          <w:color w:val="auto"/>
        </w:rPr>
        <w:t>” means, as of the Closing Date, the audited financial statements of PRTH, Initial Borrower and its Subsidiaries for the Fiscal Years ended December 31, 2023 and December 31, 2022, consisting of balance sheets and the related consolidated</w:t>
      </w:r>
    </w:p>
    <w:p>
      <w:pPr>
        <w:spacing w:after="0"/>
        <w:rPr>
          <w:sz w:val="20"/>
          <w:szCs w:val="20"/>
          <w:color w:val="auto"/>
        </w:rPr>
      </w:pPr>
      <w:r>
        <w:rPr>
          <w:rFonts w:ascii="Times New Roman" w:cs="Times New Roman" w:eastAsia="Times New Roman" w:hAnsi="Times New Roman"/>
          <w:sz w:val="20"/>
          <w:szCs w:val="20"/>
          <w:color w:val="auto"/>
        </w:rPr>
        <w:t>statements of income, stockholders’ equity and Cash flows for such Fiscal Years.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any Restricted Subsidiary of the Initial Borrower (other than a Borrower) that the Borrower Representative designates in writing to Administrative Agent as an “Immaterial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of the most recent financial statements required to be delivered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neither the Consolidated Total Assets nor the consolidated total revenues of all Immaterial Subsidiaries shall exceed 10.0% of Consolidated Total Assets or 10.0% of consolidated total revenue, as the case may be, in each case, of the Initial Borrower and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 Representative may designate and re-designate a Subsidiary as an Immaterial Subsidiary at any time, subject to the limitations and requirements set forth in this definition. If the Consolidated Total Assets or consolidated total revenues of all Restricted Subsidiaries so designated by Borrower Representative as “Immaterial Subsidiaries” shall exceed the limits set forth in the preceding sentence as of the date of the most recent financial statements required to be delivered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then within fifteen (15) Business Days (or such later date as agreed by the Administrative Agent in its reasonable discretion) the Borrower Representative shall designate one or more Restricted Subsidiaries that are at such time designated as Immaterial Subsidiaries to no longer be Immaterial Subsidiaries, and such Restricted Subsidiaries shall execute a Counterpart Agreement and shall be subject to the requirements set forth in </w:t>
      </w:r>
      <w:r>
        <w:rPr>
          <w:rFonts w:ascii="Times New Roman" w:cs="Times New Roman" w:eastAsia="Times New Roman" w:hAnsi="Times New Roman"/>
          <w:sz w:val="20"/>
          <w:szCs w:val="20"/>
          <w:u w:val="single" w:color="auto"/>
          <w:color w:val="auto"/>
        </w:rPr>
        <w:t>Sections 5.10, 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until the threshold amounts in the preceding sentence are no longer exceeded (as reasonably determined by the Borrower Representative), with any Immaterial Subsidiaries at such time that are below such threshold amounts still being designated as (and remaining as) Immaterial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Increased-Cost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2.24(f)</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2.24(h)</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Incurrence-Based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2.24(c)</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 Request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Commitments</w:t>
      </w:r>
      <w:r>
        <w:rPr>
          <w:rFonts w:ascii="Times New Roman" w:cs="Times New Roman" w:eastAsia="Times New Roman" w:hAnsi="Times New Roman"/>
          <w:sz w:val="20"/>
          <w:szCs w:val="20"/>
          <w:color w:val="auto"/>
        </w:rPr>
        <w:t>” has the meaning set forth in Section 2.24(a).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20" w:top="139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2.24(c)</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as applied to any Person at a particular time, without duplication, all of the following, whether or not included as indebtedness or liabilities in accordance with GAAP: (i) all indebtedness for borrowed money and all obligations of such Person evidenced</w:t>
      </w:r>
    </w:p>
    <w:p>
      <w:pPr>
        <w:spacing w:after="0" w:line="222" w:lineRule="auto"/>
        <w:rPr>
          <w:sz w:val="20"/>
          <w:szCs w:val="20"/>
          <w:color w:val="auto"/>
        </w:rPr>
      </w:pPr>
      <w:r>
        <w:rPr>
          <w:rFonts w:ascii="Times New Roman" w:cs="Times New Roman" w:eastAsia="Times New Roman" w:hAnsi="Times New Roman"/>
          <w:sz w:val="19"/>
          <w:szCs w:val="19"/>
          <w:color w:val="auto"/>
        </w:rPr>
        <w:t>by bonds, debentures, notes, loan agreements or other similar instruments; (ii) that portion of obligations with respect to Capital Leases that 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properly classified as a liability on a balance sheet in conformity with GAAP; (iii) notes payable and drafts accepted representing extensions of credit whether or not representing obligations for borrowed money; (iv) any obligation owed for all or any part of the deferred purchase</w:t>
      </w:r>
    </w:p>
    <w:p>
      <w:pPr>
        <w:spacing w:after="0" w:line="211" w:lineRule="auto"/>
        <w:rPr>
          <w:sz w:val="20"/>
          <w:szCs w:val="20"/>
          <w:color w:val="auto"/>
        </w:rPr>
      </w:pPr>
      <w:r>
        <w:rPr>
          <w:rFonts w:ascii="Times New Roman" w:cs="Times New Roman" w:eastAsia="Times New Roman" w:hAnsi="Times New Roman"/>
          <w:sz w:val="20"/>
          <w:szCs w:val="20"/>
          <w:color w:val="auto"/>
        </w:rPr>
        <w:t>price of property or services (excluding any such obligations incurred under ERISA and any trade accounts payable incurred in the ordinary</w:t>
      </w:r>
    </w:p>
    <w:p>
      <w:pPr>
        <w:spacing w:after="0" w:line="204" w:lineRule="auto"/>
        <w:rPr>
          <w:sz w:val="20"/>
          <w:szCs w:val="20"/>
          <w:color w:val="auto"/>
        </w:rPr>
      </w:pPr>
      <w:r>
        <w:rPr>
          <w:rFonts w:ascii="Times New Roman" w:cs="Times New Roman" w:eastAsia="Times New Roman" w:hAnsi="Times New Roman"/>
          <w:sz w:val="20"/>
          <w:szCs w:val="20"/>
          <w:color w:val="auto"/>
        </w:rPr>
        <w:t>course of business), which purchase price is (a) due more than six (6) months from the date of incurrence of the obligation in respect thereof or (b) evidenced by a note or similar written instrument; (v) all Indebtedness secured by any Lien on any property or asset owned, held or</w:t>
      </w:r>
    </w:p>
    <w:p>
      <w:pPr>
        <w:spacing w:after="0" w:line="211" w:lineRule="auto"/>
        <w:rPr>
          <w:sz w:val="20"/>
          <w:szCs w:val="20"/>
          <w:color w:val="auto"/>
        </w:rPr>
      </w:pPr>
      <w:r>
        <w:rPr>
          <w:rFonts w:ascii="Times New Roman" w:cs="Times New Roman" w:eastAsia="Times New Roman" w:hAnsi="Times New Roman"/>
          <w:sz w:val="20"/>
          <w:szCs w:val="20"/>
          <w:color w:val="auto"/>
        </w:rPr>
        <w:t>being purchased by such Person (including Indebtedness arising under conditional sales or other title retention agreements) regardless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whether the Indebtedness secured thereby shall have been assumed by that Person or is nonrecourse to the credit of that Person; (vi) the maximum amount of all direct or contingent obligations of such Person arising under letters of credit issued (including standby and</w:t>
      </w:r>
    </w:p>
    <w:p>
      <w:pPr>
        <w:spacing w:after="0" w:line="211" w:lineRule="auto"/>
        <w:rPr>
          <w:sz w:val="20"/>
          <w:szCs w:val="20"/>
          <w:color w:val="auto"/>
        </w:rPr>
      </w:pPr>
      <w:r>
        <w:rPr>
          <w:rFonts w:ascii="Times New Roman" w:cs="Times New Roman" w:eastAsia="Times New Roman" w:hAnsi="Times New Roman"/>
          <w:sz w:val="20"/>
          <w:szCs w:val="20"/>
          <w:color w:val="auto"/>
        </w:rPr>
        <w:t>commercial), bankers’ acceptances, bank guaranties, surety bonds and similar instruments for the account of that Person or as to which that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Person is otherwise liable for reimbursement of drawings; (vii) any Guarantee by such Person of the Indebtedness of another Person; (viii) all obligations of such Person in respect of any exchange traded or over the counter derivative transaction, including any Interest Rate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Agreement, whether entered into for hedging or speculative purposes and (ix) all obligations of such Person in respect of Disqualified Capital Stock. For purposes of this definition, (A) the amount of any Indebtedness described in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xml:space="preserve"> above for which recourse is limited to</w:t>
      </w:r>
    </w:p>
    <w:p>
      <w:pPr>
        <w:spacing w:after="0" w:line="211" w:lineRule="auto"/>
        <w:rPr>
          <w:sz w:val="20"/>
          <w:szCs w:val="20"/>
          <w:color w:val="auto"/>
        </w:rPr>
      </w:pPr>
      <w:r>
        <w:rPr>
          <w:rFonts w:ascii="Times New Roman" w:cs="Times New Roman" w:eastAsia="Times New Roman" w:hAnsi="Times New Roman"/>
          <w:sz w:val="20"/>
          <w:szCs w:val="20"/>
          <w:color w:val="auto"/>
        </w:rPr>
        <w:t>certain property of such Person shall be the lesser of the amount of the obligation and the fair market value of the property securing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obligation, (B) the principal amount of the Indebtedness under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above at any time shall be equal to the Swap Termination Value and (C) the amount of any Indebtedness issued at a discount to the initial principal amount shall be calculated based on the initial stated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amount thereof without giving effect to any such discount.</w:t>
      </w:r>
    </w:p>
    <w:p>
      <w:pPr>
        <w:spacing w:after="0" w:line="11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Borrower</w:t>
      </w:r>
      <w:r>
        <w:rPr>
          <w:rFonts w:ascii="Times New Roman" w:cs="Times New Roman" w:eastAsia="Times New Roman" w:hAnsi="Times New Roman"/>
          <w:sz w:val="20"/>
          <w:szCs w:val="20"/>
          <w:color w:val="auto"/>
        </w:rPr>
        <w:t>” has the meaning set forth in the preamble hereto.</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Commitment</w:t>
      </w:r>
      <w:r>
        <w:rPr>
          <w:rFonts w:ascii="Times New Roman" w:cs="Times New Roman" w:eastAsia="Times New Roman" w:hAnsi="Times New Roman"/>
          <w:sz w:val="20"/>
          <w:szCs w:val="20"/>
          <w:color w:val="auto"/>
        </w:rPr>
        <w:t>” means, as to each Revolving Credit Lender, its Revolving Commitment set forth opposite</w:t>
      </w:r>
    </w:p>
    <w:p>
      <w:pPr>
        <w:spacing w:after="0" w:line="204" w:lineRule="auto"/>
        <w:rPr>
          <w:sz w:val="20"/>
          <w:szCs w:val="20"/>
          <w:color w:val="auto"/>
        </w:rPr>
      </w:pPr>
      <w:r>
        <w:rPr>
          <w:rFonts w:ascii="Times New Roman" w:cs="Times New Roman" w:eastAsia="Times New Roman" w:hAnsi="Times New Roman"/>
          <w:sz w:val="20"/>
          <w:szCs w:val="20"/>
          <w:color w:val="auto"/>
        </w:rPr>
        <w:t>such Revolving Credit Lender’s name in Appendix A, as may be (i) amended to reflect each Assignment Agreement, (ii) reduced pursuant to this Agreement and (iii) increased from time to time pursuant to a Revolving Commitment Increase. The aggregate amount of Initial</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Revolving Credit Commitments on the Closing Date </w:t>
      </w:r>
      <w:r>
        <w:rPr>
          <w:rFonts w:ascii="Times New Roman" w:cs="Times New Roman" w:eastAsia="Times New Roman" w:hAnsi="Times New Roman"/>
          <w:sz w:val="20"/>
          <w:szCs w:val="20"/>
          <w:color w:val="FF0000"/>
          <w:strike w:val="1"/>
        </w:rPr>
        <w:t>is</w:t>
      </w:r>
      <w:r>
        <w:rPr>
          <w:rFonts w:ascii="Times New Roman" w:cs="Times New Roman" w:eastAsia="Times New Roman" w:hAnsi="Times New Roman"/>
          <w:sz w:val="20"/>
          <w:szCs w:val="20"/>
          <w:u w:val="single" w:color="auto"/>
          <w:color w:val="0000FF"/>
        </w:rPr>
        <w:t>was</w:t>
      </w:r>
      <w:r>
        <w:rPr>
          <w:rFonts w:ascii="Times New Roman" w:cs="Times New Roman" w:eastAsia="Times New Roman" w:hAnsi="Times New Roman"/>
          <w:sz w:val="20"/>
          <w:szCs w:val="20"/>
          <w:color w:val="auto"/>
        </w:rPr>
        <w:t xml:space="preserve"> $70,000,000. </w:t>
      </w:r>
      <w:r>
        <w:rPr>
          <w:rFonts w:ascii="Times New Roman" w:cs="Times New Roman" w:eastAsia="Times New Roman" w:hAnsi="Times New Roman"/>
          <w:sz w:val="20"/>
          <w:szCs w:val="20"/>
          <w:u w:val="single" w:color="auto"/>
          <w:color w:val="0000FF"/>
        </w:rPr>
        <w:t>The aggregate amount of Initial Revolving Credit Commitments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of the Amendment No. 2 Effective Date is $100,000,000.</w:t>
      </w:r>
    </w:p>
    <w:p>
      <w:pPr>
        <w:spacing w:after="0" w:line="9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Term Loans</w:t>
      </w:r>
      <w:r>
        <w:rPr>
          <w:rFonts w:ascii="Times New Roman" w:cs="Times New Roman" w:eastAsia="Times New Roman" w:hAnsi="Times New Roman"/>
          <w:sz w:val="19"/>
          <w:szCs w:val="19"/>
          <w:color w:val="auto"/>
        </w:rPr>
        <w:t xml:space="preserve">” shall mean </w:t>
      </w:r>
      <w:r>
        <w:rPr>
          <w:rFonts w:ascii="Times New Roman" w:cs="Times New Roman" w:eastAsia="Times New Roman" w:hAnsi="Times New Roman"/>
          <w:sz w:val="19"/>
          <w:szCs w:val="19"/>
          <w:color w:val="FF0000"/>
          <w:strike w:val="1"/>
        </w:rPr>
        <w:t>(a) an extension of term loans made by the</w:t>
      </w:r>
      <w:r>
        <w:rPr>
          <w:rFonts w:ascii="Times New Roman" w:cs="Times New Roman" w:eastAsia="Times New Roman" w:hAnsi="Times New Roman"/>
          <w:sz w:val="19"/>
          <w:szCs w:val="19"/>
          <w:u w:val="single" w:color="auto"/>
          <w:color w:val="0000FF"/>
        </w:rPr>
        <w:t>the 2025-1 Refinancing Term Loans made by the 2025-1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Refinancing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Term Lenders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to the Borrowers pursuant to Section 2.01(a) on the Closing Date and (b) on and after</w:t>
      </w:r>
      <w:r>
        <w:rPr>
          <w:rFonts w:ascii="Times New Roman" w:cs="Times New Roman" w:eastAsia="Times New Roman" w:hAnsi="Times New Roman"/>
          <w:sz w:val="19"/>
          <w:szCs w:val="19"/>
          <w:u w:val="single" w:color="auto"/>
          <w:color w:val="0000FF"/>
        </w:rPr>
        <w:t>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Amendment No.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u w:val="single" w:color="auto"/>
          <w:color w:val="0000FF"/>
        </w:rPr>
        <w:t>2</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Effective Date</w:t>
      </w:r>
      <w:r>
        <w:rPr>
          <w:rFonts w:ascii="Times New Roman" w:cs="Times New Roman" w:eastAsia="Times New Roman" w:hAnsi="Times New Roman"/>
          <w:sz w:val="20"/>
          <w:szCs w:val="20"/>
          <w:color w:val="FF0000"/>
          <w:strike w:val="1"/>
        </w:rPr>
        <w:t>, the term loans referenced in the preceding clause (a) and the 2024-1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the 2025-1</w:t>
      </w:r>
      <w:r>
        <w:rPr>
          <w:rFonts w:ascii="Times New Roman" w:cs="Times New Roman" w:eastAsia="Times New Roman" w:hAnsi="Times New Roman"/>
          <w:sz w:val="20"/>
          <w:szCs w:val="20"/>
          <w:color w:val="auto"/>
        </w:rPr>
        <w:t xml:space="preserve"> Incremental Term Loans made by the </w:t>
      </w:r>
      <w:r>
        <w:rPr>
          <w:rFonts w:ascii="Times New Roman" w:cs="Times New Roman" w:eastAsia="Times New Roman" w:hAnsi="Times New Roman"/>
          <w:sz w:val="20"/>
          <w:szCs w:val="20"/>
          <w:color w:val="FF0000"/>
          <w:strike w:val="1"/>
        </w:rPr>
        <w:t>2024-1</w:t>
      </w:r>
      <w:r>
        <w:rPr>
          <w:rFonts w:ascii="Times New Roman" w:cs="Times New Roman" w:eastAsia="Times New Roman" w:hAnsi="Times New Roman"/>
          <w:sz w:val="20"/>
          <w:szCs w:val="20"/>
          <w:u w:val="single" w:color="auto"/>
          <w:color w:val="0000FF"/>
        </w:rPr>
        <w:t>2025-1</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Incremental Term</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Lenders to the Borrowers</w:t>
      </w:r>
      <w:r>
        <w:rPr>
          <w:rFonts w:ascii="Times New Roman" w:cs="Times New Roman" w:eastAsia="Times New Roman" w:hAnsi="Times New Roman"/>
          <w:sz w:val="20"/>
          <w:szCs w:val="20"/>
          <w:u w:val="single" w:color="auto"/>
          <w:color w:val="0000FF"/>
        </w:rPr>
        <w:t>Lender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on the Amendment No.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Effective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1399"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Maturity Basket</w:t>
      </w:r>
      <w:r>
        <w:rPr>
          <w:rFonts w:ascii="Times New Roman" w:cs="Times New Roman" w:eastAsia="Times New Roman" w:hAnsi="Times New Roman"/>
          <w:sz w:val="20"/>
          <w:szCs w:val="20"/>
          <w:color w:val="auto"/>
        </w:rPr>
        <w:t>” means, with respect to Indebtedness or Disqualified Capital Stock consisting of, at the Borrowers’ option,</w:t>
      </w:r>
    </w:p>
    <w:p>
      <w:pPr>
        <w:spacing w:after="0" w:line="204" w:lineRule="auto"/>
        <w:rPr>
          <w:sz w:val="20"/>
          <w:szCs w:val="20"/>
          <w:color w:val="auto"/>
        </w:rPr>
      </w:pPr>
      <w:r>
        <w:rPr>
          <w:rFonts w:ascii="Times New Roman" w:cs="Times New Roman" w:eastAsia="Times New Roman" w:hAnsi="Times New Roman"/>
          <w:sz w:val="20"/>
          <w:szCs w:val="20"/>
          <w:color w:val="auto"/>
        </w:rPr>
        <w:t>any combination of Incremental Term Loans, Incremental Equivalent Debt, Credit Agreement Refinancing Indebtedness, Permitted Ratio Debt and/or any Permitted Refinancing (or successive Permitted Refinancing), an aggregate principal amount and/or liquidation preference</w:t>
      </w:r>
    </w:p>
    <w:p>
      <w:pPr>
        <w:spacing w:after="0" w:line="211" w:lineRule="auto"/>
        <w:rPr>
          <w:sz w:val="20"/>
          <w:szCs w:val="20"/>
          <w:color w:val="auto"/>
        </w:rPr>
      </w:pPr>
      <w:r>
        <w:rPr>
          <w:rFonts w:ascii="Times New Roman" w:cs="Times New Roman" w:eastAsia="Times New Roman" w:hAnsi="Times New Roman"/>
          <w:sz w:val="20"/>
          <w:szCs w:val="20"/>
          <w:color w:val="auto"/>
        </w:rPr>
        <w:t>not to exceed, when taken together with the aggregate outstanding principal amount of all other Indebtedness incurred and the aggregate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liquidation preference of all Disqualified Capital Stock issued and outstanding in reliance on this definition on or prior to the date of incurrence of any such Indebtedness or issuance of any such Disqualified Capital Stock, as applicable, the greater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44,700,000</w:t>
      </w:r>
      <w:r>
        <w:rPr>
          <w:rFonts w:ascii="Times New Roman" w:cs="Times New Roman" w:eastAsia="Times New Roman" w:hAnsi="Times New Roman"/>
          <w:sz w:val="20"/>
          <w:szCs w:val="20"/>
          <w:u w:val="single" w:color="auto"/>
          <w:color w:val="0000FF"/>
        </w:rPr>
        <w:t>54,725,000</w:t>
      </w:r>
      <w:r>
        <w:rPr>
          <w:rFonts w:ascii="Times New Roman" w:cs="Times New Roman" w:eastAsia="Times New Roman" w:hAnsi="Times New Roman"/>
          <w:sz w:val="20"/>
          <w:szCs w:val="20"/>
          <w:color w:val="auto"/>
        </w:rPr>
        <w:t xml:space="preserve"> and (b) 25% of Consolidated Adjusted EBITDA for the most recently completed Test Period.</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 any case, action or proceeding before any court or other Governmental Authority relating to bankruptcy, reorganization, insolvency, liquidation, receivership, dissolution, winding-up or relief of debtors, or (b) any general assignment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9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with respect to (i) any Base Rate Loan (including a Swing Line Loan), (a) the last Business Day of each March, June, September and December, commencing on the first such date to occur after the Closing Date, and (b) the Maturity Date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Facility under which such Loan was made; and (ii) any SOFR Loan, (a) the last day of each Interest Period applicable to such Loan, (b) in the case of Interest Periods longer than three months, the dates that fall every three months after the beginning of such Interest Period, (c) the</w:t>
      </w:r>
    </w:p>
    <w:p>
      <w:pPr>
        <w:spacing w:after="0" w:line="211" w:lineRule="auto"/>
        <w:rPr>
          <w:sz w:val="20"/>
          <w:szCs w:val="20"/>
          <w:color w:val="auto"/>
        </w:rPr>
      </w:pPr>
      <w:r>
        <w:rPr>
          <w:rFonts w:ascii="Times New Roman" w:cs="Times New Roman" w:eastAsia="Times New Roman" w:hAnsi="Times New Roman"/>
          <w:sz w:val="20"/>
          <w:szCs w:val="20"/>
          <w:color w:val="auto"/>
        </w:rPr>
        <w:t>Maturity Date of the Facility under which such Loan was made and (d) to the extent necessary to create a fungible Class of Term Loans or</w:t>
      </w:r>
    </w:p>
    <w:p>
      <w:pPr>
        <w:spacing w:after="0" w:line="221" w:lineRule="auto"/>
        <w:rPr>
          <w:sz w:val="20"/>
          <w:szCs w:val="20"/>
          <w:color w:val="auto"/>
        </w:rPr>
      </w:pPr>
      <w:r>
        <w:rPr>
          <w:rFonts w:ascii="Times New Roman" w:cs="Times New Roman" w:eastAsia="Times New Roman" w:hAnsi="Times New Roman"/>
          <w:sz w:val="20"/>
          <w:szCs w:val="20"/>
          <w:color w:val="auto"/>
        </w:rPr>
        <w:t>Revolving Commitments, on any Business Day that any additional Term Loans are incurred or additional Revolving Commitments are established, as the case may be.</w:t>
      </w:r>
    </w:p>
    <w:p>
      <w:pPr>
        <w:spacing w:after="0" w:line="10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in connection with a SOFR Loan, an interest period of one-, three- or six- months, as selected by Borrower Representative in the applicable Funding Notice or Conversion/Continuation Notice, (i) initially, commencing on the Credit Date or</w:t>
      </w:r>
    </w:p>
    <w:p>
      <w:pPr>
        <w:spacing w:after="0" w:line="212" w:lineRule="auto"/>
        <w:rPr>
          <w:sz w:val="20"/>
          <w:szCs w:val="20"/>
          <w:color w:val="auto"/>
        </w:rPr>
      </w:pPr>
      <w:r>
        <w:rPr>
          <w:rFonts w:ascii="Times New Roman" w:cs="Times New Roman" w:eastAsia="Times New Roman" w:hAnsi="Times New Roman"/>
          <w:sz w:val="20"/>
          <w:szCs w:val="20"/>
          <w:color w:val="auto"/>
        </w:rPr>
        <w:t>Conversion/Continuation Date thereof, as the case may be; and (ii) thereafter, commencing on the day on which the immediately preceding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Interest Period expires;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 if an Interest Period would otherwise expire on a day that is not a Business Day, such Interest Period shall expire on the next succeeding Business Day unless no further Business Day occurs in such month, in which case such Interest Period</w:t>
      </w:r>
    </w:p>
    <w:p>
      <w:pPr>
        <w:spacing w:after="0" w:line="223" w:lineRule="auto"/>
        <w:rPr>
          <w:sz w:val="20"/>
          <w:szCs w:val="20"/>
          <w:color w:val="auto"/>
        </w:rPr>
      </w:pPr>
      <w:r>
        <w:rPr>
          <w:rFonts w:ascii="Times New Roman" w:cs="Times New Roman" w:eastAsia="Times New Roman" w:hAnsi="Times New Roman"/>
          <w:sz w:val="19"/>
          <w:szCs w:val="19"/>
          <w:color w:val="auto"/>
        </w:rPr>
        <w:t>shall expire on the immediately preceding Business Day; (b) any Interest Period that begins on the last Business Day of a calendar month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on a day for which there is no numerically corresponding day in the calendar month at the end of such Interest Period) shall, subject to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of this definition, end on the last Business Day of the calendar month at the end of such Interest Period; (c) no Interest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Period with respect to any portion of any Loan shall extend beyond the Maturity Date; and (d) no Interest Period with respect to any portion of any Revolving Loans shall extend beyond the Revolving Commitment Termination Date.</w:t>
      </w:r>
    </w:p>
    <w:p>
      <w:pPr>
        <w:spacing w:after="0" w:line="9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Agreement</w:t>
      </w:r>
      <w:r>
        <w:rPr>
          <w:rFonts w:ascii="Times New Roman" w:cs="Times New Roman" w:eastAsia="Times New Roman" w:hAnsi="Times New Roman"/>
          <w:sz w:val="20"/>
          <w:szCs w:val="20"/>
          <w:color w:val="auto"/>
        </w:rPr>
        <w:t>” means any interest rate swap agreement, interest rate cap agreement, interest rate collar agreement, interest rate hedging agreement or other similar agreement, each of which is (i) for the purpose of hedging the interest rate exposure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associated with Borrowers’ and their Subsidiaries’ operations, (ii) unsecured except to the extent expressly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(iii) not for speculative purposes.</w:t>
      </w:r>
    </w:p>
    <w:p>
      <w:pPr>
        <w:spacing w:after="0" w:line="10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with respect to any Interest Period, the date that is two (2) Business Days prior to the first day of such Interest Period.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by means of (a) the purchase</w:t>
      </w:r>
    </w:p>
    <w:p>
      <w:pPr>
        <w:spacing w:after="0" w:line="204" w:lineRule="auto"/>
        <w:rPr>
          <w:sz w:val="20"/>
          <w:szCs w:val="20"/>
          <w:color w:val="auto"/>
        </w:rPr>
      </w:pPr>
      <w:r>
        <w:rPr>
          <w:rFonts w:ascii="Times New Roman" w:cs="Times New Roman" w:eastAsia="Times New Roman" w:hAnsi="Times New Roman"/>
          <w:sz w:val="20"/>
          <w:szCs w:val="20"/>
          <w:color w:val="auto"/>
        </w:rPr>
        <w:t>or other acquisition of Capital Stock or debt or other Securities of another Person, (b) a loan, advance or capital contribution to, Guarantee or assumption of Indebtedness of, or purchase or other acquisition of any other debt or equity participation or interest in, another Person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(including any partnership or joint venture interest in such other Person) or (c) the purchase or other acquisition (in one transaction or a series of transactions) of (i) all or substantially all of the assets of 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40"/>
          </w:cols>
          <w:pgMar w:left="320" w:top="139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Person or any business unit, line of business or division thereof or (ii) all or substantially all of the customer lists of any Person or any</w:t>
      </w:r>
    </w:p>
    <w:p>
      <w:pPr>
        <w:spacing w:after="0" w:line="215" w:lineRule="auto"/>
        <w:rPr>
          <w:sz w:val="20"/>
          <w:szCs w:val="20"/>
          <w:color w:val="auto"/>
        </w:rPr>
      </w:pPr>
      <w:r>
        <w:rPr>
          <w:rFonts w:ascii="Times New Roman" w:cs="Times New Roman" w:eastAsia="Times New Roman" w:hAnsi="Times New Roman"/>
          <w:sz w:val="19"/>
          <w:szCs w:val="19"/>
          <w:color w:val="auto"/>
        </w:rPr>
        <w:t>business unit, line of business or division thereof (including, for the avoidance of all doubt, “tuck in” acquisitions). For purposes of covenant compliance, the amount of any Investment at any time shall be the amount actually invested (measured at the time made), without adjustment</w:t>
      </w:r>
    </w:p>
    <w:p>
      <w:pPr>
        <w:spacing w:after="0" w:line="211" w:lineRule="auto"/>
        <w:rPr>
          <w:sz w:val="20"/>
          <w:szCs w:val="20"/>
          <w:color w:val="auto"/>
        </w:rPr>
      </w:pPr>
      <w:r>
        <w:rPr>
          <w:rFonts w:ascii="Times New Roman" w:cs="Times New Roman" w:eastAsia="Times New Roman" w:hAnsi="Times New Roman"/>
          <w:sz w:val="20"/>
          <w:szCs w:val="20"/>
          <w:color w:val="auto"/>
        </w:rPr>
        <w:t>for subsequent increases or decreases in the value of such Investment, less (except in the case of Investments made using the Available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Amount) any Returns in respect of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such Returns shall not exceed the original amount of such Investment.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“ISO Residual Payment Rights” means, collectively, all receivables and other payments rights (whether now existing or arising in the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0000FF"/>
        </w:rPr>
        <w:t>future) purchased by any Credit Party or Restricted Subsidiary from any third party reseller engaged in the business of providing services relating to the authorization, transaction capture, settlement, chargeback handling and transaction processing of credit card and/or debit card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0000FF"/>
        </w:rPr>
        <w:t>transactions related to the payment industry or otherwise, or otherwise owed to any Credit Party or Restricted Subsidiary from any related Merchant.</w:t>
      </w:r>
    </w:p>
    <w:p>
      <w:pPr>
        <w:spacing w:after="0" w:line="9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Issuer Documents</w:t>
      </w:r>
      <w:r>
        <w:rPr>
          <w:rFonts w:ascii="Times New Roman" w:cs="Times New Roman" w:eastAsia="Times New Roman" w:hAnsi="Times New Roman"/>
          <w:sz w:val="19"/>
          <w:szCs w:val="19"/>
          <w:color w:val="auto"/>
        </w:rPr>
        <w:t>” means with respect to any Letter of Credit, the Letter of Credit Application, and any other document, agreement and instrument entered into by any Issuing Bank and the Borrower Representative (or any Restricted Subsidiary) or in favor of such Issuing</w:t>
      </w:r>
    </w:p>
    <w:p>
      <w:pPr>
        <w:spacing w:after="0"/>
        <w:rPr>
          <w:sz w:val="20"/>
          <w:szCs w:val="20"/>
          <w:color w:val="auto"/>
        </w:rPr>
      </w:pPr>
      <w:r>
        <w:rPr>
          <w:rFonts w:ascii="Times New Roman" w:cs="Times New Roman" w:eastAsia="Times New Roman" w:hAnsi="Times New Roman"/>
          <w:sz w:val="20"/>
          <w:szCs w:val="20"/>
          <w:color w:val="auto"/>
        </w:rPr>
        <w:t>Bank and relating to such Letter of Credit.</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(i) Truist (acting through one or more of its branches, or any Affiliate thereof) in its capacity as an issuer of Letters of Credit hereunder, (ii) any other Lender which agrees to become an Issuing Bank and that is approved by the Borrower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Representative and Administrative Agent to issue Letters of Credit and becomes an Issuing Bank in accordance with </w:t>
      </w:r>
      <w:r>
        <w:rPr>
          <w:rFonts w:ascii="Times New Roman" w:cs="Times New Roman" w:eastAsia="Times New Roman" w:hAnsi="Times New Roman"/>
          <w:sz w:val="20"/>
          <w:szCs w:val="20"/>
          <w:u w:val="single" w:color="auto"/>
          <w:color w:val="auto"/>
        </w:rPr>
        <w:t>Section 2.03(k)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10.06</w:t>
      </w:r>
      <w:r>
        <w:rPr>
          <w:rFonts w:ascii="Times New Roman" w:cs="Times New Roman" w:eastAsia="Times New Roman" w:hAnsi="Times New Roman"/>
          <w:sz w:val="20"/>
          <w:szCs w:val="20"/>
          <w:color w:val="auto"/>
        </w:rPr>
        <w:t>, in each case, in its capacity as an issuer of Letters of Credit hereunder and (iii) any of their respective successors in their capacity as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issuer of Letters of Credit hereunder. The term “Issuing Bank” means the applicable issuer of the relevant Letters of Credit as the context may require.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Venture</w:t>
      </w:r>
      <w:r>
        <w:rPr>
          <w:rFonts w:ascii="Times New Roman" w:cs="Times New Roman" w:eastAsia="Times New Roman" w:hAnsi="Times New Roman"/>
          <w:sz w:val="19"/>
          <w:szCs w:val="19"/>
          <w:color w:val="auto"/>
        </w:rPr>
        <w:t>” means a joint venture, partnership or other similar arrangement, whether in corporate, partnership or other legal form.</w:t>
      </w:r>
    </w:p>
    <w:p>
      <w:pPr>
        <w:spacing w:after="0" w:line="16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Financing</w:t>
      </w:r>
      <w:r>
        <w:rPr>
          <w:rFonts w:ascii="Times New Roman" w:cs="Times New Roman" w:eastAsia="Times New Roman" w:hAnsi="Times New Roman"/>
          <w:sz w:val="20"/>
          <w:szCs w:val="20"/>
          <w:color w:val="auto"/>
        </w:rPr>
        <w:t>” means (x) Junior Lien Indebtedness and (y) Subordinated Indebtedness, in each case, excluding any intercompany Indebtedness.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Indebtedness</w:t>
      </w:r>
      <w:r>
        <w:rPr>
          <w:rFonts w:ascii="Times New Roman" w:cs="Times New Roman" w:eastAsia="Times New Roman" w:hAnsi="Times New Roman"/>
          <w:sz w:val="19"/>
          <w:szCs w:val="19"/>
          <w:color w:val="auto"/>
        </w:rPr>
        <w:t>” means any Indebtedness secured by the Collateral on a basis junior to the Liens securing the Obligations.</w:t>
      </w:r>
    </w:p>
    <w:p>
      <w:pPr>
        <w:spacing w:after="0" w:line="17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Credit Lender, such Lender’s funding of its participation in any L/C Borrowing in accordance with its Pro Rata Share or other applicable share provided for under this Agreement.</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Credit Borrowing.</w:t>
      </w:r>
    </w:p>
    <w:p>
      <w:pPr>
        <w:spacing w:after="0" w:line="1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renewal or increase of the amount thereof.</w:t>
      </w:r>
    </w:p>
    <w:p>
      <w:pPr>
        <w:spacing w:after="0" w:line="10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Obligations</w:t>
      </w:r>
      <w:r>
        <w:rPr>
          <w:rFonts w:ascii="Times New Roman" w:cs="Times New Roman" w:eastAsia="Times New Roman" w:hAnsi="Times New Roman"/>
          <w:sz w:val="19"/>
          <w:szCs w:val="19"/>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aggregate of all Unreimbursed Amounts, including all L/C Borrowings. For purposes of computing the amount available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For 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purposes of this Agreement, if on any date of determination a Letter of Credit has expired by its terms but any amount may still be drawn thereunder by reason of the operation of Rule 3.14 of ISP, such Letter of Credit shall be deemed to be “outstanding” in the amount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remaining available to be drawn.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40"/>
          </w:cols>
          <w:pgMar w:left="320" w:top="1394" w:right="339" w:bottom="1440" w:gutter="0" w:footer="0" w:header="0"/>
        </w:sectPr>
      </w:pPr>
    </w:p>
    <w:bookmarkStart w:id="64" w:name="page65"/>
    <w:bookmarkEnd w:id="64"/>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Request</w:t>
      </w:r>
      <w:r>
        <w:rPr>
          <w:rFonts w:ascii="Times New Roman" w:cs="Times New Roman" w:eastAsia="Times New Roman" w:hAnsi="Times New Roman"/>
          <w:sz w:val="20"/>
          <w:szCs w:val="20"/>
          <w:color w:val="auto"/>
        </w:rPr>
        <w:t xml:space="preserve">” means a notice from the Borrower Representative to the applicable Issuing Bank in accordance with the terms of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 xml:space="preserve"> or substantially in the form of </w:t>
      </w:r>
      <w:r>
        <w:rPr>
          <w:rFonts w:ascii="Times New Roman" w:cs="Times New Roman" w:eastAsia="Times New Roman" w:hAnsi="Times New Roman"/>
          <w:sz w:val="20"/>
          <w:szCs w:val="20"/>
          <w:u w:val="single" w:color="auto"/>
          <w:color w:val="auto"/>
        </w:rPr>
        <w:t>Exhibit A-4</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Latest Maturity Date</w:t>
      </w:r>
      <w:r>
        <w:rPr>
          <w:rFonts w:ascii="Times New Roman" w:cs="Times New Roman" w:eastAsia="Times New Roman" w:hAnsi="Times New Roman"/>
          <w:sz w:val="19"/>
          <w:szCs w:val="19"/>
          <w:color w:val="auto"/>
        </w:rPr>
        <w:t>” means, at any date of determination and with respect to the specified Loans or Commitments (or in the absence of any such specification, all outstanding Loans and Commitments hereunder), the latest Maturity Date applicable to any such Loans</w:t>
      </w:r>
    </w:p>
    <w:p>
      <w:pPr>
        <w:spacing w:after="0" w:line="211" w:lineRule="auto"/>
        <w:rPr>
          <w:sz w:val="20"/>
          <w:szCs w:val="20"/>
          <w:color w:val="auto"/>
        </w:rPr>
      </w:pPr>
      <w:r>
        <w:rPr>
          <w:rFonts w:ascii="Times New Roman" w:cs="Times New Roman" w:eastAsia="Times New Roman" w:hAnsi="Times New Roman"/>
          <w:sz w:val="20"/>
          <w:szCs w:val="20"/>
          <w:color w:val="auto"/>
        </w:rPr>
        <w:t>or Commitments hereunder at such time, including the latest maturity date of any Extended Term Loan, any Extended Revolving Credit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Commitment, any Incremental Term Loans, any Incremental Revolving Credit Commitments, any Refinancing Term Loans or any Refinancing Revolving Credit Commitments, in each case, as extended in accordance with this Agreement from time to time.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hereto.</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hereto.</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means each of Truist Securities, Inc., TD Securities (USA) LLC and SouthState Bank, N.A., in their capacities as joint lead arrangers and joint bookrunners in connection with this Agreement.</w:t>
      </w:r>
    </w:p>
    <w:p>
      <w:pPr>
        <w:spacing w:after="0" w:line="10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(a) each financial institution listed on the signature pages hereto as a Lender, (b) any other Person that becomes a party hereto pursuant to an Assignment Agreement and (c) any Additional Lender. Unless the context clearly indicates otherwise, the 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shall include the Swing Line Lender and any Issuing Bank.</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Counterparty</w:t>
      </w:r>
      <w:r>
        <w:rPr>
          <w:rFonts w:ascii="Times New Roman" w:cs="Times New Roman" w:eastAsia="Times New Roman" w:hAnsi="Times New Roman"/>
          <w:sz w:val="20"/>
          <w:szCs w:val="20"/>
          <w:color w:val="auto"/>
        </w:rPr>
        <w:t>” means any Person that is Administrative Agent, Collateral Agent or a Lender or an Affiliate of any of the foregoing (or was Administrative Agent, Collateral Agent or a Lender or an Affiliate of any of the foregoing at the time it entered into such</w:t>
      </w:r>
    </w:p>
    <w:p>
      <w:pPr>
        <w:spacing w:after="0" w:line="212" w:lineRule="auto"/>
        <w:rPr>
          <w:sz w:val="20"/>
          <w:szCs w:val="20"/>
          <w:color w:val="auto"/>
        </w:rPr>
      </w:pPr>
      <w:r>
        <w:rPr>
          <w:rFonts w:ascii="Times New Roman" w:cs="Times New Roman" w:eastAsia="Times New Roman" w:hAnsi="Times New Roman"/>
          <w:sz w:val="20"/>
          <w:szCs w:val="20"/>
          <w:color w:val="auto"/>
        </w:rPr>
        <w:t>Secured Interest Rate Agreement), in its capacity as a party to such Secured Interest Rate Agreement and that is designated a “Lender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Counterparty” with respect to such Secured Interest Rate Agreement in a writing from the Borrower Representative to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Person is not a Lender or an Agent, such Person shall deliver to Administrative Agent a letter agreement pursuant to</w:t>
      </w:r>
    </w:p>
    <w:p>
      <w:pPr>
        <w:spacing w:after="0" w:line="233" w:lineRule="auto"/>
        <w:rPr>
          <w:sz w:val="20"/>
          <w:szCs w:val="20"/>
          <w:color w:val="auto"/>
        </w:rPr>
      </w:pPr>
      <w:r>
        <w:rPr>
          <w:rFonts w:ascii="Times New Roman" w:cs="Times New Roman" w:eastAsia="Times New Roman" w:hAnsi="Times New Roman"/>
          <w:sz w:val="19"/>
          <w:szCs w:val="19"/>
          <w:color w:val="auto"/>
        </w:rPr>
        <w:t xml:space="preserve">which such Person (i) appoints Administrative Agent and Collateral Agent, as applicable, as its agent under the applicable Credit Documents and (ii) agrees to be bound by the provisions of </w:t>
      </w:r>
      <w:r>
        <w:rPr>
          <w:rFonts w:ascii="Times New Roman" w:cs="Times New Roman" w:eastAsia="Times New Roman" w:hAnsi="Times New Roman"/>
          <w:sz w:val="19"/>
          <w:szCs w:val="19"/>
          <w:u w:val="single" w:color="auto"/>
          <w:color w:val="auto"/>
        </w:rPr>
        <w:t>Sections 10.02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10.03 10.10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as if it were a Lender.</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w:t>
      </w:r>
    </w:p>
    <w:p>
      <w:pPr>
        <w:spacing w:after="0" w:line="13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relevant Issuing Bank.</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five (5) Business Days prior to the scheduled Latest Maturity Date then in</w:t>
      </w:r>
    </w:p>
    <w:p>
      <w:pPr>
        <w:ind w:right="20"/>
        <w:spacing w:after="0" w:line="221" w:lineRule="auto"/>
        <w:rPr>
          <w:sz w:val="20"/>
          <w:szCs w:val="20"/>
          <w:color w:val="auto"/>
        </w:rPr>
      </w:pPr>
      <w:r>
        <w:rPr>
          <w:rFonts w:ascii="Times New Roman" w:cs="Times New Roman" w:eastAsia="Times New Roman" w:hAnsi="Times New Roman"/>
          <w:sz w:val="20"/>
          <w:szCs w:val="20"/>
          <w:color w:val="auto"/>
        </w:rPr>
        <w:t>effect for the Participating Revolving Credit Commitments (taking into account the Maturity Date of any conditional Participating Revolving Credit Commitment (or, if such day is not a Business Day, the immediately preceding Business Day)).</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means an amount equal to the lesser of (a) $10,000,000 (as may be adjusted pursuant to </w:t>
      </w:r>
      <w:r>
        <w:rPr>
          <w:rFonts w:ascii="Times New Roman" w:cs="Times New Roman" w:eastAsia="Times New Roman" w:hAnsi="Times New Roman"/>
          <w:sz w:val="20"/>
          <w:szCs w:val="20"/>
          <w:u w:val="single" w:color="auto"/>
          <w:color w:val="auto"/>
        </w:rPr>
        <w:t>Section 2.24(e)</w:t>
      </w:r>
    </w:p>
    <w:p>
      <w:pPr>
        <w:ind w:right="20"/>
        <w:spacing w:after="0" w:line="221" w:lineRule="auto"/>
        <w:rPr>
          <w:sz w:val="20"/>
          <w:szCs w:val="20"/>
          <w:color w:val="auto"/>
        </w:rPr>
      </w:pPr>
      <w:r>
        <w:rPr>
          <w:rFonts w:ascii="Times New Roman" w:cs="Times New Roman" w:eastAsia="Times New Roman" w:hAnsi="Times New Roman"/>
          <w:sz w:val="20"/>
          <w:szCs w:val="20"/>
          <w:u w:val="single" w:color="auto"/>
          <w:color w:val="auto"/>
        </w:rPr>
        <w:t>(ii)(C))</w:t>
      </w:r>
      <w:r>
        <w:rPr>
          <w:rFonts w:ascii="Times New Roman" w:cs="Times New Roman" w:eastAsia="Times New Roman" w:hAnsi="Times New Roman"/>
          <w:sz w:val="20"/>
          <w:szCs w:val="20"/>
          <w:color w:val="auto"/>
        </w:rPr>
        <w:t>) and (b) the aggregate amount of the Participating Revolving Credit Commitments. The Letter of Credit Sublimit is part of, and not in addition to, the Participating Revolving Credit Commitments.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lien, mortgage, pledge, hypothecation, assignment, security interest, right of set off, charge or encumbrance of any</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kind (including any conditional sale or other title retention agreement, and any Capital Lease in the nature thereof) and any other preferential arrangement having the practical effect of any of the foregoing.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 any Permitted Acquisition or other Investment permitted hereunder that is not</w:t>
      </w:r>
    </w:p>
    <w:p>
      <w:pPr>
        <w:spacing w:after="0" w:line="221" w:lineRule="auto"/>
        <w:rPr>
          <w:sz w:val="20"/>
          <w:szCs w:val="20"/>
          <w:color w:val="auto"/>
        </w:rPr>
      </w:pPr>
      <w:r>
        <w:rPr>
          <w:rFonts w:ascii="Times New Roman" w:cs="Times New Roman" w:eastAsia="Times New Roman" w:hAnsi="Times New Roman"/>
          <w:sz w:val="20"/>
          <w:szCs w:val="20"/>
          <w:color w:val="auto"/>
        </w:rPr>
        <w:t>conditioned on the availability of, or on obtaining, third party financing, (b) an irrevocable redemption, repayment, retirement or extinguishment of Indebtedness (including any Restricted Debt Payment) and (c) an irrevocable Restricted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40"/>
          </w:cols>
          <w:pgMar w:left="320" w:top="1413"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as the context requires, a Term Loan, a Revolving Loan and/or a Swing Line Loan.</w:t>
      </w:r>
    </w:p>
    <w:p>
      <w:pPr>
        <w:spacing w:after="0" w:line="13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set forth in Regulation U of the Board of Governors of the Federal Reserve System as in effect from time to time.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MasterCard</w:t>
      </w:r>
      <w:r>
        <w:rPr>
          <w:rFonts w:ascii="Times New Roman" w:cs="Times New Roman" w:eastAsia="Times New Roman" w:hAnsi="Times New Roman"/>
          <w:sz w:val="20"/>
          <w:szCs w:val="20"/>
          <w:color w:val="auto"/>
        </w:rPr>
        <w:t>” means MasterCard International, Incorporated and its Subsidiaries.</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any event, change or condition, that individually or in the aggregate, has had a material adverse effect with respect to (i) the business, results of operations or financial condition of the Initial Borrower and its Restricted Subsidiaries taken</w:t>
      </w:r>
    </w:p>
    <w:p>
      <w:pPr>
        <w:spacing w:after="0" w:line="222" w:lineRule="auto"/>
        <w:rPr>
          <w:sz w:val="20"/>
          <w:szCs w:val="20"/>
          <w:color w:val="auto"/>
        </w:rPr>
      </w:pPr>
      <w:r>
        <w:rPr>
          <w:rFonts w:ascii="Times New Roman" w:cs="Times New Roman" w:eastAsia="Times New Roman" w:hAnsi="Times New Roman"/>
          <w:sz w:val="19"/>
          <w:szCs w:val="19"/>
          <w:color w:val="auto"/>
        </w:rPr>
        <w:t>as a whole; (ii) the ability of the Credit Parties, taken as a whole, to fully and timely perform the Obligations under the Credit Documents; or</w:t>
      </w:r>
    </w:p>
    <w:p>
      <w:pPr>
        <w:spacing w:after="0" w:line="1" w:lineRule="exact"/>
        <w:rPr>
          <w:sz w:val="20"/>
          <w:szCs w:val="20"/>
          <w:color w:val="auto"/>
        </w:rPr>
      </w:pPr>
    </w:p>
    <w:p>
      <w:pPr>
        <w:ind w:firstLine="8"/>
        <w:spacing w:after="0" w:line="221" w:lineRule="auto"/>
        <w:tabs>
          <w:tab w:leader="none" w:pos="35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remedies and benefits, taken as a whole, available to, or conferred upon, any Agent, any Lender or any other Secured Party under the Credit Documents.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any intellectual property owned by the Borrowers or any of their Restricted Subsidiaries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pursuant to which the Borrowers or any of their Restricted Subsidiaries hold an exclusive license) that is material to the business of the Borrowers and their Restricted Subsidiaries (taken as a whole).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(i) with respect to the Initial Term Loans, the seventh anniversary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w:t>
      </w:r>
    </w:p>
    <w:p>
      <w:pPr>
        <w:jc w:val="both"/>
        <w:ind w:firstLine="8"/>
        <w:spacing w:after="0" w:line="212" w:lineRule="auto"/>
        <w:tabs>
          <w:tab w:leader="none" w:pos="29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Initial Revolving Credit Commitments, the fifth anniversary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(iii) 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and (v) with respect to any Incremental Loans and Incremental Revolving Credit Commitments, the final maturity date as specified in the applicable Incremental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if such day is not a Business Day, the Maturity Date shall be the Business Day immediately succeeding such day.</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Merchant</w:t>
      </w:r>
      <w:r>
        <w:rPr>
          <w:rFonts w:ascii="Times New Roman" w:cs="Times New Roman" w:eastAsia="Times New Roman" w:hAnsi="Times New Roman"/>
          <w:sz w:val="20"/>
          <w:szCs w:val="20"/>
          <w:color w:val="auto"/>
        </w:rPr>
        <w:t>” has the meaning set forth in the definition of “Merchant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Merchant Account</w:t>
      </w:r>
      <w:r>
        <w:rPr>
          <w:rFonts w:ascii="Times New Roman" w:cs="Times New Roman" w:eastAsia="Times New Roman" w:hAnsi="Times New Roman"/>
          <w:sz w:val="20"/>
          <w:szCs w:val="20"/>
          <w:color w:val="auto"/>
        </w:rPr>
        <w:t>” means an account which is the subject of a Merchant Agreement.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Merchant Agreement</w:t>
      </w:r>
      <w:r>
        <w:rPr>
          <w:rFonts w:ascii="Times New Roman" w:cs="Times New Roman" w:eastAsia="Times New Roman" w:hAnsi="Times New Roman"/>
          <w:sz w:val="20"/>
          <w:szCs w:val="20"/>
          <w:color w:val="auto"/>
        </w:rPr>
        <w:t>” means an agreement, by and among the applicable Sponsor Bank (to the extent applicable), a Borrower or a Restricted Subsidiary (to the extent applicable), the applicable Processor, and the applicable merchant (the “</w:t>
      </w:r>
      <w:r>
        <w:rPr>
          <w:rFonts w:ascii="Times New Roman" w:cs="Times New Roman" w:eastAsia="Times New Roman" w:hAnsi="Times New Roman"/>
          <w:sz w:val="20"/>
          <w:szCs w:val="20"/>
          <w:u w:val="single" w:color="auto"/>
          <w:color w:val="auto"/>
        </w:rPr>
        <w:t>Merchant</w:t>
      </w:r>
      <w:r>
        <w:rPr>
          <w:rFonts w:ascii="Times New Roman" w:cs="Times New Roman" w:eastAsia="Times New Roman" w:hAnsi="Times New Roman"/>
          <w:sz w:val="20"/>
          <w:szCs w:val="20"/>
          <w:color w:val="auto"/>
        </w:rPr>
        <w:t>”), which provides for</w:t>
      </w:r>
    </w:p>
    <w:p>
      <w:pPr>
        <w:spacing w:after="0" w:line="212" w:lineRule="auto"/>
        <w:rPr>
          <w:sz w:val="20"/>
          <w:szCs w:val="20"/>
          <w:color w:val="auto"/>
        </w:rPr>
      </w:pPr>
      <w:r>
        <w:rPr>
          <w:rFonts w:ascii="Times New Roman" w:cs="Times New Roman" w:eastAsia="Times New Roman" w:hAnsi="Times New Roman"/>
          <w:sz w:val="20"/>
          <w:szCs w:val="20"/>
          <w:color w:val="auto"/>
        </w:rPr>
        <w:t>credit card and/or debit card transaction processing and related services pursuant to one or more Approved Bank Card Systems (including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services relating to the authorization, transaction capture, settlement, chargeback handling and transaction processing of credit card and debit card transactions).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MFN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2.24(e)</w:t>
      </w:r>
      <w:r>
        <w:rPr>
          <w:rFonts w:ascii="Times New Roman" w:cs="Times New Roman" w:eastAsia="Times New Roman" w:hAnsi="Times New Roman"/>
          <w:sz w:val="20"/>
          <w:szCs w:val="20"/>
          <w:color w:val="auto"/>
        </w:rPr>
        <w:t xml:space="preserve"> hereto.</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MFN Provision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2.24(e)</w:t>
      </w:r>
      <w:r>
        <w:rPr>
          <w:rFonts w:ascii="Times New Roman" w:cs="Times New Roman" w:eastAsia="Times New Roman" w:hAnsi="Times New Roman"/>
          <w:sz w:val="20"/>
          <w:szCs w:val="20"/>
          <w:color w:val="auto"/>
        </w:rPr>
        <w:t xml:space="preserve"> hereto.</w:t>
      </w:r>
    </w:p>
    <w:p>
      <w:pPr>
        <w:spacing w:after="0" w:line="12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Modified Amortization Percentage</w:t>
      </w:r>
      <w:r>
        <w:rPr>
          <w:rFonts w:ascii="Times New Roman" w:cs="Times New Roman" w:eastAsia="Times New Roman" w:hAnsi="Times New Roman"/>
          <w:sz w:val="20"/>
          <w:szCs w:val="20"/>
          <w:color w:val="auto"/>
        </w:rPr>
        <w:t>” means, at any time, with respect to Term Loan Increases that will constitute, and be added to, the Initial Term Loans, a percentage equal to the fraction, the numerator of which is the amount of the scheduled amortization payment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required to be made on the next scheduled amortization repayment date pursuant to Section 2.11(a)(i) and the denominator of which is the aggregate principal amount of Initial Term Loans that is outstanding at such time (without giving effect to the incurrence of any Term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Increase to be made at such time, but, for the avoidance of doubt, to include Term Loan Increases incurred prior to such time).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 Services, Inc.</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fee mortgage, deed of trust, deed to secure debt or similar security instruments in form and substance reasonably satisfactory to Collateral Agent.</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1399"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NAIC</w:t>
      </w:r>
      <w:r>
        <w:rPr>
          <w:rFonts w:ascii="Times New Roman" w:cs="Times New Roman" w:eastAsia="Times New Roman" w:hAnsi="Times New Roman"/>
          <w:sz w:val="20"/>
          <w:szCs w:val="20"/>
          <w:color w:val="auto"/>
        </w:rPr>
        <w:t>” means The National Association of Insurance Commissioners or any other similar organization.</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Asset Sale Proceeds</w:t>
      </w:r>
      <w:r>
        <w:rPr>
          <w:rFonts w:ascii="Times New Roman" w:cs="Times New Roman" w:eastAsia="Times New Roman" w:hAnsi="Times New Roman"/>
          <w:sz w:val="20"/>
          <w:szCs w:val="20"/>
          <w:color w:val="auto"/>
        </w:rPr>
        <w:t>” means, with respect to any Asset Sale, an amount equal to: (i) Cash payments received by any Borrower or any Restricted Subsidiary from such Asset Sale, (including any Cash received by way of earn-outs and other deferred payments pursuant</w:t>
      </w:r>
    </w:p>
    <w:p>
      <w:pPr>
        <w:spacing w:after="0" w:line="212" w:lineRule="auto"/>
        <w:rPr>
          <w:sz w:val="20"/>
          <w:szCs w:val="20"/>
          <w:color w:val="auto"/>
        </w:rPr>
      </w:pPr>
      <w:r>
        <w:rPr>
          <w:rFonts w:ascii="Times New Roman" w:cs="Times New Roman" w:eastAsia="Times New Roman" w:hAnsi="Times New Roman"/>
          <w:sz w:val="20"/>
          <w:szCs w:val="20"/>
          <w:color w:val="auto"/>
        </w:rPr>
        <w:t>to, or by monetization of, a note receivable or otherwise, but only as and when so received) (net of purchase price adjustments reasonably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expected to be payable in connection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final calculation of such purchase price adjustments, all netted amounts not actually paid to the purchaser of the underlying assets shall be considered Net Asset Sale Proceeds),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any direct costs incurred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connection with such Asset Sale to the extent paid or payable to non-Affiliates and, to the extent permitted by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 Affiliates,</w:t>
      </w:r>
    </w:p>
    <w:p>
      <w:pPr>
        <w:jc w:val="both"/>
        <w:spacing w:after="0" w:line="215" w:lineRule="auto"/>
        <w:rPr>
          <w:sz w:val="20"/>
          <w:szCs w:val="20"/>
          <w:color w:val="auto"/>
        </w:rPr>
      </w:pPr>
      <w:r>
        <w:rPr>
          <w:rFonts w:ascii="Times New Roman" w:cs="Times New Roman" w:eastAsia="Times New Roman" w:hAnsi="Times New Roman"/>
          <w:sz w:val="19"/>
          <w:szCs w:val="19"/>
          <w:color w:val="auto"/>
        </w:rPr>
        <w:t>including (a) taxes paid or payable by the seller as a result of any gain recognized in connection with such Asset Sale, including any transfer, documentary, income, gains or other taxes payable by the seller in connection therewith, (b) payment of the outstanding principal amount of,</w:t>
      </w:r>
    </w:p>
    <w:p>
      <w:pPr>
        <w:spacing w:after="0" w:line="222" w:lineRule="auto"/>
        <w:rPr>
          <w:sz w:val="20"/>
          <w:szCs w:val="20"/>
          <w:color w:val="auto"/>
        </w:rPr>
      </w:pPr>
      <w:r>
        <w:rPr>
          <w:rFonts w:ascii="Times New Roman" w:cs="Times New Roman" w:eastAsia="Times New Roman" w:hAnsi="Times New Roman"/>
          <w:sz w:val="19"/>
          <w:szCs w:val="19"/>
          <w:color w:val="auto"/>
        </w:rPr>
        <w:t>premium or penalty, if any, and interest on any Indebtedness (other than the Loans) that is secured by a Lien on the Capital Stock or assets in</w:t>
      </w:r>
    </w:p>
    <w:p>
      <w:pPr>
        <w:spacing w:after="0" w:line="204" w:lineRule="auto"/>
        <w:rPr>
          <w:sz w:val="20"/>
          <w:szCs w:val="20"/>
          <w:color w:val="auto"/>
        </w:rPr>
      </w:pPr>
      <w:r>
        <w:rPr>
          <w:rFonts w:ascii="Times New Roman" w:cs="Times New Roman" w:eastAsia="Times New Roman" w:hAnsi="Times New Roman"/>
          <w:sz w:val="20"/>
          <w:szCs w:val="20"/>
          <w:color w:val="auto"/>
        </w:rPr>
        <w:t>question (so long as such Lien was permitted to encumber such properties under the Credit Documents at the time of such sale), that is required to be repaid under the terms thereof as a result of such Asset Sale and that is repaid with such proceeds (other than any such</w:t>
      </w:r>
    </w:p>
    <w:p>
      <w:pPr>
        <w:spacing w:after="0" w:line="211" w:lineRule="auto"/>
        <w:rPr>
          <w:sz w:val="20"/>
          <w:szCs w:val="20"/>
          <w:color w:val="auto"/>
        </w:rPr>
      </w:pPr>
      <w:r>
        <w:rPr>
          <w:rFonts w:ascii="Times New Roman" w:cs="Times New Roman" w:eastAsia="Times New Roman" w:hAnsi="Times New Roman"/>
          <w:sz w:val="20"/>
          <w:szCs w:val="20"/>
          <w:color w:val="auto"/>
        </w:rPr>
        <w:t>Indebtedness assumed by the purchaser of such properties and other than any Indebtedness, or any refinancing of such Indebtedness that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secured by a Lien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the Liens securing the Initial Term Loans), (c) a reserve for any indemnification payments (fixed or contingent) attributable to seller’s indemnities and representations and warranties to purchaser in respect of such Asset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Sale undertaken by any Credit Party or any of its Restricted Subsidiaries in connection with such Asset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release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such reserve (other than a release from a reserve to make any such indemnification payments), the amount released shall be considered Net Asset Sale Proceeds and (d) brokerage fees, accountants’ fees, investment banking fees, legal fees, costs and expenses, survey costs, title</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insurance premiums and other customary (as determined in good faith by the Borrower Representative) fees actually incurred and paid by a Credit Party or a Restricted Subsidiary in connection with such Asset Sale,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(iii) the pro rata portion of the proceeds of such Asset Sale</w:t>
      </w:r>
    </w:p>
    <w:p>
      <w:pPr>
        <w:spacing w:after="0" w:line="228" w:lineRule="auto"/>
        <w:rPr>
          <w:sz w:val="20"/>
          <w:szCs w:val="20"/>
          <w:color w:val="auto"/>
        </w:rPr>
      </w:pPr>
      <w:r>
        <w:rPr>
          <w:rFonts w:ascii="Times New Roman" w:cs="Times New Roman" w:eastAsia="Times New Roman" w:hAnsi="Times New Roman"/>
          <w:sz w:val="20"/>
          <w:szCs w:val="20"/>
          <w:color w:val="auto"/>
        </w:rPr>
        <w:t>(calculated without regard to this clause (iii)) attributable to minority interests and not available for distribution to or for the account of a Borrower or a wholly-owned Restricted Subsidiary of a Borrower as a result thereof.</w:t>
      </w:r>
    </w:p>
    <w:p>
      <w:pPr>
        <w:spacing w:after="0" w:line="9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Insurance/Condemnation Proceeds</w:t>
      </w:r>
      <w:r>
        <w:rPr>
          <w:rFonts w:ascii="Times New Roman" w:cs="Times New Roman" w:eastAsia="Times New Roman" w:hAnsi="Times New Roman"/>
          <w:sz w:val="19"/>
          <w:szCs w:val="19"/>
          <w:color w:val="auto"/>
        </w:rPr>
        <w:t>” means an amount equal to: (i) any Cash payments or proceeds received by any Borrower or any Restricted Subsidiary (a) under any casualty insurance policies in respect of any covered loss thereunder, or (b) as a result of the taking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of any assets of any Borrower or any Restricted Subsidiary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 any costs</w:t>
      </w:r>
    </w:p>
    <w:p>
      <w:pPr>
        <w:spacing w:after="0" w:line="223" w:lineRule="auto"/>
        <w:rPr>
          <w:sz w:val="20"/>
          <w:szCs w:val="20"/>
          <w:color w:val="auto"/>
        </w:rPr>
      </w:pPr>
      <w:r>
        <w:rPr>
          <w:rFonts w:ascii="Times New Roman" w:cs="Times New Roman" w:eastAsia="Times New Roman" w:hAnsi="Times New Roman"/>
          <w:sz w:val="19"/>
          <w:szCs w:val="19"/>
          <w:color w:val="auto"/>
        </w:rPr>
        <w:t>incurred by any Credit Party or any of its Restricted Subsidiaries in connection with the adjustment or settlement of any claims of such Credit</w:t>
      </w:r>
    </w:p>
    <w:p>
      <w:pPr>
        <w:jc w:val="both"/>
        <w:spacing w:after="0" w:line="215" w:lineRule="auto"/>
        <w:rPr>
          <w:sz w:val="20"/>
          <w:szCs w:val="20"/>
          <w:color w:val="auto"/>
        </w:rPr>
      </w:pPr>
      <w:r>
        <w:rPr>
          <w:rFonts w:ascii="Times New Roman" w:cs="Times New Roman" w:eastAsia="Times New Roman" w:hAnsi="Times New Roman"/>
          <w:sz w:val="19"/>
          <w:szCs w:val="19"/>
          <w:color w:val="auto"/>
        </w:rPr>
        <w:t>Party or such Restricted Subsidiary in respect thereof (including brokerage fees, accountants’ fees, investment booking fees, legal fees, costs and expenses, survey costs, title insurance premiums and other customary (as determined in good faith by the Borrower Representative) fees,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costs and expenses payable to non-Affiliates and, to the extent permitted by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 Affiliates that are incurred and paid by a Credit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Party or a Restricted Subsidiary in connection therewith) and (b) any costs incurred in connection with any sale of such assets as referred to in </w:t>
      </w:r>
      <w:r>
        <w:rPr>
          <w:rFonts w:ascii="Times New Roman" w:cs="Times New Roman" w:eastAsia="Times New Roman" w:hAnsi="Times New Roman"/>
          <w:sz w:val="19"/>
          <w:szCs w:val="19"/>
          <w:u w:val="single" w:color="auto"/>
          <w:color w:val="auto"/>
        </w:rPr>
        <w:t>clause (i)(b)</w:t>
      </w:r>
      <w:r>
        <w:rPr>
          <w:rFonts w:ascii="Times New Roman" w:cs="Times New Roman" w:eastAsia="Times New Roman" w:hAnsi="Times New Roman"/>
          <w:sz w:val="19"/>
          <w:szCs w:val="19"/>
          <w:color w:val="auto"/>
        </w:rPr>
        <w:t xml:space="preserve"> of this definition, including taxes payable as a result thereof, including any transfer, documentary, income, gains or other taxes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payable by the seller in connection therewith,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the pro rata portion of such proceeds (calculated without regard to this clause (iii))</w:t>
      </w:r>
    </w:p>
    <w:p>
      <w:pPr>
        <w:ind w:right="20"/>
        <w:spacing w:after="0" w:line="221" w:lineRule="auto"/>
        <w:rPr>
          <w:sz w:val="20"/>
          <w:szCs w:val="20"/>
          <w:color w:val="auto"/>
        </w:rPr>
      </w:pPr>
      <w:r>
        <w:rPr>
          <w:rFonts w:ascii="Times New Roman" w:cs="Times New Roman" w:eastAsia="Times New Roman" w:hAnsi="Times New Roman"/>
          <w:sz w:val="20"/>
          <w:szCs w:val="20"/>
          <w:color w:val="auto"/>
        </w:rPr>
        <w:t>attributable to minority interests and not available for distribution to or for the account of a Borrower or a wholly-owned Restricted Subsidiary of a Borrower as a result thereof.</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Net Asset Sale Proceeds and Net Insurance/Condemnation Proceeds, as the case may be.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a Lender that is not a Defaulting Lender.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2.03(b)(ii)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2.19(d)(ii)</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40"/>
          </w:cols>
          <w:pgMar w:left="320" w:top="1399"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as the context requires, a Term Loan Note, a Revolving Loan Note or a Swing Line Note.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means, as the context requires, a Funding Notice, Swing Line Loan Notice, L/C Request and/or a Conversion/Continuation</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Intent to Cure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obligations of every nature of each Credit Party from time to time owed to the Agents (including former Agents in their capacities as such), the Lenders (or any of them), Cash Management Banks, and Lender Counterparties, under any Credit</w:t>
      </w:r>
    </w:p>
    <w:p>
      <w:pPr>
        <w:spacing w:after="0" w:line="224" w:lineRule="auto"/>
        <w:rPr>
          <w:sz w:val="20"/>
          <w:szCs w:val="20"/>
          <w:color w:val="auto"/>
        </w:rPr>
      </w:pPr>
      <w:r>
        <w:rPr>
          <w:rFonts w:ascii="Times New Roman" w:cs="Times New Roman" w:eastAsia="Times New Roman" w:hAnsi="Times New Roman"/>
          <w:sz w:val="19"/>
          <w:szCs w:val="19"/>
          <w:color w:val="auto"/>
        </w:rPr>
        <w:t>Document, Secured Interest Rate Agreement and Cash Management Agreement entered into with a Secured Party (including any Person with</w:t>
      </w:r>
    </w:p>
    <w:p>
      <w:pPr>
        <w:spacing w:after="0" w:line="204" w:lineRule="auto"/>
        <w:rPr>
          <w:sz w:val="20"/>
          <w:szCs w:val="20"/>
          <w:color w:val="auto"/>
        </w:rPr>
      </w:pPr>
      <w:r>
        <w:rPr>
          <w:rFonts w:ascii="Times New Roman" w:cs="Times New Roman" w:eastAsia="Times New Roman" w:hAnsi="Times New Roman"/>
          <w:sz w:val="20"/>
          <w:szCs w:val="20"/>
          <w:color w:val="auto"/>
        </w:rPr>
        <w:t>respect to a Secured Interest Rate Agreement or Cash Management Agreement who was a Secured Party at the time such Secured Interest Rate Agreement or Cash Management Agreement, as applicable, was entered into), whether for principal, interest (including interest, fees</w:t>
      </w:r>
    </w:p>
    <w:p>
      <w:pPr>
        <w:spacing w:after="0" w:line="211" w:lineRule="auto"/>
        <w:rPr>
          <w:sz w:val="20"/>
          <w:szCs w:val="20"/>
          <w:color w:val="auto"/>
        </w:rPr>
      </w:pPr>
      <w:r>
        <w:rPr>
          <w:rFonts w:ascii="Times New Roman" w:cs="Times New Roman" w:eastAsia="Times New Roman" w:hAnsi="Times New Roman"/>
          <w:sz w:val="20"/>
          <w:szCs w:val="20"/>
          <w:color w:val="auto"/>
        </w:rPr>
        <w:t>and expenses which, but for the filing of a petition in bankruptcy with respect to such Credit Party, would have accrued on any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whether or not a claim is allowed against such Credit Party for such interest, fees and expenses in the related bankruptcy proceeding), payments for early termination of Interest Rate Agreements, fees, expenses, indemnification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w:t>
      </w:r>
    </w:p>
    <w:p>
      <w:pPr>
        <w:spacing w:after="0" w:line="211" w:lineRule="auto"/>
        <w:rPr>
          <w:sz w:val="20"/>
          <w:szCs w:val="20"/>
          <w:color w:val="auto"/>
        </w:rPr>
      </w:pPr>
      <w:r>
        <w:rPr>
          <w:rFonts w:ascii="Times New Roman" w:cs="Times New Roman" w:eastAsia="Times New Roman" w:hAnsi="Times New Roman"/>
          <w:sz w:val="20"/>
          <w:szCs w:val="20"/>
          <w:color w:val="auto"/>
        </w:rPr>
        <w:t>anything to the contrary, the Obligations shall exclude any Excluded Swap Obligations. Without limiting the generality of the foregoing,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Obligations of the Credit Parties under the Credit Documents include the obligation (including guaranty obligations) to pay principal, interest, Letter of Credit fees, reimbursement obligations, charges, expenses, fees, premiums, Attorney Costs payable under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indemnities and other amounts payable by any Credit Party under and in accordance with any Credit Document.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Obligee Guarantor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set forth in the definition of “Sanctions”.</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(i) with respect to any corporation, its certificate or articles of incorporation or organization and its by-laws (or similar documents), (ii) with respect to any limited partnership, its certificate of limited partnership and its partnership</w:t>
      </w:r>
    </w:p>
    <w:p>
      <w:pPr>
        <w:spacing w:after="0" w:line="212" w:lineRule="auto"/>
        <w:rPr>
          <w:sz w:val="20"/>
          <w:szCs w:val="20"/>
          <w:color w:val="auto"/>
        </w:rPr>
      </w:pPr>
      <w:r>
        <w:rPr>
          <w:rFonts w:ascii="Times New Roman" w:cs="Times New Roman" w:eastAsia="Times New Roman" w:hAnsi="Times New Roman"/>
          <w:sz w:val="20"/>
          <w:szCs w:val="20"/>
          <w:color w:val="auto"/>
        </w:rPr>
        <w:t>agreement (or similar documents), (iii) with respect to any general partnership, its partnership agreement (or similar documents), (iv)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respect to any limited liability company, its articles of organization or certificate of formation and its operating agreement (or similar documents), and (v) with respect to any other form of entity, such other organizational documents required by local law or customary under</w:t>
      </w:r>
    </w:p>
    <w:p>
      <w:pPr>
        <w:spacing w:after="0" w:line="211" w:lineRule="auto"/>
        <w:rPr>
          <w:sz w:val="20"/>
          <w:szCs w:val="20"/>
          <w:color w:val="auto"/>
        </w:rPr>
      </w:pPr>
      <w:r>
        <w:rPr>
          <w:rFonts w:ascii="Times New Roman" w:cs="Times New Roman" w:eastAsia="Times New Roman" w:hAnsi="Times New Roman"/>
          <w:sz w:val="20"/>
          <w:szCs w:val="20"/>
          <w:color w:val="auto"/>
        </w:rPr>
        <w:t>such jurisdiction to document the formation and governance principles of such type of entity. In the event any term or condition of this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Agreement or any other Credit Document requires any Organizational Document to be certified by a secretary of state or similar governmental official, the reference to any such “Organizational Document” shall only be to a document of a type customarily certified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governmental official.</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w:t>
      </w:r>
    </w:p>
    <w:p>
      <w:pPr>
        <w:spacing w:after="0" w:line="204" w:lineRule="auto"/>
        <w:rPr>
          <w:sz w:val="20"/>
          <w:szCs w:val="20"/>
          <w:color w:val="auto"/>
        </w:rPr>
      </w:pPr>
      <w:r>
        <w:rPr>
          <w:rFonts w:ascii="Times New Roman" w:cs="Times New Roman" w:eastAsia="Times New Roman" w:hAnsi="Times New Roman"/>
          <w:sz w:val="20"/>
          <w:szCs w:val="20"/>
          <w:color w:val="auto"/>
        </w:rPr>
        <w:t>any payment made under, from the execution, delivery, performance, enforcement or registration of, from the receipt or perfection of a security interest under, or otherwise with respect to, any Credit Document, except any such Taxes that are Other Connection Taxes imposed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an assignment (other than an assignment made pursuant to Section 2.22).</w:t>
      </w:r>
    </w:p>
    <w:p>
      <w:pPr>
        <w:spacing w:after="0" w:line="11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Outstanding Amount</w:t>
      </w:r>
      <w:r>
        <w:rPr>
          <w:rFonts w:ascii="Times New Roman" w:cs="Times New Roman" w:eastAsia="Times New Roman" w:hAnsi="Times New Roman"/>
          <w:sz w:val="19"/>
          <w:szCs w:val="19"/>
          <w:color w:val="auto"/>
        </w:rPr>
        <w:t>” means (a) with respect to the Term Loans, Revolving Loans and Swing Line Loans on any date, the outstanding principal amount thereof after giving effect to any borrowings and prepayments or repayments of Term Loans, Revolving Loans</w:t>
      </w:r>
    </w:p>
    <w:p>
      <w:pPr>
        <w:spacing w:after="0"/>
        <w:rPr>
          <w:sz w:val="20"/>
          <w:szCs w:val="20"/>
          <w:color w:val="auto"/>
        </w:rPr>
      </w:pPr>
      <w:r>
        <w:rPr>
          <w:rFonts w:ascii="Times New Roman" w:cs="Times New Roman" w:eastAsia="Times New Roman" w:hAnsi="Times New Roman"/>
          <w:sz w:val="20"/>
          <w:szCs w:val="20"/>
          <w:color w:val="auto"/>
        </w:rPr>
        <w:t>(including any refinancing of outstanding Unreimbursed Amounts under Letters of Credit or L/C Credit Extensions as a Revolving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20" w:top="139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Credit Borrowing) and Swing Line Loans, as the case may be, occurring on such date; and (b) with respect to any L/C Obligations on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date, the outstanding amount thereof on such date after giving effect to any related L/C Credit Extension occurring on such date and any other changes thereto as of such date, including as a result of any reimbursements of outstanding Unreimbursed Amounts under related</w:t>
      </w:r>
    </w:p>
    <w:p>
      <w:pPr>
        <w:spacing w:after="0" w:line="211" w:lineRule="auto"/>
        <w:rPr>
          <w:sz w:val="20"/>
          <w:szCs w:val="20"/>
          <w:color w:val="auto"/>
        </w:rPr>
      </w:pPr>
      <w:r>
        <w:rPr>
          <w:rFonts w:ascii="Times New Roman" w:cs="Times New Roman" w:eastAsia="Times New Roman" w:hAnsi="Times New Roman"/>
          <w:sz w:val="20"/>
          <w:szCs w:val="20"/>
          <w:color w:val="auto"/>
        </w:rPr>
        <w:t>Letters of Credit (including any refinancing of outstanding Unreimbursed Amounts under related Letters of Credit or related L/C Credit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Extensions as a Revolving Credit Borrowing) or any reductions in the maximum amount available for drawing under related Letters of Credit taking effect on such date.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the greater of the Federal Funds Effective Rate and an overnight rate determined by</w:t>
      </w: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 Agent, an Issuing Bank, or the Swing Line Lender, as applicable, in accordance with banking industry rules on interbank compensation.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10.06(g)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10.06(g)</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Revolving Credit Commitments</w:t>
      </w:r>
      <w:r>
        <w:rPr>
          <w:rFonts w:ascii="Times New Roman" w:cs="Times New Roman" w:eastAsia="Times New Roman" w:hAnsi="Times New Roman"/>
          <w:sz w:val="20"/>
          <w:szCs w:val="20"/>
          <w:color w:val="auto"/>
        </w:rPr>
        <w:t>” means (1) the Initial Revolving Credit Commitments (including any Extended Revolving Credit Commitments in respect thereof) and (2) those additional Revolving Commitments (and both (x) Revolving Commitment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Increases to such Class and (y) Extended Revolving Credit Commitments in respect thereof) established pursuant to an Incremental Amendment or a Refinancing Amendment for which an election has been made to include such Commitments for purposes of the issuance of</w:t>
      </w:r>
    </w:p>
    <w:p>
      <w:pPr>
        <w:spacing w:after="0" w:line="211" w:lineRule="auto"/>
        <w:rPr>
          <w:sz w:val="20"/>
          <w:szCs w:val="20"/>
          <w:color w:val="auto"/>
        </w:rPr>
      </w:pPr>
      <w:r>
        <w:rPr>
          <w:rFonts w:ascii="Times New Roman" w:cs="Times New Roman" w:eastAsia="Times New Roman" w:hAnsi="Times New Roman"/>
          <w:sz w:val="20"/>
          <w:szCs w:val="20"/>
          <w:color w:val="auto"/>
        </w:rPr>
        <w:t>Letters of Credit or the making of Swing Line Loans. At any time at which there is more than one Class of Participating Revolving Credit</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Commitments outstanding, the mechanics and arrangements with respect to the allocation of Letters of Credit and Swing Line Loans among such Classes will be subject to procedures agreed to by the Borrower Representative and Administrative Agent.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Revolving Credit Lender</w:t>
      </w:r>
      <w:r>
        <w:rPr>
          <w:rFonts w:ascii="Times New Roman" w:cs="Times New Roman" w:eastAsia="Times New Roman" w:hAnsi="Times New Roman"/>
          <w:sz w:val="20"/>
          <w:szCs w:val="20"/>
          <w:color w:val="auto"/>
        </w:rPr>
        <w:t>” means any Lender holding a Participating Revolving Credit Commitment.</w:t>
      </w:r>
    </w:p>
    <w:p>
      <w:pPr>
        <w:spacing w:after="0" w:line="121"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(USA PATRIOT Act of 2001).</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12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means all of the Obligations (other than (i) contingent indemnification obligations not due and payable, (ii) expense reimbursement obligations not due and payable, (iii) obligations under Cash Management Agreements or obligations under Secured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Interest Rate Agreements as to which arrangements reasonably satisfactory to the applicable Lender Counterparty have been made and (iv) any outstanding Letter of Credit (so long as the Outstanding Amount of the L/C Obligations related thereto has been Cash Collateralized or</w:t>
      </w:r>
    </w:p>
    <w:p>
      <w:pPr>
        <w:spacing w:after="0" w:line="211" w:lineRule="auto"/>
        <w:rPr>
          <w:sz w:val="20"/>
          <w:szCs w:val="20"/>
          <w:color w:val="auto"/>
        </w:rPr>
      </w:pPr>
      <w:r>
        <w:rPr>
          <w:rFonts w:ascii="Times New Roman" w:cs="Times New Roman" w:eastAsia="Times New Roman" w:hAnsi="Times New Roman"/>
          <w:sz w:val="20"/>
          <w:szCs w:val="20"/>
          <w:color w:val="auto"/>
        </w:rPr>
        <w:t>back-stopped by a letter of credit reasonably satisfactory to the applicable Issuing Bank or such Letter of Credit has been deemed reissued</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under another agreement reasonably acceptable to the applicable Issuing Bank) hereunder have been paid in full in cash. “</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shall have a correlative meaning.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Internal Revenue Code and ERISA regarding minimum funding standards and</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minimum required contributions (including any installment payment thereof) and set forth in Sections 412, 430, 431, 432 and 436 of the Internal Revenue Code and Sections 302, 303, 304 and 305 of ERISA.</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Benefit Plan, other than a Multiemployer Plan, which is subject to Section 412 of the Internal Revenue Code or Section 302 of ERISA.</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shall have the meaning set forth in the definition of “Term SOFR”.</w:t>
      </w:r>
    </w:p>
    <w:p>
      <w:pPr>
        <w:spacing w:after="0" w:line="15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means any transaction or series of related transactions by any Borrower or their respective 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Subsidiaries for (a) the direct or indirect acquisition of all or substantially all of the assets of any Person or any business unit, line of business or division thereof; (b) the acquisition of at least a majority (including by merger or consolidation) of the Capital Stock (other than director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1394" w:right="339" w:bottom="1440" w:gutter="0" w:footer="0" w:header="0"/>
        </w:sectPr>
      </w:pPr>
    </w:p>
    <w:bookmarkStart w:id="69" w:name="page70"/>
    <w:bookmarkEnd w:id="69"/>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qualifying shares) of any Person that becomes (or is merged with or consolidated into) a Restricted Subsidiary of any Borrower after giving effect to such transaction (including any Investment which serves to increase any Credit Party or Restricted Subsidiary’s direct or indirect equity ownership in any Joint Venture); or (c) a merger or consolidation or any other combination with any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conditions shall be met or waived by the Requisite Lenders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2000" w:hanging="642"/>
        <w:spacing w:after="0" w:line="268" w:lineRule="auto"/>
        <w:tabs>
          <w:tab w:leader="none" w:pos="177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Event of Default exists at the time of signing the definitive agreement with respect to such acquisition and (B) no Specified Event of Default exists immediately before and after giving Pro Forma Effect to the consummation of such acquisition;</w:t>
      </w:r>
    </w:p>
    <w:p>
      <w:pPr>
        <w:spacing w:after="0" w:line="161" w:lineRule="exact"/>
        <w:rPr>
          <w:rFonts w:ascii="Times New Roman" w:cs="Times New Roman" w:eastAsia="Times New Roman" w:hAnsi="Times New Roman"/>
          <w:sz w:val="20"/>
          <w:szCs w:val="20"/>
          <w:color w:val="auto"/>
        </w:rPr>
      </w:pPr>
    </w:p>
    <w:p>
      <w:pPr>
        <w:ind w:left="2000" w:hanging="642"/>
        <w:spacing w:after="0" w:line="283" w:lineRule="auto"/>
        <w:tabs>
          <w:tab w:leader="none" w:pos="179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consensual (not “hostile”) and has been approved by the board of directors (or equivalent governing body) of the Person to be acquired;</w:t>
      </w:r>
    </w:p>
    <w:p>
      <w:pPr>
        <w:spacing w:after="0" w:line="146" w:lineRule="exact"/>
        <w:rPr>
          <w:rFonts w:ascii="Times New Roman" w:cs="Times New Roman" w:eastAsia="Times New Roman" w:hAnsi="Times New Roman"/>
          <w:sz w:val="20"/>
          <w:szCs w:val="20"/>
          <w:color w:val="auto"/>
        </w:rPr>
      </w:pPr>
    </w:p>
    <w:p>
      <w:pPr>
        <w:ind w:left="2000" w:hanging="642"/>
        <w:spacing w:after="0" w:line="252" w:lineRule="auto"/>
        <w:tabs>
          <w:tab w:leader="none" w:pos="185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 created or directly acquired Restricted Subsidiary (or assets acquired by a Borrower or any Restricted Subsidiary) shall either (y) to the extent required by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become a Credit Party (or Collateral (other than Excluded Assets)) and comply with the requirements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(z) if such Restricted Subsidiary does not become a Credit Party (or its assets do not become Collateral (other than Excluded Assets)) and comply with the requirements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the aggregate purchase price paid in connection with such purchase or acquisition and all other such purchases or acquisitions described in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not exceed the greater of (1)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(2) 35.0% of Consolidated Adjusted EBITDA (calculated on a Pro Forma Basis) as of the last day of the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Borrowers and Restricted Subsidiaries may use proceeds of Permitted Stock Issuances to make Permitted Acquisitions without regard to the foregoing limit; and</w:t>
      </w:r>
    </w:p>
    <w:p>
      <w:pPr>
        <w:spacing w:after="0" w:line="177" w:lineRule="exact"/>
        <w:rPr>
          <w:rFonts w:ascii="Times New Roman" w:cs="Times New Roman" w:eastAsia="Times New Roman" w:hAnsi="Times New Roman"/>
          <w:sz w:val="20"/>
          <w:szCs w:val="20"/>
          <w:color w:val="auto"/>
        </w:rPr>
      </w:pPr>
    </w:p>
    <w:p>
      <w:pPr>
        <w:ind w:left="2000" w:hanging="642"/>
        <w:spacing w:after="0" w:line="283" w:lineRule="auto"/>
        <w:tabs>
          <w:tab w:leader="none" w:pos="189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 acquired Restricted Subsidiary’s line of business or property shall comply with the requirements of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Available Amount Usage</w:t>
      </w:r>
      <w:r>
        <w:rPr>
          <w:rFonts w:ascii="Times New Roman" w:cs="Times New Roman" w:eastAsia="Times New Roman" w:hAnsi="Times New Roman"/>
          <w:sz w:val="20"/>
          <w:szCs w:val="20"/>
          <w:color w:val="auto"/>
        </w:rPr>
        <w:t>” has the meaning set forth in the definition of “Available Amount”.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First Priority Refinancing Debt</w:t>
      </w:r>
      <w:r>
        <w:rPr>
          <w:rFonts w:ascii="Times New Roman" w:cs="Times New Roman" w:eastAsia="Times New Roman" w:hAnsi="Times New Roman"/>
          <w:sz w:val="20"/>
          <w:szCs w:val="20"/>
          <w:color w:val="auto"/>
        </w:rPr>
        <w:t>” means any secured Indebtedness incurred by a Borrower or any other Credit Party;</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provided (i) such Indebtedness is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Liens on the Collateral securing the Initial Term Loans and (ii) that such Indebtedness constitutes Credit Agreement Refinancing Indebtedness.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collectively, TCP and any member of his Family Group, and, in each case, the Affiliates of any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foregoing and any funds or managed accounts advised or managed by any Person who advises or manages, directly or indirectly, any of the foregoing or any of their Affiliates.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xml:space="preserve">” means each of the Investments permitted 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u w:val="single" w:color="auto"/>
          <w:color w:val="0000FF"/>
        </w:rPr>
        <w:t>“Permitted ISO Loan Receivables” means, collectively, all receivables and other payment rights (whether now existing or arising in the future) with respect to Permitted ISO Loans.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ISO Loans</w:t>
      </w:r>
      <w:r>
        <w:rPr>
          <w:rFonts w:ascii="Times New Roman" w:cs="Times New Roman" w:eastAsia="Times New Roman" w:hAnsi="Times New Roman"/>
          <w:sz w:val="19"/>
          <w:szCs w:val="19"/>
          <w:color w:val="auto"/>
        </w:rPr>
        <w:t>” means, collectively, all direct and indirect loans and advances by any Credit Party or Restricted Subsidiary to</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any third party reseller </w:t>
      </w:r>
      <w:r>
        <w:rPr>
          <w:rFonts w:ascii="Times New Roman" w:cs="Times New Roman" w:eastAsia="Times New Roman" w:hAnsi="Times New Roman"/>
          <w:sz w:val="20"/>
          <w:szCs w:val="20"/>
          <w:u w:val="single" w:color="auto"/>
          <w:color w:val="0000FF"/>
        </w:rPr>
        <w:t>or independent software vendor</w:t>
      </w:r>
      <w:r>
        <w:rPr>
          <w:rFonts w:ascii="Times New Roman" w:cs="Times New Roman" w:eastAsia="Times New Roman" w:hAnsi="Times New Roman"/>
          <w:sz w:val="20"/>
          <w:szCs w:val="20"/>
          <w:color w:val="auto"/>
        </w:rPr>
        <w:t xml:space="preserve"> engaged in the business of providing services relating to the authorization, transaction capture, settlement, chargeback handling and transaction processing of credit card and/or debit card transactions related to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40"/>
          </w:cols>
          <w:pgMar w:left="320" w:top="14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9"/>
          <w:szCs w:val="19"/>
          <w:color w:val="auto"/>
        </w:rPr>
        <w:t>payment industry or otherwise (each such Person, a “</w:t>
      </w:r>
      <w:r>
        <w:rPr>
          <w:rFonts w:ascii="Times New Roman" w:cs="Times New Roman" w:eastAsia="Times New Roman" w:hAnsi="Times New Roman"/>
          <w:sz w:val="19"/>
          <w:szCs w:val="19"/>
          <w:u w:val="single" w:color="auto"/>
          <w:color w:val="auto"/>
        </w:rPr>
        <w:t>Borrowing ISO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the aggregate principal amount of all such</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loans and advances at any time outstanding to all Borrowing ISOs shall not exceed the greater of (A) $</w:t>
      </w:r>
      <w:r>
        <w:rPr>
          <w:rFonts w:ascii="Times New Roman" w:cs="Times New Roman" w:eastAsia="Times New Roman" w:hAnsi="Times New Roman"/>
          <w:sz w:val="19"/>
          <w:szCs w:val="19"/>
          <w:color w:val="FF0000"/>
          <w:strike w:val="1"/>
        </w:rPr>
        <w:t>53,640,000</w:t>
      </w:r>
      <w:r>
        <w:rPr>
          <w:rFonts w:ascii="Times New Roman" w:cs="Times New Roman" w:eastAsia="Times New Roman" w:hAnsi="Times New Roman"/>
          <w:sz w:val="19"/>
          <w:szCs w:val="19"/>
          <w:u w:val="single" w:color="auto"/>
          <w:color w:val="0000FF"/>
        </w:rPr>
        <w:t>65,670,000</w:t>
      </w:r>
      <w:r>
        <w:rPr>
          <w:rFonts w:ascii="Times New Roman" w:cs="Times New Roman" w:eastAsia="Times New Roman" w:hAnsi="Times New Roman"/>
          <w:sz w:val="19"/>
          <w:szCs w:val="19"/>
          <w:color w:val="auto"/>
        </w:rPr>
        <w:t xml:space="preserve"> and (B) 30% of Consolidated Adjusted EBITDA as of the last day of the most recently ended Test Period, (ii) no Event of Default shall exist at the time of</w:t>
      </w:r>
    </w:p>
    <w:p>
      <w:pPr>
        <w:spacing w:after="0" w:line="228" w:lineRule="auto"/>
        <w:rPr>
          <w:sz w:val="20"/>
          <w:szCs w:val="20"/>
          <w:color w:val="auto"/>
        </w:rPr>
      </w:pPr>
      <w:r>
        <w:rPr>
          <w:rFonts w:ascii="Times New Roman" w:cs="Times New Roman" w:eastAsia="Times New Roman" w:hAnsi="Times New Roman"/>
          <w:sz w:val="20"/>
          <w:szCs w:val="20"/>
          <w:color w:val="auto"/>
        </w:rPr>
        <w:t>making any such loan or advance or shall be caused by the making of any such loan or advance and (iii) each such loan and advance shall be made in accordance with applicable laws.</w:t>
      </w:r>
    </w:p>
    <w:p>
      <w:pPr>
        <w:spacing w:after="0" w:line="9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Joint Venture</w:t>
      </w:r>
      <w:r>
        <w:rPr>
          <w:rFonts w:ascii="Times New Roman" w:cs="Times New Roman" w:eastAsia="Times New Roman" w:hAnsi="Times New Roman"/>
          <w:sz w:val="20"/>
          <w:szCs w:val="20"/>
          <w:color w:val="auto"/>
        </w:rPr>
        <w:t xml:space="preserve">” has the meaning set forth in the definition of “Permitted Joint Venture Investment”. The Permitted Joint Ventures existing as of the Closing Date are listed on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Joint Venture Investment</w:t>
      </w:r>
      <w:r>
        <w:rPr>
          <w:rFonts w:ascii="Times New Roman" w:cs="Times New Roman" w:eastAsia="Times New Roman" w:hAnsi="Times New Roman"/>
          <w:sz w:val="20"/>
          <w:szCs w:val="20"/>
          <w:color w:val="auto"/>
        </w:rPr>
        <w:t>” means any Investment by a Credit Party or a Restricted Subsidiary in any Person which is a corporation or other entity duly formed in accordance with the laws of its jurisdiction of organization and engaged in a line of business</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permitted by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xml:space="preserve"> (including a Borrowing ISO) (such Person, a “</w:t>
      </w:r>
      <w:r>
        <w:rPr>
          <w:rFonts w:ascii="Times New Roman" w:cs="Times New Roman" w:eastAsia="Times New Roman" w:hAnsi="Times New Roman"/>
          <w:sz w:val="20"/>
          <w:szCs w:val="20"/>
          <w:u w:val="single" w:color="auto"/>
          <w:color w:val="auto"/>
        </w:rPr>
        <w:t>Permitted Joint Venture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if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Investment is made by a Credit Party, such Credit Party shall have granted to Collateral Agent, for the benefit of Secured Parties, a First Priority perfected Lien on the Capital Stock in such Permitted Joint Venture held by such Credit Party, to the extent not expressly prohibited</w:t>
      </w:r>
    </w:p>
    <w:p>
      <w:pPr>
        <w:spacing w:after="0" w:line="211" w:lineRule="auto"/>
        <w:rPr>
          <w:sz w:val="20"/>
          <w:szCs w:val="20"/>
          <w:color w:val="auto"/>
        </w:rPr>
      </w:pPr>
      <w:r>
        <w:rPr>
          <w:rFonts w:ascii="Times New Roman" w:cs="Times New Roman" w:eastAsia="Times New Roman" w:hAnsi="Times New Roman"/>
          <w:sz w:val="20"/>
          <w:szCs w:val="20"/>
          <w:color w:val="auto"/>
        </w:rPr>
        <w:t>under the Organizational Documents of such Permitted Joint Venture; (ii) such Permitted Joint Venture shall be formed or organized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governed in a manner that limits the exposure of the Credit Parties and their Restricted Subsidiaries (excluding such Permitted Joint Venture) for the Indebtedness and liabilities (including with respect to capital calls and contingent liabilities) of such Permitted Joint Venture to the</w:t>
      </w:r>
    </w:p>
    <w:p>
      <w:pPr>
        <w:spacing w:after="0" w:line="211" w:lineRule="auto"/>
        <w:rPr>
          <w:sz w:val="20"/>
          <w:szCs w:val="20"/>
          <w:color w:val="auto"/>
        </w:rPr>
      </w:pPr>
      <w:r>
        <w:rPr>
          <w:rFonts w:ascii="Times New Roman" w:cs="Times New Roman" w:eastAsia="Times New Roman" w:hAnsi="Times New Roman"/>
          <w:sz w:val="20"/>
          <w:szCs w:val="20"/>
          <w:color w:val="auto"/>
        </w:rPr>
        <w:t>Investment of the Credit Parties and the Restricted Subsidiaries in such Permitted Joint Venture, and no Credit Party or its Restricted</w:t>
      </w:r>
    </w:p>
    <w:p>
      <w:pPr>
        <w:spacing w:after="0" w:line="204" w:lineRule="auto"/>
        <w:rPr>
          <w:sz w:val="20"/>
          <w:szCs w:val="20"/>
          <w:color w:val="auto"/>
        </w:rPr>
      </w:pPr>
      <w:r>
        <w:rPr>
          <w:rFonts w:ascii="Times New Roman" w:cs="Times New Roman" w:eastAsia="Times New Roman" w:hAnsi="Times New Roman"/>
          <w:sz w:val="20"/>
          <w:szCs w:val="20"/>
          <w:color w:val="auto"/>
        </w:rPr>
        <w:t>Subsidiaries (excluding such Permitted Joint Venture) shall incur or assume any Indebtedness in connection with such Permitted Joint Venture Investment except for Indebtedness permitted to be incurred under this Agreement; (iii) no Lien shall attach to the assets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Credit Party or its Restricted Subsidiaries (other than Liens on the Capital Stock of such Permitted Joint Venture held by such Credit Party or Restricted Subsidiary in the nature of customary rights of first refusal, tag-along rights, drag-along rights, buy-sell arrangements, voting</w:t>
      </w:r>
    </w:p>
    <w:p>
      <w:pPr>
        <w:spacing w:after="0" w:line="223" w:lineRule="auto"/>
        <w:rPr>
          <w:sz w:val="20"/>
          <w:szCs w:val="20"/>
          <w:color w:val="auto"/>
        </w:rPr>
      </w:pPr>
      <w:r>
        <w:rPr>
          <w:rFonts w:ascii="Times New Roman" w:cs="Times New Roman" w:eastAsia="Times New Roman" w:hAnsi="Times New Roman"/>
          <w:sz w:val="19"/>
          <w:szCs w:val="19"/>
          <w:color w:val="auto"/>
        </w:rPr>
        <w:t>rights agreements and other related arrangements, and excluding such Permitted Joint Venture) as a result of such Credit Party’s or Restricted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Subsidiary’s ownership of, or relationship with, any such Permitted Joint Venture; (iv)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 Transaction, no Event of Default shall exist at the time of any Investment in any such Permitted Joint Venture, nor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shall any Event of Default be caused thereby and (v) the board of directors (or similar governing body) of such Permitted Joint Venture shall have approved such Permitted Joint Venture Investment.</w:t>
      </w:r>
    </w:p>
    <w:p>
      <w:pPr>
        <w:spacing w:after="0" w:line="9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Junior Priority Refinancing Debt</w:t>
      </w:r>
      <w:r>
        <w:rPr>
          <w:rFonts w:ascii="Times New Roman" w:cs="Times New Roman" w:eastAsia="Times New Roman" w:hAnsi="Times New Roman"/>
          <w:sz w:val="20"/>
          <w:szCs w:val="20"/>
          <w:color w:val="auto"/>
        </w:rPr>
        <w:t>” means secured Indebtedness incurred by a Borrower or any other Credit Party; provided that (i) such Indebtedness is secured by the Collateral on a junior priority basis to the Liens on the Collateral securing the Initial</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Term Loans and the obligations in respect of any Permitted First Priority Refinancing Debt and (ii) such Indebtedness constitutes Credit Agreement Refinancing Indebtedness.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each of the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Ratio Debt</w:t>
      </w:r>
      <w:r>
        <w:rPr>
          <w:rFonts w:ascii="Times New Roman" w:cs="Times New Roman" w:eastAsia="Times New Roman" w:hAnsi="Times New Roman"/>
          <w:sz w:val="20"/>
          <w:szCs w:val="20"/>
          <w:color w:val="auto"/>
        </w:rPr>
        <w:t xml:space="preserve">” means any Indebtedness incurred pursuant to </w:t>
      </w:r>
      <w:r>
        <w:rPr>
          <w:rFonts w:ascii="Times New Roman" w:cs="Times New Roman" w:eastAsia="Times New Roman" w:hAnsi="Times New Roman"/>
          <w:sz w:val="20"/>
          <w:szCs w:val="20"/>
          <w:u w:val="single" w:color="auto"/>
          <w:color w:val="auto"/>
        </w:rPr>
        <w:t>Section 6.01(x)</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if applicable) thereof does not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exceed the principal amount (or accreted value, if applicable) of the Indebtedness so modified, refinanced, refunded, renewed, replaced or extended except by an amount equal to unpaid accrued interest and premium thereon plus other amounts owing or paid related to such</w:t>
      </w:r>
    </w:p>
    <w:p>
      <w:pPr>
        <w:spacing w:after="0" w:line="211" w:lineRule="auto"/>
        <w:rPr>
          <w:sz w:val="20"/>
          <w:szCs w:val="20"/>
          <w:color w:val="auto"/>
        </w:rPr>
      </w:pPr>
      <w:r>
        <w:rPr>
          <w:rFonts w:ascii="Times New Roman" w:cs="Times New Roman" w:eastAsia="Times New Roman" w:hAnsi="Times New Roman"/>
          <w:sz w:val="20"/>
          <w:szCs w:val="20"/>
          <w:color w:val="auto"/>
        </w:rPr>
        <w:t>Indebtedness plus fees and expenses reasonably incurred (including original issue discount and upfront fees), in connection with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modification, refinancing, refunding, renewal, replacement or extension and by an amount equal to any existing commitments unutilized thereunder, (b) other than with respect to a Permitted Refinancing (x) in respect of Indebtedness permitted pursuant to </w:t>
      </w:r>
      <w:r>
        <w:rPr>
          <w:rFonts w:ascii="Times New Roman" w:cs="Times New Roman" w:eastAsia="Times New Roman" w:hAnsi="Times New Roman"/>
          <w:sz w:val="20"/>
          <w:szCs w:val="20"/>
          <w:u w:val="single" w:color="auto"/>
          <w:color w:val="auto"/>
        </w:rPr>
        <w:t>Section 6.01(j)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p>
    <w:p>
      <w:pPr>
        <w:spacing w:after="0" w:line="211" w:lineRule="auto"/>
        <w:rPr>
          <w:sz w:val="20"/>
          <w:szCs w:val="20"/>
          <w:color w:val="auto"/>
        </w:rPr>
      </w:pPr>
      <w:r>
        <w:rPr>
          <w:rFonts w:ascii="Times New Roman" w:cs="Times New Roman" w:eastAsia="Times New Roman" w:hAnsi="Times New Roman"/>
          <w:sz w:val="20"/>
          <w:szCs w:val="20"/>
          <w:color w:val="auto"/>
        </w:rPr>
        <w:t>consisting of a customary bridge facility, so long as such customary bridge facility by its terms will automatically be converted into,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exchanged for, long-term Indebtedness that satisfies the requirements set forth in this clause (b) or (z) incurred in reliance on the Inside Maturity Basket, such modification, refinancing, refunding, renewal, replacement or extension has a final maturity date equal to or later than</w:t>
      </w:r>
    </w:p>
    <w:p>
      <w:pPr>
        <w:spacing w:after="0" w:line="228" w:lineRule="auto"/>
        <w:rPr>
          <w:sz w:val="20"/>
          <w:szCs w:val="20"/>
          <w:color w:val="auto"/>
        </w:rPr>
      </w:pPr>
      <w:r>
        <w:rPr>
          <w:rFonts w:ascii="Times New Roman" w:cs="Times New Roman" w:eastAsia="Times New Roman" w:hAnsi="Times New Roman"/>
          <w:sz w:val="20"/>
          <w:szCs w:val="20"/>
          <w:color w:val="auto"/>
        </w:rPr>
        <w:t>the final maturity date of, and has a Weighted Average Life to Maturity equal to or greater than the Weighted Average Life to Maturity of, the Indebtedness being modified, refinanced, refunded,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40"/>
          </w:cols>
          <w:pgMar w:left="320" w:top="139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color w:val="auto"/>
        </w:rPr>
        <w:t>renewed, replaced or extended (or has a maturity date equal to or later than the Latest Maturity Date, or a Weighted Average Life to Maturity</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equal to or greater than any Term Loan outstanding at such time), (c) other than with respect to a Permitted Refinancing in respect of Indebtedness permitted pursuant to </w:t>
      </w:r>
      <w:r>
        <w:rPr>
          <w:rFonts w:ascii="Times New Roman" w:cs="Times New Roman" w:eastAsia="Times New Roman" w:hAnsi="Times New Roman"/>
          <w:sz w:val="20"/>
          <w:szCs w:val="20"/>
          <w:u w:val="single" w:color="auto"/>
          <w:color w:val="auto"/>
        </w:rPr>
        <w:t>Section 6.01(j)</w:t>
      </w:r>
      <w:r>
        <w:rPr>
          <w:rFonts w:ascii="Times New Roman" w:cs="Times New Roman" w:eastAsia="Times New Roman" w:hAnsi="Times New Roman"/>
          <w:sz w:val="20"/>
          <w:szCs w:val="20"/>
          <w:color w:val="auto"/>
        </w:rPr>
        <w:t xml:space="preserve"> and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w:t>
      </w:r>
    </w:p>
    <w:p>
      <w:pPr>
        <w:spacing w:after="0" w:line="211" w:lineRule="auto"/>
        <w:rPr>
          <w:sz w:val="20"/>
          <w:szCs w:val="20"/>
          <w:color w:val="auto"/>
        </w:rPr>
      </w:pPr>
      <w:r>
        <w:rPr>
          <w:rFonts w:ascii="Times New Roman" w:cs="Times New Roman" w:eastAsia="Times New Roman" w:hAnsi="Times New Roman"/>
          <w:sz w:val="20"/>
          <w:szCs w:val="20"/>
          <w:color w:val="auto"/>
        </w:rPr>
        <w:t>Transaction, at the time thereof, no Event of Default shall have occurred and be continuing, (d) if such Indebtedness being modified,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refinanced, refunded, renewed, replaced or extended is Subordinated Indebtedness, then such modification, refinancing, refunding, renewal, replacement or extension is subordinated in right of payment to the Obligations on terms at least as favorable to the Lenders, taken as a</w:t>
      </w:r>
    </w:p>
    <w:p>
      <w:pPr>
        <w:spacing w:after="0" w:line="211" w:lineRule="auto"/>
        <w:rPr>
          <w:sz w:val="20"/>
          <w:szCs w:val="20"/>
          <w:color w:val="auto"/>
        </w:rPr>
      </w:pPr>
      <w:r>
        <w:rPr>
          <w:rFonts w:ascii="Times New Roman" w:cs="Times New Roman" w:eastAsia="Times New Roman" w:hAnsi="Times New Roman"/>
          <w:sz w:val="20"/>
          <w:szCs w:val="20"/>
          <w:color w:val="auto"/>
        </w:rPr>
        <w:t>whole, as those contained in the documentation governing the Indebtedness being modified, refinanced, refunded, renewed, replaced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extended, (e) to the extent such Indebtedness being modified, refinanced, refunded, renewed, replaced or extended is secured by the Collateral and/or subject to intercreditor arrangements for the benefit of the Lenders, such modification, refinancing, refunding, renewal,</w:t>
      </w:r>
    </w:p>
    <w:p>
      <w:pPr>
        <w:spacing w:after="0" w:line="211" w:lineRule="auto"/>
        <w:rPr>
          <w:sz w:val="20"/>
          <w:szCs w:val="20"/>
          <w:color w:val="auto"/>
        </w:rPr>
      </w:pPr>
      <w:r>
        <w:rPr>
          <w:rFonts w:ascii="Times New Roman" w:cs="Times New Roman" w:eastAsia="Times New Roman" w:hAnsi="Times New Roman"/>
          <w:sz w:val="20"/>
          <w:szCs w:val="20"/>
          <w:color w:val="auto"/>
        </w:rPr>
        <w:t>replacement or extension is either (1) unsecured or (2) secured and, if so secured, subject to intercreditor arrangements on terms at least 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favorable (including with respect to priority) to the Lenders, taken as a whole, as those contained in the documentation governing the Indebtedness being modified, refinanced, refunded, renewed, replaced or extended, (f) any such modification, refinancing, renewal,</w:t>
      </w:r>
    </w:p>
    <w:p>
      <w:pPr>
        <w:spacing w:after="0" w:line="211" w:lineRule="auto"/>
        <w:rPr>
          <w:sz w:val="20"/>
          <w:szCs w:val="20"/>
          <w:color w:val="auto"/>
        </w:rPr>
      </w:pPr>
      <w:r>
        <w:rPr>
          <w:rFonts w:ascii="Times New Roman" w:cs="Times New Roman" w:eastAsia="Times New Roman" w:hAnsi="Times New Roman"/>
          <w:sz w:val="20"/>
          <w:szCs w:val="20"/>
          <w:color w:val="auto"/>
        </w:rPr>
        <w:t>replacement or extension does not have any obligor that was not an obligor in respect of the Indebtedness being modified, refinanced,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refunded, renewed, replaced or extended and (g) if such Indebtedness being modified, refinanced, refunded, renewed, replaced or extended is unsecured, such modification, refinancing, refunding, renewal, replacement or extension is either unsecured or subject to Liens only to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extent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Permitted Refinancing in respect of any Incremental Equivalent Debt, any Credit</w:t>
      </w:r>
    </w:p>
    <w:p>
      <w:pPr>
        <w:jc w:val="both"/>
        <w:spacing w:after="0" w:line="204" w:lineRule="auto"/>
        <w:rPr>
          <w:sz w:val="20"/>
          <w:szCs w:val="20"/>
          <w:color w:val="auto"/>
        </w:rPr>
      </w:pPr>
      <w:r>
        <w:rPr>
          <w:rFonts w:ascii="Times New Roman" w:cs="Times New Roman" w:eastAsia="Times New Roman" w:hAnsi="Times New Roman"/>
          <w:sz w:val="20"/>
          <w:szCs w:val="20"/>
          <w:color w:val="auto"/>
        </w:rPr>
        <w:t>Agreement Refinancing Indebtedness or Indebtedness incurred pursuant to Section 6.01(x) (other than to the extent such guarantee or Lien is incurred in reliance on the Non-Credit Party Subsidiaries Ratio Debt Sublimit) may not be guaranteed by a Subsidiary other than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Guarantors or secured by assets that are not Collateral unless such assets are contemporaneously included as Collateral and such Subsidiary becomes a Guarantor, in each case, pursuant to the terms of this Agreement and the other Credit Documents. Any reference to a Permitted</w:t>
      </w:r>
    </w:p>
    <w:p>
      <w:pPr>
        <w:spacing w:after="0" w:line="211" w:lineRule="auto"/>
        <w:rPr>
          <w:sz w:val="20"/>
          <w:szCs w:val="20"/>
          <w:color w:val="auto"/>
        </w:rPr>
      </w:pPr>
      <w:r>
        <w:rPr>
          <w:rFonts w:ascii="Times New Roman" w:cs="Times New Roman" w:eastAsia="Times New Roman" w:hAnsi="Times New Roman"/>
          <w:sz w:val="20"/>
          <w:szCs w:val="20"/>
          <w:color w:val="auto"/>
        </w:rPr>
        <w:t>Refinancing in this Agreement or any other Credit Document shall be interpreted to mean (a) a Permitted Refinancing of the subject</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Indebtedness and (b) any further refinancings constituting a Permitted Refinancing of the Indebtedness resulting from a prior Permitted Refinancing.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“Permitted Residual Financing” means a transaction or series of transactions that may be entered into by any Residual Financing</w:t>
      </w:r>
    </w:p>
    <w:p>
      <w:pPr>
        <w:jc w:val="both"/>
        <w:ind w:right="20"/>
        <w:spacing w:after="0" w:line="215" w:lineRule="auto"/>
        <w:rPr>
          <w:sz w:val="20"/>
          <w:szCs w:val="20"/>
          <w:color w:val="auto"/>
        </w:rPr>
      </w:pPr>
      <w:r>
        <w:rPr>
          <w:rFonts w:ascii="Times New Roman" w:cs="Times New Roman" w:eastAsia="Times New Roman" w:hAnsi="Times New Roman"/>
          <w:sz w:val="19"/>
          <w:szCs w:val="19"/>
          <w:u w:val="single" w:color="auto"/>
          <w:color w:val="0000FF"/>
        </w:rPr>
        <w:t>Entity pursuant to which the Initial Borrower or any Subsidiary may sell, contribute, convey, assign or otherwise transfer Residual Financing Assets to such Residual Financing Entity, which may include a backup or precautionary grant of security interest in such Residual Financing</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Assets so sold, contributed, conveyed, assigned or otherwise transferred; provided that the Indebtedness thereunder is non-recourse to the</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000FF"/>
        </w:rPr>
        <w:t>Borrower or any Subsidiary (other than the Residual Financing Entities and except for Standard Securitization Undertakings (including, without limitation, that certain Limited Guarantee Agreement, dated as of the Residual Financing Closing Date (the “Permitted Residual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u w:val="single" w:color="auto"/>
          <w:color w:val="0000FF"/>
        </w:rPr>
        <w:t>Guaranty”), by the Initial Borrower in favor of VP Capital, L.P., as administrative agent and collateral agent under the Permitted Residual Financing)).</w:t>
      </w:r>
    </w:p>
    <w:p>
      <w:pPr>
        <w:spacing w:after="0" w:line="9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Stock Issuances</w:t>
      </w:r>
      <w:r>
        <w:rPr>
          <w:rFonts w:ascii="Times New Roman" w:cs="Times New Roman" w:eastAsia="Times New Roman" w:hAnsi="Times New Roman"/>
          <w:sz w:val="20"/>
          <w:szCs w:val="20"/>
          <w:color w:val="auto"/>
        </w:rPr>
        <w:t>” means any sale, transfer, issuance or other disposition of any Capital Stock by the Initial Borrower (or any direct or indirect parent of the Initial Borrower) or any Restricted Subsidiary in accordance with its Organizational Documents, other than Disqualified Capital Stock, in each case, to the extent not resulting in a Change of Control.</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Tax Payments</w:t>
      </w:r>
      <w:r>
        <w:rPr>
          <w:rFonts w:ascii="Times New Roman" w:cs="Times New Roman" w:eastAsia="Times New Roman" w:hAnsi="Times New Roman"/>
          <w:sz w:val="20"/>
          <w:szCs w:val="20"/>
          <w:color w:val="auto"/>
        </w:rPr>
        <w:t>” means, for any taxable period in which a Borrower (and, if applicable, any of its Subsidiaries) is a member of a consolidated, combined or similar income tax group (or is disregarded as separate from a member of such a group) of which 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direct or indirect parent is the common parent (a “</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cash distributions made by such Borrower (and, if applicable, any of its Subsidiaries) to such common parent the proceeds of which are necessary to permit such common parent to pay the portion of any U.S.</w:t>
      </w:r>
    </w:p>
    <w:p>
      <w:pPr>
        <w:spacing w:after="0" w:line="211" w:lineRule="auto"/>
        <w:rPr>
          <w:sz w:val="20"/>
          <w:szCs w:val="20"/>
          <w:color w:val="auto"/>
        </w:rPr>
      </w:pPr>
      <w:r>
        <w:rPr>
          <w:rFonts w:ascii="Times New Roman" w:cs="Times New Roman" w:eastAsia="Times New Roman" w:hAnsi="Times New Roman"/>
          <w:sz w:val="20"/>
          <w:szCs w:val="20"/>
          <w:color w:val="auto"/>
        </w:rPr>
        <w:t>federal, state or local income Tax (as applicable) of such Tax Group for such taxable period that is attributable to the income of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Borrower and/or its Subsidiaries; provided that, for each taxable period, the amount of such payments made in respect of such taxable period in the aggregate shall not exceed the amount that such Borrower and its Subsidiaries would have been required to pay as a stand-alone</w:t>
      </w:r>
    </w:p>
    <w:p>
      <w:pPr>
        <w:jc w:val="both"/>
        <w:spacing w:after="0" w:line="228" w:lineRule="auto"/>
        <w:rPr>
          <w:sz w:val="20"/>
          <w:szCs w:val="20"/>
          <w:color w:val="auto"/>
        </w:rPr>
      </w:pPr>
      <w:r>
        <w:rPr>
          <w:rFonts w:ascii="Times New Roman" w:cs="Times New Roman" w:eastAsia="Times New Roman" w:hAnsi="Times New Roman"/>
          <w:sz w:val="20"/>
          <w:szCs w:val="20"/>
          <w:color w:val="auto"/>
        </w:rPr>
        <w:t>consolidated, combined or similar income tax group; provided further, that, any such payments that are attributable to the taxable income of any Unrestricted Subsidiary will be permitted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40"/>
          </w:cols>
          <w:pgMar w:left="320" w:top="13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only to the extent of the amount of cash distributions made by such Unrestricted Subsidiary to a Borrower or any Restricted Subsidiary for the purpose of paying such taxes of such Tax Group.</w:t>
      </w:r>
    </w:p>
    <w:p>
      <w:pPr>
        <w:spacing w:after="0" w:line="94"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Unsecured Refinancing Debt</w:t>
      </w:r>
      <w:r>
        <w:rPr>
          <w:rFonts w:ascii="Times New Roman" w:cs="Times New Roman" w:eastAsia="Times New Roman" w:hAnsi="Times New Roman"/>
          <w:sz w:val="20"/>
          <w:szCs w:val="20"/>
          <w:color w:val="auto"/>
        </w:rPr>
        <w:t>” means unsecured Indebtedness incurred by a Borrower or any other Credit Party; provided that such Indebtedness constitutes Credit Agreement Refinancing Indebtedness.</w:t>
      </w:r>
    </w:p>
    <w:p>
      <w:pPr>
        <w:spacing w:after="0" w:line="10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and includes natural persons, corporations, limited partnerships, general partnerships, limited liability companies, limited liability partnerships, joint stock companies, Joint Ventures, associations, companies, trusts, banks, trust companies, land trusts,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trusts, Governmental Authorities or other organizations or entities, whether or not legal entities.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10.06(i)(iv)</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and Security Agreement</w:t>
      </w:r>
      <w:r>
        <w:rPr>
          <w:rFonts w:ascii="Times New Roman" w:cs="Times New Roman" w:eastAsia="Times New Roman" w:hAnsi="Times New Roman"/>
          <w:sz w:val="20"/>
          <w:szCs w:val="20"/>
          <w:color w:val="auto"/>
        </w:rPr>
        <w:t>” means the Pledge and Security Agreement, dated as of the Closing Date, by and among the Credit Parties and Collateral Agent.</w:t>
      </w:r>
    </w:p>
    <w:p>
      <w:pPr>
        <w:spacing w:after="0" w:line="1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 Agreement Documents</w:t>
      </w:r>
      <w:r>
        <w:rPr>
          <w:rFonts w:ascii="Times New Roman" w:cs="Times New Roman" w:eastAsia="Times New Roman" w:hAnsi="Times New Roman"/>
          <w:sz w:val="20"/>
          <w:szCs w:val="20"/>
          <w:color w:val="auto"/>
        </w:rPr>
        <w:t>” means the Preferred Stock Agreement and the other agreements, instruments and other documents related thereto or executed in connection therewith.</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 Facility</w:t>
      </w:r>
      <w:r>
        <w:rPr>
          <w:rFonts w:ascii="Times New Roman" w:cs="Times New Roman" w:eastAsia="Times New Roman" w:hAnsi="Times New Roman"/>
          <w:sz w:val="20"/>
          <w:szCs w:val="20"/>
          <w:color w:val="auto"/>
        </w:rPr>
        <w:t>” means the Capital Stock of PRTH issued pursuant to the Preferred Stock Agreement.</w:t>
      </w:r>
    </w:p>
    <w:p>
      <w:pPr>
        <w:spacing w:after="0" w:line="13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 Agreement</w:t>
      </w:r>
      <w:r>
        <w:rPr>
          <w:rFonts w:ascii="Times New Roman" w:cs="Times New Roman" w:eastAsia="Times New Roman" w:hAnsi="Times New Roman"/>
          <w:sz w:val="20"/>
          <w:szCs w:val="20"/>
          <w:color w:val="auto"/>
        </w:rPr>
        <w:t>” means that Purchase Agreement, dated as of April 27, 2021, among PRTH and the investors party thereto, providing for the Preferred Stock Facility, as it may be amended, restated, amended and restated, supplemented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modified from time to time in accordance with the terms thereof or otherwise in a manner reasonably satisfactory to Administrative Agent.</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per annum determined from time to time by Truist as its prime rate in effect at its Principal Office and notified to the Borrower Representative. The prime rate is a rate set by Truist based upon various factors including Truist’s costs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desired return, general economic conditions and other factors, and is used as a reference point for pricing some loans, which may be priced at, above, or below such rate. The Prime Rate is a reference rate and does not necessarily represent the lowest or best rate actually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charged to any customer. Any Agent or Lender may make commercial loans or other loans at rates of interest at, above or below the Prime Rate.</w:t>
      </w:r>
    </w:p>
    <w:p>
      <w:pPr>
        <w:spacing w:after="0" w:line="9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xml:space="preserve">” means, for Administrative Agent, its “Principal Office”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or such other office as Administrative Agent may from time to time designate in writing to Borrower Representative and each Lender.</w:t>
      </w:r>
    </w:p>
    <w:p>
      <w:pPr>
        <w:spacing w:after="0" w:line="10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with respect to compliance with any test or covenant or calculation of any ratio hereunder, the determination or calculation of such test, covenant or ratio (including in connection with Specified Transactions)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Compliance</w:t>
      </w:r>
      <w:r>
        <w:rPr>
          <w:rFonts w:ascii="Times New Roman" w:cs="Times New Roman" w:eastAsia="Times New Roman" w:hAnsi="Times New Roman"/>
          <w:sz w:val="20"/>
          <w:szCs w:val="20"/>
          <w:color w:val="auto"/>
        </w:rPr>
        <w:t>” means compliance with the Financial Covenant on a Pro Forma Basis.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 each Lender, at any time a fraction (expressed as a percentage, carried out to the ninth</w:t>
      </w:r>
    </w:p>
    <w:p>
      <w:pPr>
        <w:spacing w:after="0" w:line="204" w:lineRule="auto"/>
        <w:rPr>
          <w:sz w:val="20"/>
          <w:szCs w:val="20"/>
          <w:color w:val="auto"/>
        </w:rPr>
      </w:pPr>
      <w:r>
        <w:rPr>
          <w:rFonts w:ascii="Times New Roman" w:cs="Times New Roman" w:eastAsia="Times New Roman" w:hAnsi="Times New Roman"/>
          <w:sz w:val="20"/>
          <w:szCs w:val="20"/>
          <w:color w:val="auto"/>
        </w:rPr>
        <w:t>decimal place), the numerator of which is the amount of the Commitments and, if applicable and without duplication, Term Loans of such Lender under the applicable Facility or Facilities at such time and the denominator of which is the amount of the Aggregate Commitments</w:t>
      </w:r>
    </w:p>
    <w:p>
      <w:pPr>
        <w:spacing w:after="0" w:line="223" w:lineRule="auto"/>
        <w:rPr>
          <w:sz w:val="20"/>
          <w:szCs w:val="20"/>
          <w:color w:val="auto"/>
        </w:rPr>
      </w:pPr>
      <w:r>
        <w:rPr>
          <w:rFonts w:ascii="Times New Roman" w:cs="Times New Roman" w:eastAsia="Times New Roman" w:hAnsi="Times New Roman"/>
          <w:sz w:val="19"/>
          <w:szCs w:val="19"/>
          <w:color w:val="auto"/>
        </w:rPr>
        <w:t>under the applicable Facility or Facilities and, if applicable and without duplication, Term Loans under the applicable Facility or Facilities at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Revolving Commitments of any Class, if such Commitments have been terminated, then the Pro Rata Share of each Lender shall be determined based on the Pro Rata Share of such Lender immediately prior to such termination and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giving effect to any subsequent assignments made pursuant to the terms hereof.</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Processor</w:t>
      </w:r>
      <w:r>
        <w:rPr>
          <w:rFonts w:ascii="Times New Roman" w:cs="Times New Roman" w:eastAsia="Times New Roman" w:hAnsi="Times New Roman"/>
          <w:sz w:val="20"/>
          <w:szCs w:val="20"/>
          <w:color w:val="auto"/>
        </w:rPr>
        <w:t>” has the meaning set forth in the definition of “Processor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40"/>
          </w:cols>
          <w:pgMar w:left="320" w:top="1399"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Processor Agreement</w:t>
      </w:r>
      <w:r>
        <w:rPr>
          <w:rFonts w:ascii="Times New Roman" w:cs="Times New Roman" w:eastAsia="Times New Roman" w:hAnsi="Times New Roman"/>
          <w:sz w:val="19"/>
          <w:szCs w:val="19"/>
          <w:color w:val="auto"/>
        </w:rPr>
        <w:t>” means an agreement, by and between a Borrower or a Restricted Subsidiary, as applicable, and the applicable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Sponsor Bank or other third party data processor (the “</w:t>
      </w:r>
      <w:r>
        <w:rPr>
          <w:rFonts w:ascii="Times New Roman" w:cs="Times New Roman" w:eastAsia="Times New Roman" w:hAnsi="Times New Roman"/>
          <w:sz w:val="20"/>
          <w:szCs w:val="20"/>
          <w:u w:val="single" w:color="auto"/>
          <w:color w:val="auto"/>
        </w:rPr>
        <w:t>Processor</w:t>
      </w:r>
      <w:r>
        <w:rPr>
          <w:rFonts w:ascii="Times New Roman" w:cs="Times New Roman" w:eastAsia="Times New Roman" w:hAnsi="Times New Roman"/>
          <w:sz w:val="20"/>
          <w:szCs w:val="20"/>
          <w:color w:val="auto"/>
        </w:rPr>
        <w:t>”), which provides for credit card and/or debit card transaction processing and related services to Merchants pursuant to one or more Approved Bank Card Systems (including services relating to the authorization,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capture, settlement, chargeback handling and transaction processing of credit card and debit card transactions).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PRTH</w:t>
      </w:r>
      <w:r>
        <w:rPr>
          <w:rFonts w:ascii="Times New Roman" w:cs="Times New Roman" w:eastAsia="Times New Roman" w:hAnsi="Times New Roman"/>
          <w:sz w:val="20"/>
          <w:szCs w:val="20"/>
          <w:color w:val="auto"/>
        </w:rPr>
        <w:t>” means Priority Technology Holdings, Inc.</w:t>
      </w:r>
    </w:p>
    <w:p>
      <w:pPr>
        <w:spacing w:after="0" w:line="12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PRTH Pledge Agreement</w:t>
      </w:r>
      <w:r>
        <w:rPr>
          <w:rFonts w:ascii="Times New Roman" w:cs="Times New Roman" w:eastAsia="Times New Roman" w:hAnsi="Times New Roman"/>
          <w:sz w:val="20"/>
          <w:szCs w:val="20"/>
          <w:color w:val="auto"/>
        </w:rPr>
        <w:t>” means the Equity Holder Pledge and Security Agreement, dated as of the Closing Date, made by PRTH in favor of the Collateral Agent.</w:t>
      </w:r>
    </w:p>
    <w:p>
      <w:pPr>
        <w:spacing w:after="0" w:line="1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means any Capital Stock that is not Disqualified Capital Stock.</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Designated Restricted Subsidiary Investment</w:t>
      </w:r>
      <w:r>
        <w:rPr>
          <w:rFonts w:ascii="Times New Roman" w:cs="Times New Roman" w:eastAsia="Times New Roman" w:hAnsi="Times New Roman"/>
          <w:sz w:val="20"/>
          <w:szCs w:val="20"/>
          <w:color w:val="auto"/>
        </w:rPr>
        <w:t>” means any Investment made by a Designated Restricted Subsidiary</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 is not made with the proceeds of any Investment in such Designated Restricted Subsidiary by any Credit Party or Restricted Subsidiary (other than a Designated Restricted Subsidiary).</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Obligations, each Credit Party that, at the time the relevant guaranty (or</w:t>
      </w:r>
    </w:p>
    <w:p>
      <w:pPr>
        <w:spacing w:after="0" w:line="204" w:lineRule="auto"/>
        <w:rPr>
          <w:sz w:val="20"/>
          <w:szCs w:val="20"/>
          <w:color w:val="auto"/>
        </w:rPr>
      </w:pPr>
      <w:r>
        <w:rPr>
          <w:rFonts w:ascii="Times New Roman" w:cs="Times New Roman" w:eastAsia="Times New Roman" w:hAnsi="Times New Roman"/>
          <w:sz w:val="20"/>
          <w:szCs w:val="20"/>
          <w:color w:val="auto"/>
        </w:rPr>
        <w:t>grant of the relevant security interest, as applicable) becomes or would become effective with respect to such Swap Obligations, has total assets exceeding $10,000,000 or such other Person as constitutes an “eligible contract participant” under the Commodity Exchange Act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regulations promulgated thereunder and which may cause another Person to qualify as an “eligible contract participant” with respect to such Swap Obligations at such time by entering into a keepwell pursuant to section 1a(18)(A)(v)(II) of the Commodity Exchange Act (or any</w:t>
      </w:r>
    </w:p>
    <w:p>
      <w:pPr>
        <w:spacing w:after="0"/>
        <w:rPr>
          <w:sz w:val="20"/>
          <w:szCs w:val="20"/>
          <w:color w:val="auto"/>
        </w:rPr>
      </w:pPr>
      <w:r>
        <w:rPr>
          <w:rFonts w:ascii="Times New Roman" w:cs="Times New Roman" w:eastAsia="Times New Roman" w:hAnsi="Times New Roman"/>
          <w:sz w:val="20"/>
          <w:szCs w:val="20"/>
          <w:color w:val="auto"/>
        </w:rPr>
        <w:t>successor provision thereto).</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Receivables Financing</w:t>
      </w:r>
      <w:r>
        <w:rPr>
          <w:rFonts w:ascii="Times New Roman" w:cs="Times New Roman" w:eastAsia="Times New Roman" w:hAnsi="Times New Roman"/>
          <w:sz w:val="20"/>
          <w:szCs w:val="20"/>
          <w:color w:val="auto"/>
        </w:rPr>
        <w:t>” means any Receivables Financing that meets the following conditions:</w:t>
      </w:r>
    </w:p>
    <w:p>
      <w:pPr>
        <w:spacing w:after="0" w:line="135" w:lineRule="exact"/>
        <w:rPr>
          <w:sz w:val="20"/>
          <w:szCs w:val="20"/>
          <w:color w:val="auto"/>
        </w:rPr>
      </w:pPr>
    </w:p>
    <w:p>
      <w:pPr>
        <w:jc w:val="both"/>
        <w:ind w:left="660" w:right="20" w:hanging="328"/>
        <w:spacing w:after="0" w:line="268" w:lineRule="auto"/>
        <w:tabs>
          <w:tab w:leader="none" w:pos="6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Borrower shall have determined in good faith that such Qualified Receivables Financing (including financing terms, covenants, termination events and other provisions) is in the aggregate economically fair and reasonable to the Initial Borrower and its Restricted Subsidiaries,</w:t>
      </w:r>
    </w:p>
    <w:p>
      <w:pPr>
        <w:spacing w:after="0" w:line="10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sales, conveyances, assignments and/or contributions of Receivables Assets by the Initial Borrower or any Restricted Subsidiary to any Receivables Subsidiary and by any Receivables Subsidiary to any other Person are made at fair market value (as determined in good faith by the Borrower Representative), and</w:t>
      </w:r>
    </w:p>
    <w:p>
      <w:pPr>
        <w:spacing w:after="0" w:line="12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financing terms, covenants, termination events and other provisions thereof shall be market terms at the time such Receivables Financing is first entered into (as determined in good faith by the Borrower Representative) and may include Standard Securitization Undertakings.</w:t>
      </w:r>
    </w:p>
    <w:p>
      <w:pPr>
        <w:spacing w:after="0" w:line="11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any right, title and interest in real property (including all land, buildings, fixtures or other improvements located thereon) now, hereafter or heretofore owned, leased, operated or used by any Credit Party or any of its Subsidiaries or any of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 predecessors or Affiliates.</w:t>
      </w:r>
    </w:p>
    <w:p>
      <w:pPr>
        <w:spacing w:after="0" w:line="12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means accounts receivable (whether now existing or arising in the future) of the Initial Borrower or any of its Restricted Subsidiaries that are subject to a Qualified Receivables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40"/>
          </w:cols>
          <w:pgMar w:left="320" w:top="1399"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Financing and any assets related thereto including, without limitation, all collateral securing such accounts receivable, all contracts and all guarantees or other payment support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non-recourse, asset securitization or factoring transactions involving accounts receivable and any swap contracts entered into by the Initial Borrower or any such Restricted Subsidiary in connection with such accounts receivable.</w:t>
      </w:r>
    </w:p>
    <w:p>
      <w:pPr>
        <w:spacing w:after="0" w:line="8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Financing</w:t>
      </w:r>
      <w:r>
        <w:rPr>
          <w:rFonts w:ascii="Times New Roman" w:cs="Times New Roman" w:eastAsia="Times New Roman" w:hAnsi="Times New Roman"/>
          <w:sz w:val="19"/>
          <w:szCs w:val="19"/>
          <w:color w:val="auto"/>
        </w:rPr>
        <w:t>” means any transaction or series of transactions that may be entered into by the Initial Borrower or any Restricted Subsidiary pursuant to which the Initial Borrower or any such Restricted Subsidiary may sell, contribute, convey, assign or otherwise transfer Receivables Assets to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a Receivables Subsidiary (in the case of a transfer by the Initial Borrower or any of its Restricted Subsidiaries),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any other Person (in the case of a transfer by a Receivables Subsidiary), which in either case, may include a backup or precautionary grant of security interest in such Receivables Assets so sold, contributed, conveyed, assigned or otherwise transferred.</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Repurchase Obligation</w:t>
      </w:r>
      <w:r>
        <w:rPr>
          <w:rFonts w:ascii="Times New Roman" w:cs="Times New Roman" w:eastAsia="Times New Roman" w:hAnsi="Times New Roman"/>
          <w:sz w:val="20"/>
          <w:szCs w:val="20"/>
          <w:color w:val="auto"/>
        </w:rPr>
        <w:t>”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any right of a seller of receivables in a Qualified Receivables Financing to repurchase defaulted receivables for the purposes of claiming sales tax bad debt relief.</w:t>
      </w:r>
    </w:p>
    <w:p>
      <w:pPr>
        <w:spacing w:after="0" w:line="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 wholly-owned Restricted Subsidiary of the Initial Borrower (or another Person formed for the purposes of engaging in a Qualified Receivables Financing with the Borrower and/or one or more of its Subsidiaries (including, a special purpose securitization vehicle (or similar entity)) in which the Initial Borrower or any Subsidiary of the Borrower or a direct or indirect parent of the Borrower makes an Investment (or which otherwise owes to the Initial Borrower or one of its Subsidiaries any deferral of part of the purchase price of the Receivables Assets for the purpose of credit enhancement given under the Qualified Receivables Financing) and to which the Initial Borrower or any Subsidiary of the Borrower or a direct or indirect parent of the Borrower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Initial Borrower and its Subsidiaries or a direct or indirect parent of the Initial Borrower, all proceeds thereof and all rights (contractual or other), collateral and other assets relating thereto, and any business or activities incidental or related to such business, and:</w:t>
      </w:r>
    </w:p>
    <w:p>
      <w:pPr>
        <w:spacing w:after="0" w:line="89" w:lineRule="exact"/>
        <w:rPr>
          <w:sz w:val="20"/>
          <w:szCs w:val="20"/>
          <w:color w:val="auto"/>
        </w:rPr>
      </w:pPr>
    </w:p>
    <w:p>
      <w:pPr>
        <w:jc w:val="both"/>
        <w:ind w:left="660" w:firstLine="644"/>
        <w:spacing w:after="0" w:line="253" w:lineRule="auto"/>
        <w:tabs>
          <w:tab w:leader="none" w:pos="182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obligations (contingent or otherwise) of which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is guaranteed by the Initial Borrower or any Restricted Subsidiary (other than a Receivables Subsidiary, excluding guarantees of obligations (other than the principal of, and interest on, Indebtedness) pursuant to Standard Securitization Undertakings),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is recourse to or obligates the Initial Borrower or any Restricted Subsidiary (other than a Receivables Subsidiary) in any way other than pursuant to Standard Securitization Undertakings,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subjects any property or asset of the Initial Borrower or any Restricted Subsidiary (other than a Receivables Subsidiary), directly or indirectly, contingently or otherwise, to the satisfaction thereof, other than pursuant to Standard Securitization Undertakings,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40"/>
          </w:cols>
          <w:pgMar w:left="320" w:top="1413" w:right="339" w:bottom="1440" w:gutter="0" w:footer="0" w:header="0"/>
        </w:sectPr>
      </w:pPr>
    </w:p>
    <w:bookmarkStart w:id="75" w:name="page76"/>
    <w:bookmarkEnd w:id="75"/>
    <w:p>
      <w:pPr>
        <w:jc w:val="both"/>
        <w:ind w:left="660" w:firstLine="644"/>
        <w:spacing w:after="0" w:line="258" w:lineRule="auto"/>
        <w:tabs>
          <w:tab w:leader="none" w:pos="180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which neither the Initial Borrower nor any Restricted Subsidiary (other than a Receivables Subsidiary) has any material contract, agreement, arrangement or understanding other than on terms which the Initial Borrower reasonably believes to be no less favorable to the Initial Borrower or such Restricted Subsidiary than those that might be obtained at the time from Persons that are not Affiliates of the Initial Borrower, and</w:t>
      </w:r>
    </w:p>
    <w:p>
      <w:pPr>
        <w:spacing w:after="0" w:line="199" w:lineRule="exact"/>
        <w:rPr>
          <w:rFonts w:ascii="Times New Roman" w:cs="Times New Roman" w:eastAsia="Times New Roman" w:hAnsi="Times New Roman"/>
          <w:sz w:val="20"/>
          <w:szCs w:val="20"/>
          <w:color w:val="auto"/>
        </w:rPr>
      </w:pPr>
    </w:p>
    <w:p>
      <w:pPr>
        <w:jc w:val="both"/>
        <w:ind w:left="660" w:right="20" w:firstLine="644"/>
        <w:spacing w:after="0" w:line="268" w:lineRule="auto"/>
        <w:tabs>
          <w:tab w:leader="none" w:pos="177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which neither the Initial Borrower nor any other Restricted Subsidiary (other than a Receivables Subsidiary) of the Borrower has any obligation to maintain or preserve such entity’s financial condition or cause such entity to achieve certain levels of operating results.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or (b) any Lender, as applicable.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has the meaning set forth in the definition of “Available Amount”.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has the meaning set forth in the definition of “Credit Agreement Refinancing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“Refinanced Term Loans” has the meaning set forth in Amendment No. 2.</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means an amendment to this Agreement executed by each of (a) the Borrower, (b) the Administrative Agent and (c) each Lender and Additional Lender, as applicable, that agrees to provide any portion of the Refinancing Term Loans, Refinancing Revolving Credit Commitments or Refinancing Revolving Loans incurred pursuant thereto, in accordance with </w:t>
      </w:r>
      <w:r>
        <w:rPr>
          <w:rFonts w:ascii="Times New Roman" w:cs="Times New Roman" w:eastAsia="Times New Roman" w:hAnsi="Times New Roman"/>
          <w:sz w:val="20"/>
          <w:szCs w:val="20"/>
          <w:u w:val="single" w:color="auto"/>
          <w:color w:val="auto"/>
        </w:rPr>
        <w:t>Section 2.25</w:t>
      </w:r>
    </w:p>
    <w:p>
      <w:pPr>
        <w:spacing w:after="0" w:line="168"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Credit Commitments</w:t>
      </w:r>
      <w:r>
        <w:rPr>
          <w:rFonts w:ascii="Times New Roman" w:cs="Times New Roman" w:eastAsia="Times New Roman" w:hAnsi="Times New Roman"/>
          <w:sz w:val="20"/>
          <w:szCs w:val="20"/>
          <w:color w:val="auto"/>
        </w:rPr>
        <w:t>” means one or more Classes of Revolving Credit Commitments hereunder that result from a Refinancing Amendment.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means one or more Classes of Revolving Loans that result from a Refinancing Amendment.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Series</w:t>
      </w:r>
      <w:r>
        <w:rPr>
          <w:rFonts w:ascii="Times New Roman" w:cs="Times New Roman" w:eastAsia="Times New Roman" w:hAnsi="Times New Roman"/>
          <w:sz w:val="20"/>
          <w:szCs w:val="20"/>
          <w:color w:val="auto"/>
        </w:rPr>
        <w:t>” means all Refinancing Term Loans and Refinancing Term Commitments or Refinancing Revolving Loans and Refinancing Revolving Credit Commitments that are established pursuant to the same Refinancing Amendment (or any subsequent Refinancing Amendment to the extent such Refinancing Amendment expressly provides that the Refinancing Term Loans and Refinancing Term Commitments or Refinancing Revolving Loans and Refinancing Revolving Credit Commitments provided for therein are intended to be a part of any previously established Refinancing Series) and that provide for the same Yield (other than, for this purpose, any original issue discount or upfront fees), if applicable and amortization schedule.</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Commitments</w:t>
      </w:r>
      <w:r>
        <w:rPr>
          <w:rFonts w:ascii="Times New Roman" w:cs="Times New Roman" w:eastAsia="Times New Roman" w:hAnsi="Times New Roman"/>
          <w:sz w:val="20"/>
          <w:szCs w:val="20"/>
          <w:color w:val="auto"/>
        </w:rPr>
        <w:t>” means one or more term loan commitments hereunder that fund Refinancing Term Loans of the applicable Refinancing Series hereunder pursuant to a Refinancing Amendment.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means one or more Classes of Term Loans that result from a Refinancing Amendment.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Equivalent Notes</w:t>
      </w:r>
      <w:r>
        <w:rPr>
          <w:rFonts w:ascii="Times New Roman" w:cs="Times New Roman" w:eastAsia="Times New Roman" w:hAnsi="Times New Roman"/>
          <w:sz w:val="20"/>
          <w:szCs w:val="20"/>
          <w:color w:val="auto"/>
        </w:rPr>
        <w:t>” means, with respect to any notes originally issued in an offering pursuant to Rule 144A under the Securities Act or other private placement transaction under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rPr>
          <w:sz w:val="20"/>
          <w:szCs w:val="20"/>
          <w:color w:val="auto"/>
        </w:rPr>
      </w:pPr>
      <w:r>
        <w:rPr>
          <w:rFonts w:ascii="Times New Roman" w:cs="Times New Roman" w:eastAsia="Times New Roman" w:hAnsi="Times New Roman"/>
          <w:sz w:val="20"/>
          <w:szCs w:val="20"/>
          <w:color w:val="auto"/>
        </w:rPr>
        <w:t>Securities Act of 1933, substantially identical notes (having the same guarantees) issued in a dollar-for-dollar exchange therefor pursuant to an exchange offer registered with the SEC.</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10.06(g)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of Governors of the Federal Reserve System, as in effect from time to time.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S-X</w:t>
      </w:r>
      <w:r>
        <w:rPr>
          <w:rFonts w:ascii="Times New Roman" w:cs="Times New Roman" w:eastAsia="Times New Roman" w:hAnsi="Times New Roman"/>
          <w:sz w:val="20"/>
          <w:szCs w:val="20"/>
          <w:color w:val="auto"/>
        </w:rPr>
        <w:t>” means Regulation S-X promulgated under the Securities Act.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Rejection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2.13(g)</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any Fund that is administered, advised or managed by (a) a Lender, (b) an Affiliate of a Lender or (c) an entity or an Affiliate of an entity that administers, advises or manages a Lender.</w:t>
      </w:r>
    </w:p>
    <w:p>
      <w:pPr>
        <w:spacing w:after="0" w:line="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9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means any release, spill, emission, leaking, pumping, pouring, injection, escaping, deposit, disposal, discharge, dispersal, dumping, leaching, emptying or migration of any Hazardous Material into the indoor or outdoor environment (including the abandonment or</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disposal of any barrels, containers or other closed receptacles containing any Hazardous Material), including the movement of any Hazardous Material through the air, soil, surface water or groundwater.</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w:t>
      </w:r>
    </w:p>
    <w:p>
      <w:pPr>
        <w:jc w:val="both"/>
        <w:spacing w:after="0" w:line="221" w:lineRule="auto"/>
        <w:rPr>
          <w:sz w:val="20"/>
          <w:szCs w:val="20"/>
          <w:color w:val="auto"/>
        </w:rPr>
      </w:pPr>
      <w:r>
        <w:rPr>
          <w:rFonts w:ascii="Times New Roman" w:cs="Times New Roman" w:eastAsia="Times New Roman" w:hAnsi="Times New Roman"/>
          <w:sz w:val="20"/>
          <w:szCs w:val="20"/>
          <w:color w:val="auto"/>
        </w:rPr>
        <w:t>York, or a committee officially endorsed or convened by the Board of Governors of the Federal Reserve System or the Federal Reserve Bank of New York, or any successor thereto.</w:t>
      </w:r>
    </w:p>
    <w:p>
      <w:pPr>
        <w:spacing w:after="0" w:line="10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Replacement Assets</w:t>
      </w:r>
      <w:r>
        <w:rPr>
          <w:rFonts w:ascii="Times New Roman" w:cs="Times New Roman" w:eastAsia="Times New Roman" w:hAnsi="Times New Roman"/>
          <w:sz w:val="19"/>
          <w:szCs w:val="19"/>
          <w:color w:val="auto"/>
        </w:rPr>
        <w:t>” means, with respect to any properties or assets subject to an existing Lien, any replacements, substitutions, attachments and accessions of or to such properties or assets subject to such Lien under the terms of the documentation creating such Lien at</w:t>
      </w:r>
    </w:p>
    <w:p>
      <w:pPr>
        <w:jc w:val="both"/>
        <w:spacing w:after="0" w:line="228" w:lineRule="auto"/>
        <w:rPr>
          <w:sz w:val="20"/>
          <w:szCs w:val="20"/>
          <w:color w:val="auto"/>
        </w:rPr>
      </w:pPr>
      <w:r>
        <w:rPr>
          <w:rFonts w:ascii="Times New Roman" w:cs="Times New Roman" w:eastAsia="Times New Roman" w:hAnsi="Times New Roman"/>
          <w:sz w:val="20"/>
          <w:szCs w:val="20"/>
          <w:color w:val="auto"/>
        </w:rPr>
        <w:t>the time such properties or assets are acquired (or, with respect to the acquisition of a Person that owns such assets, the time such Person becomes a Subsidiary) and proceeds and products of the properties or assets subject to such Lien.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Premium</w:t>
      </w:r>
      <w:r>
        <w:rPr>
          <w:rFonts w:ascii="Times New Roman" w:cs="Times New Roman" w:eastAsia="Times New Roman" w:hAnsi="Times New Roman"/>
          <w:sz w:val="20"/>
          <w:szCs w:val="20"/>
          <w:color w:val="auto"/>
        </w:rPr>
        <w:t>” means a fee in an amount equal to 1.00% of the aggregate principal amount of all Initial Term Loans of Term</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Lenders prepaid, refinanced, substituted or replaced or, in the case of an amendment, the principal amount of Initial Term Loans subject to such amendment, in each case, in connection with a Repricing Transaction. Such fees shall be due and payable upon the date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effectiveness of such Repricing Transaction.</w:t>
      </w:r>
    </w:p>
    <w:p>
      <w:pPr>
        <w:spacing w:after="0" w:line="11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Repricing Transaction</w:t>
      </w:r>
      <w:r>
        <w:rPr>
          <w:rFonts w:ascii="Times New Roman" w:cs="Times New Roman" w:eastAsia="Times New Roman" w:hAnsi="Times New Roman"/>
          <w:sz w:val="19"/>
          <w:szCs w:val="19"/>
          <w:color w:val="auto"/>
        </w:rPr>
        <w:t xml:space="preserve">” means, (a) all or any portion of the Initial Term Loans is voluntarily prepaid or refinanced with the proceeds of Indebtedness (including any mandatory prepayment pursuant to </w:t>
      </w:r>
      <w:r>
        <w:rPr>
          <w:rFonts w:ascii="Times New Roman" w:cs="Times New Roman" w:eastAsia="Times New Roman" w:hAnsi="Times New Roman"/>
          <w:sz w:val="19"/>
          <w:szCs w:val="19"/>
          <w:u w:val="single" w:color="auto"/>
          <w:color w:val="auto"/>
        </w:rPr>
        <w:t>Section 2.13(c)</w:t>
      </w:r>
      <w:r>
        <w:rPr>
          <w:rFonts w:ascii="Times New Roman" w:cs="Times New Roman" w:eastAsia="Times New Roman" w:hAnsi="Times New Roman"/>
          <w:sz w:val="19"/>
          <w:szCs w:val="19"/>
          <w:color w:val="auto"/>
        </w:rPr>
        <w:t>), the primary purpose of which is to reduce the Yield on</w:t>
      </w:r>
    </w:p>
    <w:p>
      <w:pPr>
        <w:spacing w:after="0" w:line="211" w:lineRule="auto"/>
        <w:rPr>
          <w:sz w:val="20"/>
          <w:szCs w:val="20"/>
          <w:color w:val="auto"/>
        </w:rPr>
      </w:pPr>
      <w:r>
        <w:rPr>
          <w:rFonts w:ascii="Times New Roman" w:cs="Times New Roman" w:eastAsia="Times New Roman" w:hAnsi="Times New Roman"/>
          <w:sz w:val="20"/>
          <w:szCs w:val="20"/>
          <w:color w:val="auto"/>
        </w:rPr>
        <w:t>such Indebtedness to less than the Yield of the Initial Term Loans (as reasonably determined by Administrative Agent in good faith in a</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manner consistent with generally accepted financial practices) or (b) any amendment (including a Refinancing Amendment and any assignment by a Term Loan Lender of its Initial Term Loans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as a result of such Term Loan Lender’s failure to</w:t>
      </w:r>
    </w:p>
    <w:p>
      <w:pPr>
        <w:spacing w:after="0" w:line="211" w:lineRule="auto"/>
        <w:rPr>
          <w:sz w:val="20"/>
          <w:szCs w:val="20"/>
          <w:color w:val="auto"/>
        </w:rPr>
      </w:pPr>
      <w:r>
        <w:rPr>
          <w:rFonts w:ascii="Times New Roman" w:cs="Times New Roman" w:eastAsia="Times New Roman" w:hAnsi="Times New Roman"/>
          <w:sz w:val="20"/>
          <w:szCs w:val="20"/>
          <w:color w:val="auto"/>
        </w:rPr>
        <w:t>consent to an amendment, amendment and restatement or other modification of any Credit Document that is approved by the Requisite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Lenders (for the avoidance of doubt, the Borrowers shall be required to pay the fee set forth in </w:t>
      </w:r>
      <w:r>
        <w:rPr>
          <w:rFonts w:ascii="Times New Roman" w:cs="Times New Roman" w:eastAsia="Times New Roman" w:hAnsi="Times New Roman"/>
          <w:sz w:val="19"/>
          <w:szCs w:val="19"/>
          <w:u w:val="single" w:color="auto"/>
          <w:color w:val="auto"/>
        </w:rPr>
        <w:t>Section 2.10(f)</w:t>
      </w:r>
      <w:r>
        <w:rPr>
          <w:rFonts w:ascii="Times New Roman" w:cs="Times New Roman" w:eastAsia="Times New Roman" w:hAnsi="Times New Roman"/>
          <w:sz w:val="19"/>
          <w:szCs w:val="19"/>
          <w:color w:val="auto"/>
        </w:rPr>
        <w:t>, to the extent such fee has been or would be paid, to such assignor Term Loan Lender in connection with such amendment in respect of such Initial Term Loans assigned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2.22(c)</w:t>
      </w:r>
      <w:r>
        <w:rPr>
          <w:rFonts w:ascii="Times New Roman" w:cs="Times New Roman" w:eastAsia="Times New Roman" w:hAnsi="Times New Roman"/>
          <w:sz w:val="20"/>
          <w:szCs w:val="20"/>
          <w:color w:val="auto"/>
        </w:rPr>
        <w:t xml:space="preserve"> immediately prior to the Repricing Transaction)) to the Credit Documents, the primary purpose of which is to</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reduce the Yield applicable to all or a portion of the Initial Term Loans (as reasonably determined by Administrative Agent in good faith in a manner consistent with generally accepted financial practices);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no event shall any</w:t>
      </w:r>
    </w:p>
    <w:p>
      <w:pPr>
        <w:spacing w:after="0"/>
        <w:rPr>
          <w:sz w:val="20"/>
          <w:szCs w:val="20"/>
          <w:color w:val="auto"/>
        </w:rPr>
      </w:pPr>
      <w:r>
        <w:rPr>
          <w:rFonts w:ascii="Times New Roman" w:cs="Times New Roman" w:eastAsia="Times New Roman" w:hAnsi="Times New Roman"/>
          <w:sz w:val="20"/>
          <w:szCs w:val="20"/>
          <w:color w:val="auto"/>
        </w:rPr>
        <w:t>prepayment or repayment in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40"/>
          </w:cols>
          <w:pgMar w:left="320" w:top="139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w:t>connection with a financing for a Transformative Acquisition or a Change of Control constitute a Repricing Transaction.</w:t>
      </w:r>
    </w:p>
    <w:p>
      <w:pPr>
        <w:spacing w:after="0" w:line="13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Requisite Class Lenders</w:t>
      </w:r>
      <w:r>
        <w:rPr>
          <w:rFonts w:ascii="Times New Roman" w:cs="Times New Roman" w:eastAsia="Times New Roman" w:hAnsi="Times New Roman"/>
          <w:sz w:val="19"/>
          <w:szCs w:val="19"/>
          <w:color w:val="auto"/>
        </w:rPr>
        <w:t xml:space="preserve">” means, at any time of determination, but subject to the provisions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(i) for the Class of Term Lenders having Term Loan Exposure, Term Lenders holding more than 50% of the aggregate Term Loan Exposure of all Term Lenders of</w:t>
      </w:r>
    </w:p>
    <w:p>
      <w:pPr>
        <w:spacing w:after="0" w:line="222" w:lineRule="auto"/>
        <w:rPr>
          <w:sz w:val="20"/>
          <w:szCs w:val="20"/>
          <w:color w:val="auto"/>
        </w:rPr>
      </w:pPr>
      <w:r>
        <w:rPr>
          <w:rFonts w:ascii="Times New Roman" w:cs="Times New Roman" w:eastAsia="Times New Roman" w:hAnsi="Times New Roman"/>
          <w:sz w:val="19"/>
          <w:szCs w:val="19"/>
          <w:color w:val="auto"/>
        </w:rPr>
        <w:t>such Class and (ii) for the Class of Revolving Credit Lenders having Revolving Exposure, Revolving Credit Lenders holding more than 50%</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of the aggregate Revolving Exposure plus (without duplication) the aggregate unused Revolving Commitments of all Revolving Credit Lenders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determination of Requisite Class Lenders, Loans and Commitments of Affiliated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Lenders shall be limited for purposes of such determination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Requisite Lenders</w:t>
      </w:r>
      <w:r>
        <w:rPr>
          <w:rFonts w:ascii="Times New Roman" w:cs="Times New Roman" w:eastAsia="Times New Roman" w:hAnsi="Times New Roman"/>
          <w:sz w:val="19"/>
          <w:szCs w:val="19"/>
          <w:color w:val="auto"/>
        </w:rPr>
        <w:t xml:space="preserve">” means, at any time of determination, but subject to the provisions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Lenders having or holding Term Loan Exposure and/or Revolving Exposure plus (without duplication) the aggregate unused Commitments representing more than 50%</w:t>
      </w:r>
    </w:p>
    <w:p>
      <w:pPr>
        <w:spacing w:after="0" w:line="211" w:lineRule="auto"/>
        <w:rPr>
          <w:sz w:val="20"/>
          <w:szCs w:val="20"/>
          <w:color w:val="auto"/>
        </w:rPr>
      </w:pPr>
      <w:r>
        <w:rPr>
          <w:rFonts w:ascii="Times New Roman" w:cs="Times New Roman" w:eastAsia="Times New Roman" w:hAnsi="Times New Roman"/>
          <w:sz w:val="20"/>
          <w:szCs w:val="20"/>
          <w:color w:val="auto"/>
        </w:rPr>
        <w:t>of the sum of (i) the aggregate Term Loan Exposure of all Lenders and (ii) the aggregate Revolving Exposure plus (without duplication)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aggregate unused Commitments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determination of Requisite Lenders, Loans and Commitments of Affiliated Lenders shall be limited for purposes of such determination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Requisite Revolving Credit Lenders</w:t>
      </w:r>
      <w:r>
        <w:rPr>
          <w:rFonts w:ascii="Times New Roman" w:cs="Times New Roman" w:eastAsia="Times New Roman" w:hAnsi="Times New Roman"/>
          <w:sz w:val="20"/>
          <w:szCs w:val="20"/>
          <w:color w:val="auto"/>
        </w:rPr>
        <w:t>” means, as of any date of determination, Revolving Credit Lenders under the Revolving</w:t>
      </w:r>
    </w:p>
    <w:p>
      <w:pPr>
        <w:spacing w:after="0" w:line="204" w:lineRule="auto"/>
        <w:rPr>
          <w:sz w:val="20"/>
          <w:szCs w:val="20"/>
          <w:color w:val="auto"/>
        </w:rPr>
      </w:pPr>
      <w:r>
        <w:rPr>
          <w:rFonts w:ascii="Times New Roman" w:cs="Times New Roman" w:eastAsia="Times New Roman" w:hAnsi="Times New Roman"/>
          <w:sz w:val="20"/>
          <w:szCs w:val="20"/>
          <w:color w:val="auto"/>
        </w:rPr>
        <w:t>Commitments (including, for purposes of this definition of “Requisite Revolving Credit Lenders” (x) any Extended Revolving Credit Commitments in respect thereof, (y) any Refinancing Revolving Credit Commitments in respect thereof, and (z) any Incremental Revolving</w:t>
      </w:r>
    </w:p>
    <w:p>
      <w:pPr>
        <w:spacing w:after="0" w:line="211" w:lineRule="auto"/>
        <w:rPr>
          <w:sz w:val="20"/>
          <w:szCs w:val="20"/>
          <w:color w:val="auto"/>
        </w:rPr>
      </w:pPr>
      <w:r>
        <w:rPr>
          <w:rFonts w:ascii="Times New Roman" w:cs="Times New Roman" w:eastAsia="Times New Roman" w:hAnsi="Times New Roman"/>
          <w:sz w:val="20"/>
          <w:szCs w:val="20"/>
          <w:color w:val="auto"/>
        </w:rPr>
        <w:t>Credit Commitments) having more than 50% of the sum of the (a) Outstanding Amount of all Revolving Loans, Swing Line Loans and 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L/C Obligations (with the aggregate amount of each Lender’s risk participation and funded participation in L/C Obligations and Swing Line Loans being deemed “held” by such Lender for purposes of this definition) under the Revolving Commitments and (b) aggregate unused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Revolving Commitments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unused Revolving Commitments of, and the portion of the Outstanding Amount of all Revolving Loans, Swing Line Loans and all L/C Obligations held, or deemed held by, any Defaulting Lender shall be excluded for purposes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of making a determination of Requisite Revolving Credit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at any time of determination there are at least two (2) Revolving Credit Lenders that are not Affiliates of one another, then “Requisite Revolving Credit Lenders” shall include at least two</w:t>
      </w:r>
    </w:p>
    <w:p>
      <w:pPr>
        <w:ind w:firstLine="8"/>
        <w:spacing w:after="0" w:line="228" w:lineRule="auto"/>
        <w:tabs>
          <w:tab w:leader="none" w:pos="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unaffiliated Revolving Credit Lenders (and solely for purposes of this proviso, Revolving Credit Lenders that are Affiliates of each other shall be deemed to constitute a single Lender).</w:t>
      </w:r>
    </w:p>
    <w:p>
      <w:pPr>
        <w:spacing w:after="0" w:line="10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Funds Account</w:t>
      </w:r>
      <w:r>
        <w:rPr>
          <w:rFonts w:ascii="Times New Roman" w:cs="Times New Roman" w:eastAsia="Times New Roman" w:hAnsi="Times New Roman"/>
          <w:sz w:val="20"/>
          <w:szCs w:val="20"/>
          <w:color w:val="auto"/>
        </w:rPr>
        <w:t>” means an account held by a Sponsor Bank or other third party data processor pursuant to a Processor Agreement, which account holds funds for the benefit of a Merchant pursuant to the applicable Merchant Agreement.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“Residual Financing Assets” means any of the following assets (or interests therein) from time to time originated, acquired or</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000FF"/>
        </w:rPr>
        <w:t>otherwise owned by the Initial Borrower or any of its Subsidiaries or in which the Initial Borrower or any Subsidiary has any rights or interests, in each case, without regard to where such assets or interests are located and that are subject to the Permitted Residual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 ISO Residual Payment Rights, (b) Permitted ISO Loan Receivables and (c) all Associated Rights.</w:t>
      </w:r>
    </w:p>
    <w:p>
      <w:pPr>
        <w:spacing w:after="0" w:line="113"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u w:val="single" w:color="auto"/>
          <w:color w:val="0000FF"/>
        </w:rPr>
        <w:t>“Residual Financing Closing Date” means the date on which the documentation for the Permitted Residual Financing becomes effective in accordance with its terms.</w:t>
      </w:r>
    </w:p>
    <w:p>
      <w:pPr>
        <w:spacing w:after="0" w:line="10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u w:val="single" w:color="auto"/>
          <w:color w:val="0000FF"/>
        </w:rPr>
        <w:t>“Residual Financing Entities” means one or more Unrestricted Subsidiaries of the Borrowers formed in connection with the Amendment No. 2 Effective Date for the purpose of consummating the Permitted Residual Financing.</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0000FF"/>
        </w:rPr>
        <w:t>“Residual Repurchase Obligation” means any obligation of the Initial Borrower or any Subsidiary, as applicable, in a Permitted Residual Financing to repurchase Residual Financing Assets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40"/>
          </w:cols>
          <w:pgMar w:left="320" w:top="1399" w:right="339" w:bottom="1440" w:gutter="0" w:footer="0" w:header="0"/>
        </w:sectPr>
      </w:pPr>
    </w:p>
    <w:bookmarkStart w:id="78" w:name="page79"/>
    <w:bookmarkEnd w:id="78"/>
    <w:p>
      <w:pPr>
        <w:spacing w:after="0" w:line="283" w:lineRule="auto"/>
        <w:rPr>
          <w:sz w:val="20"/>
          <w:szCs w:val="20"/>
          <w:color w:val="auto"/>
        </w:rPr>
      </w:pPr>
      <w:r>
        <w:rPr>
          <w:rFonts w:ascii="Times New Roman" w:cs="Times New Roman" w:eastAsia="Times New Roman" w:hAnsi="Times New Roman"/>
          <w:sz w:val="20"/>
          <w:szCs w:val="20"/>
          <w:u w:val="single" w:color="auto"/>
          <w:color w:val="0000FF"/>
        </w:rPr>
        <w:t>Initial Borrower or such Subsidiary, as applicable, or any right of the Initial Borrower or Subsidiary, as applicable, in a Permitted Residual Financing to repurchase defaulted Residual Financing Assets for the purposes of claiming sales tax bad debt relief.</w:t>
      </w:r>
    </w:p>
    <w:p>
      <w:pPr>
        <w:spacing w:after="0" w:line="16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0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means any voluntary or optional payment or prepayment on (including in respect of principal of or interest), or repurchase, redemption, defeasance (including in-substance or legal defeasance) or acquisition for value of any Indebtedness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 under any Junior Financing, in each case, prior to the maturity date thereof.</w:t>
      </w:r>
    </w:p>
    <w:p>
      <w:pPr>
        <w:spacing w:after="0" w:line="9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(i) any dividend or other distribution (whether in Cash, Securities or other property), direct or indirect, on account of any shares of any class of Capital Stock of the Initial Borrower or any of its Restricted Subsidiaries now or hereafter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outstanding; (ii) any redemption, retirement, sinking fund or similar payment, purchase, retirement, defeasance, acquisition, cancellation or termination for value, direct or indirect, of any shares of any class of Capital Stock of the Initial Borrower or any of its Restricted</w:t>
      </w:r>
    </w:p>
    <w:p>
      <w:pPr>
        <w:spacing w:after="0" w:line="211" w:lineRule="auto"/>
        <w:rPr>
          <w:sz w:val="20"/>
          <w:szCs w:val="20"/>
          <w:color w:val="auto"/>
        </w:rPr>
      </w:pPr>
      <w:r>
        <w:rPr>
          <w:rFonts w:ascii="Times New Roman" w:cs="Times New Roman" w:eastAsia="Times New Roman" w:hAnsi="Times New Roman"/>
          <w:sz w:val="20"/>
          <w:szCs w:val="20"/>
          <w:color w:val="auto"/>
        </w:rPr>
        <w:t>Subsidiaries now or hereafter outstanding, or on account of any return of capital to the Initial Borrower’s or a Restricted Subsidiary’s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stockholders, partners or members (or equivalent Person thereof); and (iii) any payment made to retire, or to obtain the surrender of, any outstanding warrants, options or other rights to acquire shares of any class of Capital Stock of the Initial Borrower or any of its Restricted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Subsidiaries now or hereafter outstanding. For the avoidance of doubt, "Restricted Payment" does not include any amounts paid or payable under the TCP Director Agreement.</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each Subsidiary of the Initial Borrower other than an Unrestricted Subsidiary.</w:t>
      </w:r>
    </w:p>
    <w:p>
      <w:pPr>
        <w:spacing w:after="0" w:line="13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Percentage</w:t>
      </w:r>
      <w:r>
        <w:rPr>
          <w:rFonts w:ascii="Times New Roman" w:cs="Times New Roman" w:eastAsia="Times New Roman" w:hAnsi="Times New Roman"/>
          <w:sz w:val="20"/>
          <w:szCs w:val="20"/>
          <w:color w:val="auto"/>
        </w:rPr>
        <w:t>” means, with respect to any Consolidated Excess Cash Flow Period, (a) 100% minus (b) the Applicable ECF Percentage with respect to such Consolidated Excess Cash Flow Period.</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Returns</w:t>
      </w:r>
      <w:r>
        <w:rPr>
          <w:rFonts w:ascii="Times New Roman" w:cs="Times New Roman" w:eastAsia="Times New Roman" w:hAnsi="Times New Roman"/>
          <w:sz w:val="19"/>
          <w:szCs w:val="19"/>
          <w:color w:val="auto"/>
        </w:rPr>
        <w:t>” means, with respect to any Investment, any dividends, distributions, interest, fees, premiums, returns of capital, repayment of principal, income, profits (from a distribution or otherwise) and other amounts received or realized in respect of such Investment.</w:t>
      </w:r>
    </w:p>
    <w:p>
      <w:pPr>
        <w:spacing w:after="0" w:line="8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as to each Revolving Credit Lender, its obligation to (a) make any Revolving Loan, (b) purchase participations in L/C Obligations in respect of Letters of Credit and (c) purchase participations in Swing Line Loans, as such commitment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may be (i) reduced from time to time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and (ii) reduced or increased from time to time pursuant to (1)</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assignments by or to such Revolving Credit Lender pursuant to an Assignment Agreement, (2) an Incremental Amendment, (3) a Refinancing Amendment or (4) an Extension Amendment. The amount of each Revolving Credit Lender’s Revolving Commitment, if any, is</w:t>
      </w:r>
    </w:p>
    <w:p>
      <w:pPr>
        <w:spacing w:after="0" w:line="222" w:lineRule="auto"/>
        <w:rPr>
          <w:sz w:val="20"/>
          <w:szCs w:val="20"/>
          <w:color w:val="auto"/>
        </w:rPr>
      </w:pPr>
      <w:r>
        <w:rPr>
          <w:rFonts w:ascii="Times New Roman" w:cs="Times New Roman" w:eastAsia="Times New Roman" w:hAnsi="Times New Roman"/>
          <w:sz w:val="19"/>
          <w:szCs w:val="19"/>
          <w:color w:val="auto"/>
        </w:rPr>
        <w:t>set forth on Appendix A</w:t>
      </w:r>
      <w:r>
        <w:rPr>
          <w:rFonts w:ascii="Times New Roman" w:cs="Times New Roman" w:eastAsia="Times New Roman" w:hAnsi="Times New Roman"/>
          <w:sz w:val="19"/>
          <w:szCs w:val="19"/>
          <w:u w:val="single" w:color="auto"/>
          <w:color w:val="0000FF"/>
        </w:rPr>
        <w:t>, in Annex I to Amendment No. 2</w:t>
      </w:r>
      <w:r>
        <w:rPr>
          <w:rFonts w:ascii="Times New Roman" w:cs="Times New Roman" w:eastAsia="Times New Roman" w:hAnsi="Times New Roman"/>
          <w:sz w:val="19"/>
          <w:szCs w:val="19"/>
          <w:color w:val="auto"/>
        </w:rPr>
        <w:t xml:space="preserve"> or in the applicable Assignment Agreement, subject to any adjustment or reduction</w:t>
      </w:r>
    </w:p>
    <w:p>
      <w:pPr>
        <w:spacing w:after="0" w:line="208" w:lineRule="auto"/>
        <w:rPr>
          <w:sz w:val="20"/>
          <w:szCs w:val="20"/>
          <w:color w:val="auto"/>
        </w:rPr>
      </w:pPr>
      <w:r>
        <w:rPr>
          <w:rFonts w:ascii="Times New Roman" w:cs="Times New Roman" w:eastAsia="Times New Roman" w:hAnsi="Times New Roman"/>
          <w:sz w:val="19"/>
          <w:szCs w:val="19"/>
          <w:color w:val="auto"/>
        </w:rPr>
        <w:t xml:space="preserve">pursuant to the terms and conditions hereof. The aggregate amount of the Revolving Commitments as of the Closing Date </w:t>
      </w:r>
      <w:r>
        <w:rPr>
          <w:rFonts w:ascii="Times New Roman" w:cs="Times New Roman" w:eastAsia="Times New Roman" w:hAnsi="Times New Roman"/>
          <w:sz w:val="19"/>
          <w:szCs w:val="19"/>
          <w:color w:val="FF0000"/>
          <w:strike w:val="1"/>
        </w:rPr>
        <w:t>is</w:t>
      </w:r>
      <w:r>
        <w:rPr>
          <w:rFonts w:ascii="Times New Roman" w:cs="Times New Roman" w:eastAsia="Times New Roman" w:hAnsi="Times New Roman"/>
          <w:sz w:val="19"/>
          <w:szCs w:val="19"/>
          <w:u w:val="single" w:color="auto"/>
          <w:color w:val="0000FF"/>
        </w:rPr>
        <w:t>was</w:t>
      </w:r>
      <w:r>
        <w:rPr>
          <w:rFonts w:ascii="Times New Roman" w:cs="Times New Roman" w:eastAsia="Times New Roman" w:hAnsi="Times New Roman"/>
          <w:sz w:val="19"/>
          <w:szCs w:val="19"/>
          <w:color w:val="auto"/>
        </w:rPr>
        <w:t xml:space="preserve"> $70,000,000.</w:t>
      </w:r>
    </w:p>
    <w:p>
      <w:pPr>
        <w:spacing w:after="0"/>
        <w:rPr>
          <w:sz w:val="20"/>
          <w:szCs w:val="20"/>
          <w:color w:val="auto"/>
        </w:rPr>
      </w:pPr>
      <w:r>
        <w:rPr>
          <w:rFonts w:ascii="Times New Roman" w:cs="Times New Roman" w:eastAsia="Times New Roman" w:hAnsi="Times New Roman"/>
          <w:sz w:val="20"/>
          <w:szCs w:val="20"/>
          <w:u w:val="single" w:color="auto"/>
          <w:color w:val="0000FF"/>
        </w:rPr>
        <w:t>The aggregate amount of the Revolving Commitments as of the Amendment No. 2 Effective Date is $100,000,000.</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Extension Request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Extension Series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Commitment Period</w:t>
      </w:r>
      <w:r>
        <w:rPr>
          <w:rFonts w:ascii="Times New Roman" w:cs="Times New Roman" w:eastAsia="Times New Roman" w:hAnsi="Times New Roman"/>
          <w:sz w:val="19"/>
          <w:szCs w:val="19"/>
          <w:color w:val="auto"/>
        </w:rPr>
        <w:t>” means the period from the Closing Date to but excluding the Revolving Commitment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1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Termination Date</w:t>
      </w:r>
      <w:r>
        <w:rPr>
          <w:rFonts w:ascii="Times New Roman" w:cs="Times New Roman" w:eastAsia="Times New Roman" w:hAnsi="Times New Roman"/>
          <w:sz w:val="20"/>
          <w:szCs w:val="20"/>
          <w:color w:val="auto"/>
        </w:rPr>
        <w:t xml:space="preserve">” means the earliest to occur of (i) the Maturity Date; (ii) the date the Revolving Commitments are permanently reduced to zero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and (iii) the date of the termination of the Revolving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Commitments pursuant to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40"/>
          </w:cols>
          <w:pgMar w:left="320" w:top="1413"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Borrowing</w:t>
      </w:r>
      <w:r>
        <w:rPr>
          <w:rFonts w:ascii="Times New Roman" w:cs="Times New Roman" w:eastAsia="Times New Roman" w:hAnsi="Times New Roman"/>
          <w:sz w:val="19"/>
          <w:szCs w:val="19"/>
          <w:color w:val="auto"/>
        </w:rPr>
        <w:t>” means a borrowing consisting of simultaneous Revolving Loans of the same Type and, in the case of</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SOFR Loans, having the same Interest Period, made by each of the Revolving Credit Lenders of the applicable Class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Commitment at such time or, if Revolving Commitments have terminated, Revolving Exposure.</w:t>
      </w:r>
    </w:p>
    <w:p>
      <w:pPr>
        <w:spacing w:after="0" w:line="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as to each Revolving Credit Lender, the sum of the Outstanding Amount of such Revolving Credit Lender’s Revolving Loans and its Pro Rata Share or other applicable share provided for under this Agreement of the Outstanding Amount of the L/C Obligations and the Swing Line Obligations at such time.</w:t>
      </w:r>
    </w:p>
    <w:p>
      <w:pPr>
        <w:spacing w:after="0" w:line="9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Test Condition</w:t>
      </w:r>
      <w:r>
        <w:rPr>
          <w:rFonts w:ascii="Times New Roman" w:cs="Times New Roman" w:eastAsia="Times New Roman" w:hAnsi="Times New Roman"/>
          <w:sz w:val="20"/>
          <w:szCs w:val="20"/>
          <w:color w:val="auto"/>
        </w:rPr>
        <w:t>” means, as of the last day of the Fiscal Quarter for which such condition is being tested, that the aggregate principal amount of all outstanding Revolving Loans and Letters of Credit (but excluding (1) any Letters of Credit that has been cash collateralized and (2) the aggregate amount of issued and undrawn Letters of Credit not in excess of $5,000,000) exceeds an amount equal to 35% of the aggregate amount of Revolving Commitments at such time.</w:t>
      </w:r>
    </w:p>
    <w:p>
      <w:pPr>
        <w:spacing w:after="0" w:line="11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Rules</w:t>
      </w:r>
      <w:r>
        <w:rPr>
          <w:rFonts w:ascii="Times New Roman" w:cs="Times New Roman" w:eastAsia="Times New Roman" w:hAnsi="Times New Roman"/>
          <w:sz w:val="20"/>
          <w:szCs w:val="20"/>
          <w:color w:val="auto"/>
        </w:rPr>
        <w:t>” means the by-laws, regulations and/or requirements that are promulgated by Approved Bank Card Systems as in effect from time to time.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that is, or whose government is, the subject or target of any Sanctions (which as of the Closing Date includes the so called Donetsk People’s Republic, the so called Luhansk People’s Republic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Crimea, Zaporizhzhia and Kherson Regions of Ukraine, Cuba, Iran, North Korea and Syria).</w:t>
      </w:r>
    </w:p>
    <w:p>
      <w:pPr>
        <w:spacing w:after="0" w:line="11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United States Government (including, without limitation, OFAC or the U.S. Department of State), the United Nations Security Council, the</w:t>
      </w:r>
    </w:p>
    <w:p>
      <w:pPr>
        <w:spacing w:after="0" w:line="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9"/>
          <w:szCs w:val="19"/>
          <w:color w:val="auto"/>
        </w:rPr>
        <w:t xml:space="preserve">European Union or any European Union member state or the United Kingdom, (b) any Person located, organized or resident in a Sanctioned Country or (c) any Person owned 50% or more or Controlled by any such Person or Persons described in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applicable economic or financial sanctions or trade embargoes imposed, administered or enforced from time to</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time by the United States Government (including without limitation, the Office of Foreign Assets Control of the U.S. Department of the Treasury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or the U.S. Department of State), the United Nations Security Council, the European Union or any European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or His Majesty’s Treasury of the United Kingdom.</w:t>
      </w:r>
    </w:p>
    <w:p>
      <w:pPr>
        <w:spacing w:after="0" w:line="113"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Interest Rate Agreement</w:t>
      </w:r>
      <w:r>
        <w:rPr>
          <w:rFonts w:ascii="Times New Roman" w:cs="Times New Roman" w:eastAsia="Times New Roman" w:hAnsi="Times New Roman"/>
          <w:sz w:val="20"/>
          <w:szCs w:val="20"/>
          <w:color w:val="auto"/>
        </w:rPr>
        <w:t xml:space="preserve">” means any Interest Rate Agreement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is entered into by and between any Borrower or any Restricted Subsidiary and any Lender Counterparty.</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Administrative Agent, Collateral Agent, the Lenders, any Issuing Bank, any Lender</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Counterparty, any Cash Management Bank and each co-agent or sub-agent appointed by Administrative Agent and/or Collateral Agent from time to time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means any stock, shares, partnership interests, voting trust certificates, certificates of interest or participation in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profit-sharing agreement or arrangement, options, warrants, bonds, debentures, notes, or other evidences of indebtedness, secured or unsecured, convertible, subordinated or otherwise, or in general any instruments commonly known as “securities” or any certificates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40"/>
          </w:cols>
          <w:pgMar w:left="320" w:top="1399" w:right="339" w:bottom="1440" w:gutter="0" w:footer="0" w:header="0"/>
        </w:sectPr>
      </w:pPr>
    </w:p>
    <w:bookmarkStart w:id="80" w:name="page81"/>
    <w:bookmarkEnd w:id="80"/>
    <w:p>
      <w:pPr>
        <w:jc w:val="both"/>
        <w:spacing w:after="0"/>
        <w:rPr>
          <w:sz w:val="20"/>
          <w:szCs w:val="20"/>
          <w:color w:val="auto"/>
        </w:rPr>
      </w:pPr>
      <w:r>
        <w:rPr>
          <w:rFonts w:ascii="Times New Roman" w:cs="Times New Roman" w:eastAsia="Times New Roman" w:hAnsi="Times New Roman"/>
          <w:sz w:val="20"/>
          <w:szCs w:val="20"/>
          <w:color w:val="auto"/>
        </w:rPr>
        <w:t>shares or participations in temporary or interim certificates for the purchase or acquisition of, or any right to subscribe to, purchase or acquire, any of the foregoing.</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w:t>
      </w:r>
    </w:p>
    <w:p>
      <w:pPr>
        <w:spacing w:after="0" w:line="13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Officer</w:t>
      </w:r>
      <w:r>
        <w:rPr>
          <w:rFonts w:ascii="Times New Roman" w:cs="Times New Roman" w:eastAsia="Times New Roman" w:hAnsi="Times New Roman"/>
          <w:sz w:val="20"/>
          <w:szCs w:val="20"/>
          <w:color w:val="auto"/>
        </w:rPr>
        <w:t>” means, with respect to any Person other than a natural person, the President, Chief Executive Officer, Chief Financial Officer or Chief Operating Officer of such Person.</w:t>
      </w:r>
    </w:p>
    <w:p>
      <w:pPr>
        <w:spacing w:after="0" w:line="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Representative</w:t>
      </w:r>
      <w:r>
        <w:rPr>
          <w:rFonts w:ascii="Times New Roman" w:cs="Times New Roman" w:eastAsia="Times New Roman" w:hAnsi="Times New Roman"/>
          <w:sz w:val="20"/>
          <w:szCs w:val="20"/>
          <w:color w:val="auto"/>
        </w:rPr>
        <w:t>” means, with respect to any series of Credit Agreement Refinancing Indebtedness or Incremental Equivalent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shall mean a rate per annum equal to the secured overnight financing rate as administered by the SOFR Administrator.</w:t>
      </w:r>
    </w:p>
    <w:p>
      <w:pPr>
        <w:spacing w:after="0" w:line="135"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9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shall mean a Loan that bears interest at a rate based on Term SOFR, other than pursuant to clause (iii) of the definition of “Base Rate”.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Solvency Certificate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that as of the date of determination, both (i) (a) the sum of such Person’s and its</w:t>
      </w:r>
    </w:p>
    <w:p>
      <w:pPr>
        <w:jc w:val="both"/>
        <w:spacing w:after="0" w:line="204" w:lineRule="auto"/>
        <w:rPr>
          <w:sz w:val="20"/>
          <w:szCs w:val="20"/>
          <w:color w:val="auto"/>
        </w:rPr>
      </w:pPr>
      <w:r>
        <w:rPr>
          <w:rFonts w:ascii="Times New Roman" w:cs="Times New Roman" w:eastAsia="Times New Roman" w:hAnsi="Times New Roman"/>
          <w:sz w:val="20"/>
          <w:szCs w:val="20"/>
          <w:color w:val="auto"/>
        </w:rPr>
        <w:t>Restricted Subsidiaries’ consolidated liabilities (including contingent liabilities) does not exceed the fair saleable value of such Person’s and its Restricted Subsidiaries’ consolidated assets; (b) such Person’s and its Restricted Subsidiaries’ consolidated capital, is not unreasonably</w:t>
      </w:r>
    </w:p>
    <w:p>
      <w:pPr>
        <w:spacing w:after="0" w:line="211" w:lineRule="auto"/>
        <w:rPr>
          <w:sz w:val="20"/>
          <w:szCs w:val="20"/>
          <w:color w:val="auto"/>
        </w:rPr>
      </w:pPr>
      <w:r>
        <w:rPr>
          <w:rFonts w:ascii="Times New Roman" w:cs="Times New Roman" w:eastAsia="Times New Roman" w:hAnsi="Times New Roman"/>
          <w:sz w:val="20"/>
          <w:szCs w:val="20"/>
          <w:color w:val="auto"/>
        </w:rPr>
        <w:t>small in relation to its consolidated business; and (c) such Person and its Restricted Subsidiaries, on a consolidated basis, have not incurred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and do not intend to incur, or believe that they will incur, debts beyond their ability to pay such debts as they become due (whether at maturity or otherwise) and (ii) such Person and its Restricted Subsidiaries, on a consolidated basis, are “solvent” within the meaning given</w:t>
      </w:r>
    </w:p>
    <w:p>
      <w:pPr>
        <w:spacing w:after="0" w:line="223" w:lineRule="auto"/>
        <w:rPr>
          <w:sz w:val="20"/>
          <w:szCs w:val="20"/>
          <w:color w:val="auto"/>
        </w:rPr>
      </w:pPr>
      <w:r>
        <w:rPr>
          <w:rFonts w:ascii="Times New Roman" w:cs="Times New Roman" w:eastAsia="Times New Roman" w:hAnsi="Times New Roman"/>
          <w:sz w:val="19"/>
          <w:szCs w:val="19"/>
          <w:color w:val="auto"/>
        </w:rPr>
        <w:t>that term and similar terms under applicable laws relating to fraudulent transfers and conveyances. For purposes of this definition, the amount</w:t>
      </w:r>
    </w:p>
    <w:p>
      <w:pPr>
        <w:jc w:val="both"/>
        <w:spacing w:after="0" w:line="215" w:lineRule="auto"/>
        <w:rPr>
          <w:sz w:val="20"/>
          <w:szCs w:val="20"/>
          <w:color w:val="auto"/>
        </w:rPr>
      </w:pPr>
      <w:r>
        <w:rPr>
          <w:rFonts w:ascii="Times New Roman" w:cs="Times New Roman" w:eastAsia="Times New Roman" w:hAnsi="Times New Roman"/>
          <w:sz w:val="19"/>
          <w:szCs w:val="19"/>
          <w:color w:val="auto"/>
        </w:rPr>
        <w:t>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w:t>
      </w:r>
    </w:p>
    <w:p>
      <w:pPr>
        <w:spacing w:after="0"/>
        <w:rPr>
          <w:sz w:val="20"/>
          <w:szCs w:val="20"/>
          <w:color w:val="auto"/>
        </w:rPr>
      </w:pPr>
      <w:r>
        <w:rPr>
          <w:rFonts w:ascii="Times New Roman" w:cs="Times New Roman" w:eastAsia="Times New Roman" w:hAnsi="Times New Roman"/>
          <w:sz w:val="20"/>
          <w:szCs w:val="20"/>
          <w:color w:val="auto"/>
        </w:rPr>
        <w:t>liabilities meet the criteria for accrual under Statement of Financial Accounting Standard No. 5).</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means an Event of Default under Section 8.01(a), Section 8.01(f) or Section 8.01(g).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means (a) the Transactions, (b) any Investment that results in a Person becoming a Restricted Subsidiary, (c)</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designation of a Subsidiary as a Restricted Subsidiary or an Unrestricted Subsidiary, (d) any Permitted Acquisition or any other acquisition or similar Investment of all or substantially all of the assets of any Person or any business unit, line of business or division thereof</w:t>
      </w:r>
    </w:p>
    <w:p>
      <w:pPr>
        <w:spacing w:after="0" w:line="211" w:lineRule="auto"/>
        <w:rPr>
          <w:sz w:val="20"/>
          <w:szCs w:val="20"/>
          <w:color w:val="auto"/>
        </w:rPr>
      </w:pPr>
      <w:r>
        <w:rPr>
          <w:rFonts w:ascii="Times New Roman" w:cs="Times New Roman" w:eastAsia="Times New Roman" w:hAnsi="Times New Roman"/>
          <w:sz w:val="20"/>
          <w:szCs w:val="20"/>
          <w:color w:val="auto"/>
        </w:rPr>
        <w:t>or all or substantially all of the customer lists of any Person or any business unit, line of business or division thereof (and, in any event,</w:t>
      </w:r>
    </w:p>
    <w:p>
      <w:pPr>
        <w:jc w:val="both"/>
        <w:spacing w:after="0" w:line="204" w:lineRule="auto"/>
        <w:rPr>
          <w:sz w:val="20"/>
          <w:szCs w:val="20"/>
          <w:color w:val="auto"/>
        </w:rPr>
      </w:pPr>
      <w:r>
        <w:rPr>
          <w:rFonts w:ascii="Times New Roman" w:cs="Times New Roman" w:eastAsia="Times New Roman" w:hAnsi="Times New Roman"/>
          <w:sz w:val="20"/>
          <w:szCs w:val="20"/>
          <w:color w:val="auto"/>
        </w:rPr>
        <w:t>including any Investment in (x) any Restricted Subsidiary the effect of which is to increase any Borrower’s or any Restricted Subsidiary’s respective equity ownership in such Restricted Subsidiary or (y) any Joint Venture for the purpose of increasing any Borrower’s or its</w:t>
      </w:r>
    </w:p>
    <w:p>
      <w:pPr>
        <w:spacing w:after="0" w:line="223" w:lineRule="auto"/>
        <w:rPr>
          <w:sz w:val="20"/>
          <w:szCs w:val="20"/>
          <w:color w:val="auto"/>
        </w:rPr>
      </w:pPr>
      <w:r>
        <w:rPr>
          <w:rFonts w:ascii="Times New Roman" w:cs="Times New Roman" w:eastAsia="Times New Roman" w:hAnsi="Times New Roman"/>
          <w:sz w:val="19"/>
          <w:szCs w:val="19"/>
          <w:color w:val="auto"/>
        </w:rPr>
        <w:t>relevant Restricted Subsidiary’s ownership interest in such Joint Venture), (e) any Asset Sale that results in a Restricted Subsidiary ceasing to</w:t>
      </w:r>
    </w:p>
    <w:p>
      <w:pPr>
        <w:jc w:val="both"/>
        <w:spacing w:after="0" w:line="204" w:lineRule="auto"/>
        <w:rPr>
          <w:sz w:val="20"/>
          <w:szCs w:val="20"/>
          <w:color w:val="auto"/>
        </w:rPr>
      </w:pPr>
      <w:r>
        <w:rPr>
          <w:rFonts w:ascii="Times New Roman" w:cs="Times New Roman" w:eastAsia="Times New Roman" w:hAnsi="Times New Roman"/>
          <w:sz w:val="20"/>
          <w:szCs w:val="20"/>
          <w:color w:val="auto"/>
        </w:rPr>
        <w:t>be a Subsidiary of any Borrower and any Asset Sale of a business unit, line of business or division of a Borrower or any Restricted Subsidiary, in each case, whether by merger, consolidation, amalgamation or otherwise or (f) any incurrence or repayment of Indebtedness</w:t>
      </w:r>
    </w:p>
    <w:p>
      <w:pPr>
        <w:spacing w:after="0" w:line="223" w:lineRule="auto"/>
        <w:rPr>
          <w:sz w:val="20"/>
          <w:szCs w:val="20"/>
          <w:color w:val="auto"/>
        </w:rPr>
      </w:pPr>
      <w:r>
        <w:rPr>
          <w:rFonts w:ascii="Times New Roman" w:cs="Times New Roman" w:eastAsia="Times New Roman" w:hAnsi="Times New Roman"/>
          <w:sz w:val="19"/>
          <w:szCs w:val="19"/>
          <w:color w:val="auto"/>
        </w:rPr>
        <w:t>(other than Indebtedness incurred or repaid under any revolving credit facility or line of credit), Restricted Payment, Revolving Commitment</w:t>
      </w:r>
    </w:p>
    <w:p>
      <w:pPr>
        <w:jc w:val="both"/>
        <w:spacing w:after="0" w:line="221" w:lineRule="auto"/>
        <w:rPr>
          <w:sz w:val="20"/>
          <w:szCs w:val="20"/>
          <w:color w:val="auto"/>
        </w:rPr>
      </w:pPr>
      <w:r>
        <w:rPr>
          <w:rFonts w:ascii="Times New Roman" w:cs="Times New Roman" w:eastAsia="Times New Roman" w:hAnsi="Times New Roman"/>
          <w:sz w:val="20"/>
          <w:szCs w:val="20"/>
          <w:color w:val="auto"/>
        </w:rPr>
        <w:t>Increase, Incremental Revolving Loan or Incremental Term Loan, in each case, that by the terms of this Agreement requires a financial ratio or test to be calculated on a “Pro Forma Basis” or after giving “Pro Forma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40"/>
          </w:cols>
          <w:pgMar w:left="320" w:top="1399"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 Bank</w:t>
      </w:r>
      <w:r>
        <w:rPr>
          <w:rFonts w:ascii="Times New Roman" w:cs="Times New Roman" w:eastAsia="Times New Roman" w:hAnsi="Times New Roman"/>
          <w:sz w:val="20"/>
          <w:szCs w:val="20"/>
          <w:color w:val="auto"/>
        </w:rPr>
        <w:t>” means a federal or state chartered bank which is a member of the Visa and/or MasterCard card associations (or</w:t>
      </w:r>
    </w:p>
    <w:p>
      <w:pPr>
        <w:jc w:val="both"/>
        <w:spacing w:after="0" w:line="221" w:lineRule="auto"/>
        <w:rPr>
          <w:sz w:val="20"/>
          <w:szCs w:val="20"/>
          <w:color w:val="auto"/>
        </w:rPr>
      </w:pPr>
      <w:r>
        <w:rPr>
          <w:rFonts w:ascii="Times New Roman" w:cs="Times New Roman" w:eastAsia="Times New Roman" w:hAnsi="Times New Roman"/>
          <w:sz w:val="20"/>
          <w:szCs w:val="20"/>
          <w:color w:val="auto"/>
        </w:rPr>
        <w:t>another Approved Bank Card System) and which processes credit and debit card transactions and provides related services on behalf of the Credit Parties or their Restricted Subsidiaries.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xml:space="preserve">” means representations, warranties, covenants, indemnities and guarantees of performance entered into by the Initial Borrower or any Subsidiary of the Initial Borrower which the Initial Borrower has determined in good faith to be customary in a Receivables Financing </w:t>
      </w:r>
      <w:r>
        <w:rPr>
          <w:rFonts w:ascii="Times New Roman" w:cs="Times New Roman" w:eastAsia="Times New Roman" w:hAnsi="Times New Roman"/>
          <w:sz w:val="20"/>
          <w:szCs w:val="20"/>
          <w:color w:val="0000FF"/>
        </w:rPr>
        <w:t>or a Permitted Residual Financing</w:t>
      </w:r>
      <w:r>
        <w:rPr>
          <w:rFonts w:ascii="Times New Roman" w:cs="Times New Roman" w:eastAsia="Times New Roman" w:hAnsi="Times New Roman"/>
          <w:sz w:val="20"/>
          <w:szCs w:val="20"/>
          <w:color w:val="auto"/>
        </w:rPr>
        <w:t>, including, without limitation, those relating to the servicing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-28575</wp:posOffset>
            </wp:positionV>
            <wp:extent cx="17735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 xml:space="preserve">assets of a Receivables Subsidiary </w:t>
      </w:r>
      <w:r>
        <w:rPr>
          <w:rFonts w:ascii="Times New Roman" w:cs="Times New Roman" w:eastAsia="Times New Roman" w:hAnsi="Times New Roman"/>
          <w:sz w:val="20"/>
          <w:szCs w:val="20"/>
          <w:color w:val="0000FF"/>
        </w:rPr>
        <w:t>or a Residual Financing Entity, respectively</w:t>
      </w:r>
      <w:r>
        <w:rPr>
          <w:rFonts w:ascii="Times New Roman" w:cs="Times New Roman" w:eastAsia="Times New Roman" w:hAnsi="Times New Roman"/>
          <w:sz w:val="20"/>
          <w:szCs w:val="20"/>
          <w:color w:val="auto"/>
        </w:rPr>
        <w:t>, it being understood that any Receivables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-20320</wp:posOffset>
            </wp:positionV>
            <wp:extent cx="2391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Obligation</w:t>
      </w:r>
      <w:r>
        <w:rPr>
          <w:rFonts w:ascii="Times New Roman" w:cs="Times New Roman" w:eastAsia="Times New Roman" w:hAnsi="Times New Roman"/>
          <w:sz w:val="20"/>
          <w:szCs w:val="20"/>
          <w:u w:val="single" w:color="auto"/>
          <w:color w:val="0000FF"/>
        </w:rPr>
        <w:t>, any Residual Repurchase Obligation and the Permitted Residual Guaranty</w:t>
      </w:r>
      <w:r>
        <w:rPr>
          <w:rFonts w:ascii="Times New Roman" w:cs="Times New Roman" w:eastAsia="Times New Roman" w:hAnsi="Times New Roman"/>
          <w:sz w:val="20"/>
          <w:szCs w:val="20"/>
          <w:color w:val="auto"/>
        </w:rPr>
        <w:t xml:space="preserve"> shall be deemed to be a Standard Securitization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Undertaking.</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w:t>
      </w:r>
    </w:p>
    <w:p>
      <w:pPr>
        <w:spacing w:after="0" w:line="11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Subordination Agreement</w:t>
      </w:r>
      <w:r>
        <w:rPr>
          <w:rFonts w:ascii="Times New Roman" w:cs="Times New Roman" w:eastAsia="Times New Roman" w:hAnsi="Times New Roman"/>
          <w:sz w:val="20"/>
          <w:szCs w:val="20"/>
          <w:color w:val="auto"/>
        </w:rPr>
        <w:t>” means any subordination agreement, in each case, in form and substance reasonably satisfactory to Administrative Agent, executed in favor of Administrative Agent in connection with Subordinated Indebtedness of any Credit Party.</w:t>
      </w:r>
    </w:p>
    <w:p>
      <w:pPr>
        <w:spacing w:after="0" w:line="9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limited liability company, association, Joint Venture or other business entity of which more than 50% of the total voting power of shares of stock or other ownership interests entitled (without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regard to the occurrence of any contingency) to vote in the election of the Person or Persons (whether directors, managers, trustees or other Persons performing similar functions) having the power to direct or cause the direction of the management and policies thereof is at the time</w:t>
      </w:r>
    </w:p>
    <w:p>
      <w:pPr>
        <w:spacing w:after="0" w:line="211" w:lineRule="auto"/>
        <w:rPr>
          <w:sz w:val="20"/>
          <w:szCs w:val="20"/>
          <w:color w:val="auto"/>
        </w:rPr>
      </w:pPr>
      <w:r>
        <w:rPr>
          <w:rFonts w:ascii="Times New Roman" w:cs="Times New Roman" w:eastAsia="Times New Roman" w:hAnsi="Times New Roman"/>
          <w:sz w:val="20"/>
          <w:szCs w:val="20"/>
          <w:color w:val="auto"/>
        </w:rPr>
        <w:t>owned or Controlled, directly or indirectly, by that Person or one or more of the other Subsidiaries of that Person or a combination thereof;</w:t>
      </w:r>
    </w:p>
    <w:p>
      <w:pPr>
        <w:jc w:val="both"/>
        <w:spacing w:after="0" w:line="22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determining the percentage of ownership interests of any Person Controlled by another Person, no ownership interest in the nature of a “qualifying share” of the former Person shall be deemed to be outstanding.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any Subsidiary of the Initial Borrower that is a Guarantor.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Person, any obligation to pay or perform under any Interest Rate Agreement.</w:t>
      </w:r>
    </w:p>
    <w:p>
      <w:pPr>
        <w:spacing w:after="0" w:line="12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Termination Value</w:t>
      </w:r>
      <w:r>
        <w:rPr>
          <w:rFonts w:ascii="Times New Roman" w:cs="Times New Roman" w:eastAsia="Times New Roman" w:hAnsi="Times New Roman"/>
          <w:sz w:val="19"/>
          <w:szCs w:val="19"/>
          <w:color w:val="auto"/>
        </w:rPr>
        <w:t>” means, in respect of any one or more exchange traded or over the counter derivate transactions or Interest Rate Agreements, after taking into account the effect of any netting agreement relating to such transactions or Interest Rate Agreements, (a)</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for any date on or after the date such transactions or Interest Rate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w:t>
      </w:r>
    </w:p>
    <w:p>
      <w:pPr>
        <w:spacing w:after="0" w:line="211" w:lineRule="auto"/>
        <w:rPr>
          <w:sz w:val="20"/>
          <w:szCs w:val="20"/>
          <w:color w:val="auto"/>
        </w:rPr>
      </w:pPr>
      <w:r>
        <w:rPr>
          <w:rFonts w:ascii="Times New Roman" w:cs="Times New Roman" w:eastAsia="Times New Roman" w:hAnsi="Times New Roman"/>
          <w:sz w:val="20"/>
          <w:szCs w:val="20"/>
          <w:color w:val="auto"/>
        </w:rPr>
        <w:t>the mark-to-market value(s) for such transactions or Interest Rate Agreements, as determined based upon one or more mid-market or other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readily available quotations provided by any recognized dealer in such transactions or Interest Rate Agreements (which may include a Lender or any Affiliate of a Lender).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Truist, in its capacity as provider of Swing Line Loans or any successor swing line lender hereunder.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written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A-3</w:t>
      </w:r>
      <w:r>
        <w:rPr>
          <w:rFonts w:ascii="Times New Roman" w:cs="Times New Roman" w:eastAsia="Times New Roman" w:hAnsi="Times New Roman"/>
          <w:sz w:val="20"/>
          <w:szCs w:val="20"/>
          <w:color w:val="auto"/>
        </w:rPr>
        <w:t xml:space="preserve"> hereto.</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40"/>
          </w:cols>
          <w:pgMar w:left="320" w:top="139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Obligations</w:t>
      </w:r>
      <w:r>
        <w:rPr>
          <w:rFonts w:ascii="Times New Roman" w:cs="Times New Roman" w:eastAsia="Times New Roman" w:hAnsi="Times New Roman"/>
          <w:sz w:val="20"/>
          <w:szCs w:val="20"/>
          <w:color w:val="auto"/>
        </w:rPr>
        <w:t>” means, as at any date of determination, the aggregate Outstanding Amount of all Swing Line Loans.</w:t>
      </w:r>
    </w:p>
    <w:p>
      <w:pPr>
        <w:spacing w:after="0" w:line="13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 Line Sublimit</w:t>
      </w:r>
      <w:r>
        <w:rPr>
          <w:rFonts w:ascii="Times New Roman" w:cs="Times New Roman" w:eastAsia="Times New Roman" w:hAnsi="Times New Roman"/>
          <w:sz w:val="19"/>
          <w:szCs w:val="19"/>
          <w:color w:val="auto"/>
        </w:rPr>
        <w:t xml:space="preserve">” means an amount equal to the lesser of (a) $10,000,000 (as may be adjusted pursuant to </w:t>
      </w:r>
      <w:r>
        <w:rPr>
          <w:rFonts w:ascii="Times New Roman" w:cs="Times New Roman" w:eastAsia="Times New Roman" w:hAnsi="Times New Roman"/>
          <w:sz w:val="19"/>
          <w:szCs w:val="19"/>
          <w:u w:val="single" w:color="auto"/>
          <w:color w:val="auto"/>
        </w:rPr>
        <w:t>Section 2.24(e)(ii)</w:t>
      </w:r>
      <w:r>
        <w:rPr>
          <w:rFonts w:ascii="Times New Roman" w:cs="Times New Roman" w:eastAsia="Times New Roman" w:hAnsi="Times New Roman"/>
          <w:sz w:val="19"/>
          <w:szCs w:val="19"/>
          <w:color w:val="auto"/>
        </w:rPr>
        <w:t>) and (b) the aggregate amount of the Participating Revolving Credit Commitments. The Swing Line Sublimit is part of, and not in addition to,</w:t>
      </w:r>
    </w:p>
    <w:p>
      <w:pPr>
        <w:spacing w:after="0"/>
        <w:rPr>
          <w:sz w:val="20"/>
          <w:szCs w:val="20"/>
          <w:color w:val="auto"/>
        </w:rPr>
      </w:pPr>
      <w:r>
        <w:rPr>
          <w:rFonts w:ascii="Times New Roman" w:cs="Times New Roman" w:eastAsia="Times New Roman" w:hAnsi="Times New Roman"/>
          <w:sz w:val="20"/>
          <w:szCs w:val="20"/>
          <w:color w:val="auto"/>
        </w:rPr>
        <w:t>the Participating Revolving Credit Commitments.</w:t>
      </w:r>
    </w:p>
    <w:p>
      <w:pPr>
        <w:spacing w:after="0" w:line="11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 means any present or future tax, levy, impost, duty, assessment, charge, fee, deduction or withholding (including backup withholding) of any nature and whatever called, imposed by any Governmental Authority, including any interest, additions to tax or penalties</w:t>
      </w:r>
    </w:p>
    <w:p>
      <w:pPr>
        <w:spacing w:after="0"/>
        <w:rPr>
          <w:sz w:val="20"/>
          <w:szCs w:val="20"/>
          <w:color w:val="auto"/>
        </w:rPr>
      </w:pPr>
      <w:r>
        <w:rPr>
          <w:rFonts w:ascii="Times New Roman" w:cs="Times New Roman" w:eastAsia="Times New Roman" w:hAnsi="Times New Roman"/>
          <w:sz w:val="20"/>
          <w:szCs w:val="20"/>
          <w:color w:val="auto"/>
        </w:rPr>
        <w:t>applicable thereto.</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TCP</w:t>
      </w:r>
      <w:r>
        <w:rPr>
          <w:rFonts w:ascii="Times New Roman" w:cs="Times New Roman" w:eastAsia="Times New Roman" w:hAnsi="Times New Roman"/>
          <w:sz w:val="20"/>
          <w:szCs w:val="20"/>
          <w:color w:val="auto"/>
        </w:rPr>
        <w:t>” means Thomas C. Priore, an individual.</w:t>
      </w:r>
    </w:p>
    <w:p>
      <w:pPr>
        <w:spacing w:after="0" w:line="12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TCP Director Agreement</w:t>
      </w:r>
      <w:r>
        <w:rPr>
          <w:rFonts w:ascii="Times New Roman" w:cs="Times New Roman" w:eastAsia="Times New Roman" w:hAnsi="Times New Roman"/>
          <w:sz w:val="20"/>
          <w:szCs w:val="20"/>
          <w:color w:val="auto"/>
        </w:rPr>
        <w:t>” means the Director Agreement, dated as of May 21, 2014, by and among the Initial Borrower, Pipeline Cynergy Holdings, LLC, Priority Payment Systems Holdings, LLC and TCP, as amended on April 19, 2018 and in effect on the Closing Date and amended in accordance with the terms hereof.</w:t>
      </w:r>
    </w:p>
    <w:p>
      <w:pPr>
        <w:spacing w:after="0" w:line="9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means a borrowing consisting of Term Loans of the same Type and, in the case of SOFR Loans, having the same Interest Period made by each of the Term Lenders of the applicable Class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Facilities</w:t>
      </w:r>
      <w:r>
        <w:rPr>
          <w:rFonts w:ascii="Times New Roman" w:cs="Times New Roman" w:eastAsia="Times New Roman" w:hAnsi="Times New Roman"/>
          <w:sz w:val="20"/>
          <w:szCs w:val="20"/>
          <w:color w:val="auto"/>
        </w:rPr>
        <w:t xml:space="preserve">” means (a) </w:t>
      </w:r>
      <w:r>
        <w:rPr>
          <w:rFonts w:ascii="Times New Roman" w:cs="Times New Roman" w:eastAsia="Times New Roman" w:hAnsi="Times New Roman"/>
          <w:sz w:val="20"/>
          <w:szCs w:val="20"/>
          <w:color w:val="FF0000"/>
          <w:strike w:val="1"/>
        </w:rPr>
        <w:t>on or prior to the Closing Date,</w:t>
      </w:r>
      <w:r>
        <w:rPr>
          <w:rFonts w:ascii="Times New Roman" w:cs="Times New Roman" w:eastAsia="Times New Roman" w:hAnsi="Times New Roman"/>
          <w:sz w:val="20"/>
          <w:szCs w:val="20"/>
          <w:color w:val="auto"/>
        </w:rPr>
        <w:t xml:space="preserve"> the Initial Term Loans and (b) </w:t>
      </w:r>
      <w:r>
        <w:rPr>
          <w:rFonts w:ascii="Times New Roman" w:cs="Times New Roman" w:eastAsia="Times New Roman" w:hAnsi="Times New Roman"/>
          <w:sz w:val="20"/>
          <w:szCs w:val="20"/>
          <w:color w:val="FF0000"/>
          <w:strike w:val="1"/>
        </w:rPr>
        <w:t>thereafter,</w:t>
      </w:r>
      <w:r>
        <w:rPr>
          <w:rFonts w:ascii="Times New Roman" w:cs="Times New Roman" w:eastAsia="Times New Roman" w:hAnsi="Times New Roman"/>
          <w:sz w:val="20"/>
          <w:szCs w:val="20"/>
          <w:color w:val="auto"/>
        </w:rPr>
        <w:t xml:space="preserve"> each Class of Term Loan Commitments and/or Term Loans, as applicable, at such time.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at any time, any Lender that has a Term Loan Commitment or a Term Loan at such time.</w:t>
      </w:r>
    </w:p>
    <w:p>
      <w:pPr>
        <w:spacing w:after="0" w:line="13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Initial Term Loan, Incremental Term Loan, Refinancing Term Loan or Extended Term Loan, as the context may require.</w:t>
      </w:r>
    </w:p>
    <w:p>
      <w:pPr>
        <w:spacing w:after="0" w:line="10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xml:space="preserve">” means the commitment of a Lender to make any Term Loan hereunder, as such commitment may be (a) reduced from time to time pursuant to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and (b) reduced or increased from time to time pursuant to (i) assignments</w:t>
      </w:r>
    </w:p>
    <w:p>
      <w:pPr>
        <w:spacing w:after="0" w:line="222" w:lineRule="auto"/>
        <w:rPr>
          <w:sz w:val="20"/>
          <w:szCs w:val="20"/>
          <w:color w:val="auto"/>
        </w:rPr>
      </w:pPr>
      <w:r>
        <w:rPr>
          <w:rFonts w:ascii="Times New Roman" w:cs="Times New Roman" w:eastAsia="Times New Roman" w:hAnsi="Times New Roman"/>
          <w:sz w:val="19"/>
          <w:szCs w:val="19"/>
          <w:color w:val="auto"/>
        </w:rPr>
        <w:t>by or to such Term Lender pursuant to an Assignment Agreement, (ii) an Incremental Amendment, (iii) a Refinancing Amendment or (iv) 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Extension Amendment. The aggregate amount of the Term Loan Commitments as of the Closing Date </w:t>
      </w:r>
      <w:r>
        <w:rPr>
          <w:rFonts w:ascii="Times New Roman" w:cs="Times New Roman" w:eastAsia="Times New Roman" w:hAnsi="Times New Roman"/>
          <w:sz w:val="20"/>
          <w:szCs w:val="20"/>
          <w:color w:val="FF0000"/>
          <w:strike w:val="1"/>
        </w:rPr>
        <w:t>is</w:t>
      </w:r>
      <w:r>
        <w:rPr>
          <w:rFonts w:ascii="Times New Roman" w:cs="Times New Roman" w:eastAsia="Times New Roman" w:hAnsi="Times New Roman"/>
          <w:sz w:val="20"/>
          <w:szCs w:val="20"/>
          <w:u w:val="single" w:color="auto"/>
          <w:color w:val="0000FF"/>
        </w:rPr>
        <w:t>was</w:t>
      </w:r>
      <w:r>
        <w:rPr>
          <w:rFonts w:ascii="Times New Roman" w:cs="Times New Roman" w:eastAsia="Times New Roman" w:hAnsi="Times New Roman"/>
          <w:sz w:val="20"/>
          <w:szCs w:val="20"/>
          <w:color w:val="auto"/>
        </w:rPr>
        <w:t xml:space="preserve"> $835,000,000</w:t>
      </w:r>
      <w:r>
        <w:rPr>
          <w:rFonts w:ascii="Times New Roman" w:cs="Times New Roman" w:eastAsia="Times New Roman" w:hAnsi="Times New Roman"/>
          <w:sz w:val="20"/>
          <w:szCs w:val="20"/>
          <w:u w:val="single" w:color="auto"/>
          <w:color w:val="0000FF"/>
        </w:rPr>
        <w:t>. The Aggregate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amount of the Term Loan Commitments as of the Amendment No. 2 Effective Date is $1,000,000,000</w:t>
      </w:r>
      <w:r>
        <w:rPr>
          <w:rFonts w:ascii="Times New Roman" w:cs="Times New Roman" w:eastAsia="Times New Roman" w:hAnsi="Times New Roman"/>
          <w:sz w:val="20"/>
          <w:szCs w:val="20"/>
          <w:color w:val="000000"/>
        </w:rPr>
        <w:t>. The amount of each Lender’s Term</w:t>
      </w:r>
    </w:p>
    <w:p>
      <w:pPr>
        <w:spacing w:after="0" w:line="211" w:lineRule="auto"/>
        <w:rPr>
          <w:sz w:val="20"/>
          <w:szCs w:val="20"/>
          <w:color w:val="auto"/>
        </w:rPr>
      </w:pPr>
      <w:r>
        <w:rPr>
          <w:rFonts w:ascii="Times New Roman" w:cs="Times New Roman" w:eastAsia="Times New Roman" w:hAnsi="Times New Roman"/>
          <w:sz w:val="20"/>
          <w:szCs w:val="20"/>
          <w:color w:val="auto"/>
        </w:rPr>
        <w:t>Loan Commitment, if any, is set forth on Appendix A or in the applicable Assignment Agreement, Incremental Amendment, Extension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Amendment or Refinancing Amendment pursuant to which such Lender shall have assumed, increased or decreased its Term Loan Commitment, as the case may be.</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Exposure</w:t>
      </w:r>
      <w:r>
        <w:rPr>
          <w:rFonts w:ascii="Times New Roman" w:cs="Times New Roman" w:eastAsia="Times New Roman" w:hAnsi="Times New Roman"/>
          <w:sz w:val="20"/>
          <w:szCs w:val="20"/>
          <w:color w:val="auto"/>
        </w:rPr>
        <w:t>” means, with the respect to any Lender as of any date of determination, without duplication, the sum of that Lender’s unused Term Loan Commitment and the aggregate principal amount of the Term Loans of that Lender outstanding as of such date.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Extension Request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Extension Series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2.26(a)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Increase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135" w:lineRule="exact"/>
        <w:rPr>
          <w:sz w:val="20"/>
          <w:szCs w:val="20"/>
          <w:color w:val="auto"/>
        </w:rPr>
      </w:pPr>
    </w:p>
    <w:p>
      <w:pPr>
        <w:jc w:val="both"/>
        <w:ind w:firstLine="656"/>
        <w:spacing w:after="0" w:line="226" w:lineRule="auto"/>
        <w:tabs>
          <w:tab w:leader="none" w:pos="115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as 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40"/>
          </w:cols>
          <w:pgMar w:left="320" w:top="139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color w:val="auto"/>
        </w:rPr>
        <w:t>5:00 P.M. on any Periodic Term SOFR Determination Day the Term SOFR Reference Rate for the applicable tenor has not been published by</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Term SOFR Administrator and a Benchmark Replacement Date with respect to the Term SOFR Reference Rate has not occurred, then Term SOFR will be the Term SOFR Reference Rate for such tenor as published by the Term SOFR Administrator on the first preceding U.S.</w:t>
      </w:r>
    </w:p>
    <w:p>
      <w:pPr>
        <w:spacing w:after="0" w:line="211" w:lineRule="auto"/>
        <w:rPr>
          <w:sz w:val="20"/>
          <w:szCs w:val="20"/>
          <w:color w:val="auto"/>
        </w:rPr>
      </w:pPr>
      <w:r>
        <w:rPr>
          <w:rFonts w:ascii="Times New Roman" w:cs="Times New Roman" w:eastAsia="Times New Roman" w:hAnsi="Times New Roman"/>
          <w:sz w:val="20"/>
          <w:szCs w:val="20"/>
          <w:color w:val="auto"/>
        </w:rPr>
        <w:t>Government Securities Business Day for which such Term SOFR Reference Rate for such tenor was published by the Term SOFR</w:t>
      </w:r>
    </w:p>
    <w:p>
      <w:pPr>
        <w:spacing w:after="0" w:line="221" w:lineRule="auto"/>
        <w:rPr>
          <w:sz w:val="20"/>
          <w:szCs w:val="20"/>
          <w:color w:val="auto"/>
        </w:rPr>
      </w:pPr>
      <w:r>
        <w:rPr>
          <w:rFonts w:ascii="Times New Roman" w:cs="Times New Roman" w:eastAsia="Times New Roman" w:hAnsi="Times New Roman"/>
          <w:sz w:val="20"/>
          <w:szCs w:val="20"/>
          <w:color w:val="auto"/>
        </w:rPr>
        <w:t>Administrator so long as such first preceding U.S. Government Securities Business Day is not more than three (3) U.S. Government Securities Business Days prior to such Periodic Term SOFR Determination Day, and</w:t>
      </w:r>
    </w:p>
    <w:p>
      <w:pPr>
        <w:spacing w:after="0" w:line="108" w:lineRule="exact"/>
        <w:rPr>
          <w:sz w:val="20"/>
          <w:szCs w:val="20"/>
          <w:color w:val="auto"/>
        </w:rPr>
      </w:pPr>
    </w:p>
    <w:p>
      <w:pPr>
        <w:jc w:val="both"/>
        <w:ind w:firstLine="656"/>
        <w:spacing w:after="0" w:line="212" w:lineRule="auto"/>
        <w:tabs>
          <w:tab w:leader="none" w:pos="111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Term SOFR as so determined shall be less than the Floor, then Term SOFR shall be deemed to be the Floor.</w:t>
      </w:r>
    </w:p>
    <w:p>
      <w:pPr>
        <w:spacing w:after="0" w:line="11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the CME Group Benchmark Administration Limited (CBA) (or a successor administrator of the Term SOFR Reference Rate selected by the Administrative Agent in its reasonable discretion).</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for any date of determination under this Agreement, the four consecutive Fiscal Quarters of the Initial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most recently ended as of such date of determination for which financial statements have been delivered to Administrative Agent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as applicable; it being understood and agreed that prior to the first delivery (or required delivery)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financial statement under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“Test Period” means the period of four consecutive Fiscal Quarters of the Initial Borrower most recently ended as set forth in the Historical Financial Statements.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5.11(a)(iii)</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means, at any date of determination, the ratio of (i) Consolidated Total Debt for such date, to</w:t>
      </w:r>
    </w:p>
    <w:p>
      <w:pPr>
        <w:jc w:val="right"/>
        <w:ind w:left="660" w:right="5160" w:hanging="652"/>
        <w:spacing w:after="0" w:line="420" w:lineRule="auto"/>
        <w:tabs>
          <w:tab w:leader="none" w:pos="303"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Adjusted EBITDA for the Test Period most recently ended. “</w:t>
      </w:r>
      <w:r>
        <w:rPr>
          <w:rFonts w:ascii="Times New Roman" w:cs="Times New Roman" w:eastAsia="Times New Roman" w:hAnsi="Times New Roman"/>
          <w:sz w:val="19"/>
          <w:szCs w:val="19"/>
          <w:u w:val="single" w:color="auto"/>
          <w:color w:val="auto"/>
        </w:rPr>
        <w:t>Trade Announcements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10.06(i)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has the meaning set forth in the recitals hereto.</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Transferred Guarantor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Acquisition</w:t>
      </w:r>
      <w:r>
        <w:rPr>
          <w:rFonts w:ascii="Times New Roman" w:cs="Times New Roman" w:eastAsia="Times New Roman" w:hAnsi="Times New Roman"/>
          <w:sz w:val="20"/>
          <w:szCs w:val="20"/>
          <w:color w:val="auto"/>
        </w:rPr>
        <w:t>” means any acquisition or similar investment that (a) is not permitted by the terms of any of the Credit Documents immediately prior to the consummation of such acquisition or investment or (b) if permitted by the terms of the Credit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Documents immediately prior to the consummation of such acquisition or investment, would not provide the Initial Borrower and its Restricted Subsidiaries with adequate flexibility under the Credit Documents for the continuation and/or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40"/>
          </w:cols>
          <w:pgMar w:left="320" w:top="139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expansion of their combined operations following such consummation, as determined by the Borrower Representative acting in good faith.</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Truist</w:t>
      </w:r>
      <w:r>
        <w:rPr>
          <w:rFonts w:ascii="Times New Roman" w:cs="Times New Roman" w:eastAsia="Times New Roman" w:hAnsi="Times New Roman"/>
          <w:sz w:val="20"/>
          <w:szCs w:val="20"/>
          <w:color w:val="auto"/>
        </w:rPr>
        <w:t>” has the meaning specified in the preamble hereto.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Term Loans and/or Revolving Loans, its character as a Base Rate Loan or a SOFR Loan.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shall mean any day except for (i) a Saturday, (ii) a Sunday or (iii) a day on which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Securities Industry and Financial Markets Association recommends that the fixed income departments of its members be closed for the entire day for purposes of trading in United States government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w:t>
      </w:r>
      <w:r>
        <w:rPr>
          <w:rFonts w:ascii="Times New Roman" w:cs="Times New Roman" w:eastAsia="Times New Roman" w:hAnsi="Times New Roman"/>
          <w:sz w:val="20"/>
          <w:szCs w:val="20"/>
          <w:u w:val="single" w:color="auto"/>
          <w:color w:val="auto"/>
        </w:rPr>
        <w:t>United States Person</w:t>
      </w:r>
      <w:r>
        <w:rPr>
          <w:rFonts w:ascii="Times New Roman" w:cs="Times New Roman" w:eastAsia="Times New Roman" w:hAnsi="Times New Roman"/>
          <w:sz w:val="20"/>
          <w:szCs w:val="20"/>
          <w:color w:val="auto"/>
        </w:rPr>
        <w:t>” as defined in Section 7701(a)(30) of the Internal Revenue Code.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(or any similar or equivalent legislation) as in effect in any applicable jurisdiction.</w:t>
      </w:r>
    </w:p>
    <w:p>
      <w:pPr>
        <w:spacing w:after="0" w:line="12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shall mean the Benchmark Replacement excluding the Benchmark Replacement Adjustment.</w:t>
      </w:r>
    </w:p>
    <w:p>
      <w:pPr>
        <w:spacing w:after="0" w:line="2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Underwriting Guidelines</w:t>
      </w:r>
      <w:r>
        <w:rPr>
          <w:rFonts w:ascii="Times New Roman" w:cs="Times New Roman" w:eastAsia="Times New Roman" w:hAnsi="Times New Roman"/>
          <w:sz w:val="20"/>
          <w:szCs w:val="20"/>
          <w:color w:val="auto"/>
        </w:rPr>
        <w:t xml:space="preserve">” means the written underwriting guidelines of the Initial Borrower and its Subsidiaries, as the same are in effect on the Closing Date and are otherwise amended in accordance with the Rules;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at no time shall such underwriting guidelines permit merchants primarily engaged in any of the following businesses to be acceptable: on-line pharmacies not registered with an Approved Bank Card System, marijuana (to the extent that such activity is in violation of applicable state or federal law), manufacturing of firearms or ammunitions, payday lending, or adult or sexually oriented goods or services (including pornography, adult novelties, etc.).</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Undisclosed Administration</w:t>
      </w:r>
      <w:r>
        <w:rPr>
          <w:rFonts w:ascii="Times New Roman" w:cs="Times New Roman" w:eastAsia="Times New Roman" w:hAnsi="Times New Roman"/>
          <w:sz w:val="20"/>
          <w:szCs w:val="20"/>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2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Advances/Participations</w:t>
      </w:r>
      <w:r>
        <w:rPr>
          <w:rFonts w:ascii="Times New Roman" w:cs="Times New Roman" w:eastAsia="Times New Roman" w:hAnsi="Times New Roman"/>
          <w:sz w:val="20"/>
          <w:szCs w:val="20"/>
          <w:color w:val="auto"/>
        </w:rPr>
        <w:t xml:space="preserve">” means (a) with respect to Administrative Agent, the aggregate amount, if any (i) (A) made available to any Borrower on the assumption that each Lender has made available to Administrative Agent such Lender’s share of the applicable Borrowing as contemplated by </w:t>
      </w:r>
      <w:r>
        <w:rPr>
          <w:rFonts w:ascii="Times New Roman" w:cs="Times New Roman" w:eastAsia="Times New Roman" w:hAnsi="Times New Roman"/>
          <w:sz w:val="20"/>
          <w:szCs w:val="20"/>
          <w:u w:val="single" w:color="auto"/>
          <w:color w:val="auto"/>
        </w:rPr>
        <w:t>Section 2.03(g)</w:t>
      </w:r>
      <w:r>
        <w:rPr>
          <w:rFonts w:ascii="Times New Roman" w:cs="Times New Roman" w:eastAsia="Times New Roman" w:hAnsi="Times New Roman"/>
          <w:sz w:val="20"/>
          <w:szCs w:val="20"/>
          <w:color w:val="auto"/>
        </w:rPr>
        <w:t xml:space="preserve"> and (B) made available to the Lenders on the assumption that any Borrower has made any payment as contemplated by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and (ii) with respect to which a corresponding amount has not in fact been returned or paid to Administrative Agent by any Borrower or made available to Administrative Agent by any such Lender, (b) with respect to the Swing Line Lender, the aggregate amount, if any, of outstanding Swing Line Loans in respect of which any Revolving Credit Lender fails to make available to Administrative Agent for the account of the Swing Line Lender any amount required to</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40"/>
          </w:cols>
          <w:pgMar w:left="320" w:top="1399" w:right="339" w:bottom="1440" w:gutter="0" w:footer="0" w:header="0"/>
        </w:sectPr>
      </w:pPr>
    </w:p>
    <w:bookmarkStart w:id="85" w:name="page86"/>
    <w:bookmarkEnd w:id="85"/>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be paid by such Lender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and (c) with respect to any Issuing Bank, the aggregate amount, if any, of L/C Borrowings in respect of which a Revolving Credit Lender shall have failed to make Revolving Loans or participations to reimburse such Issuing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in each case, the United States of America.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means, with respect to any Person(s) as of any date of determination, (i) Cash and Cash Equivalents on hand of</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such Person(s),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(a) Cash held for Merchant reserves or otherwise held in trust for the benefit of Merchants (including any funds in a Reserve Funds Account), and amounts constituting reserves and/or segregated amounts held by a Processor which may be</w:t>
      </w:r>
    </w:p>
    <w:p>
      <w:pPr>
        <w:spacing w:after="0" w:line="211" w:lineRule="auto"/>
        <w:rPr>
          <w:sz w:val="20"/>
          <w:szCs w:val="20"/>
          <w:color w:val="auto"/>
        </w:rPr>
      </w:pPr>
      <w:r>
        <w:rPr>
          <w:rFonts w:ascii="Times New Roman" w:cs="Times New Roman" w:eastAsia="Times New Roman" w:hAnsi="Times New Roman"/>
          <w:sz w:val="20"/>
          <w:szCs w:val="20"/>
          <w:color w:val="auto"/>
        </w:rPr>
        <w:t>subject to offset under any Processor Agreement, (b) any Cash deposited into escrow in connection with a Permitted Acquisition or other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transaction permitted hereunder, and (c) any other Cash or Cash Equivalents of such Peron(s) that have been pledged to a third party (other than the Secured Parties or any Cash or Cash Equivalents subject to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Lien to the Lien securing the Obligations).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Initial Borrower that is set forth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or is designated as an Unrestricted Subsidiary by the Borrower Representative after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in a written notice to Administrative Agent from time to time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5.09</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(b) each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Subsidiary of an Unrestricted Subsidiary. No Unrestricted Subsidiary may own or hold any intellectual property that is material to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business of PRTH and its Restricted Subsidiaries</w:t>
      </w:r>
      <w:r>
        <w:rPr>
          <w:rFonts w:ascii="Times New Roman" w:cs="Times New Roman" w:eastAsia="Times New Roman" w:hAnsi="Times New Roman"/>
          <w:sz w:val="20"/>
          <w:szCs w:val="20"/>
          <w:u w:val="single" w:color="auto"/>
          <w:color w:val="0000FF"/>
        </w:rPr>
        <w:t>, other than non-exclusive intellectual property licenses in connection with a 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Residual Financing</w:t>
      </w:r>
      <w:r>
        <w:rPr>
          <w:rFonts w:ascii="Times New Roman" w:cs="Times New Roman" w:eastAsia="Times New Roman" w:hAnsi="Times New Roman"/>
          <w:sz w:val="20"/>
          <w:szCs w:val="20"/>
          <w:color w:val="000000"/>
        </w:rPr>
        <w:t>. Notwithstanding the foregoing, (x) no Unrestricted Subsidiary may hold Capital Stock of or in any Borrower 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Restricted Subsidiary, (y) no Subsidiary that owns or holds Material Intellectual Property may be designated as an Unrestricted Subsidiary and (z) no Credit Party or any Restricted Subsidiary may transfer or contribute any Material Intellectual Property to any Unrestricted Subsidiary.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000000"/>
        </w:rPr>
        <w:t xml:space="preserve"> Date, the Unrestricted Subsidiaries are set forth on </w:t>
      </w:r>
      <w:r>
        <w:rPr>
          <w:rFonts w:ascii="Times New Roman" w:cs="Times New Roman" w:eastAsia="Times New Roman" w:hAnsi="Times New Roman"/>
          <w:sz w:val="20"/>
          <w:szCs w:val="20"/>
          <w:u w:val="single" w:color="auto"/>
          <w:color w:val="000000"/>
        </w:rPr>
        <w:t>Schedule 1.01(b)</w:t>
      </w:r>
      <w:r>
        <w:rPr>
          <w:rFonts w:ascii="Times New Roman" w:cs="Times New Roman" w:eastAsia="Times New Roman" w:hAnsi="Times New Roman"/>
          <w:sz w:val="20"/>
          <w:szCs w:val="20"/>
          <w:color w:val="000000"/>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Visa</w:t>
      </w:r>
      <w:r>
        <w:rPr>
          <w:rFonts w:ascii="Times New Roman" w:cs="Times New Roman" w:eastAsia="Times New Roman" w:hAnsi="Times New Roman"/>
          <w:sz w:val="20"/>
          <w:szCs w:val="20"/>
          <w:color w:val="auto"/>
        </w:rPr>
        <w:t>” means VISA International, Inc., Visa USA Incorporated and its related memberships and associations.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w:t>
      </w:r>
    </w:p>
    <w:p>
      <w:pPr>
        <w:jc w:val="both"/>
        <w:spacing w:after="0" w:line="215" w:lineRule="auto"/>
        <w:rPr>
          <w:sz w:val="20"/>
          <w:szCs w:val="20"/>
          <w:color w:val="auto"/>
        </w:rPr>
      </w:pPr>
      <w:r>
        <w:rPr>
          <w:rFonts w:ascii="Times New Roman" w:cs="Times New Roman" w:eastAsia="Times New Roman" w:hAnsi="Times New Roman"/>
          <w:sz w:val="19"/>
          <w:szCs w:val="19"/>
          <w:color w:val="auto"/>
        </w:rPr>
        <w:t>dividing: (a) the sum of the products obtained by multiplying (i) the amount of each then remaining installment, sinking fund, serial maturity or other required payments of principal, including payment at final maturity, in respect thereof, by (ii) the number of years (calculated to the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nearest one-twelfth) that will elapse between such date and the making of such payment; by (b) the then outstanding principal amount of such Indebtedness.</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w:t>
      </w:r>
      <w:r>
        <w:rPr>
          <w:rFonts w:ascii="Times New Roman" w:cs="Times New Roman" w:eastAsia="Times New Roman" w:hAnsi="Times New Roman"/>
          <w:sz w:val="20"/>
          <w:szCs w:val="20"/>
          <w:color w:val="auto"/>
        </w:rPr>
        <w:t xml:space="preserve"> “ means, as to any Person, (a) any corporation 100% of whose Capital Stock (other than directors’ qualifying shares or other nominal issuance in order to comply with local laws) is at the time owned by such Person and/or one or more wholly-owned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Subsidiaries of such Person and (b) any partnership, association, Joint Venture, limited liability company or other entity in which such Person and/or one or more wholly-owned Subsidiaries of such Person have a 100% equity interest at such time.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Credit Party and the Administrative Agent.</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w:t>
      </w:r>
    </w:p>
    <w:p>
      <w:pPr>
        <w:spacing w:after="0" w:line="212" w:lineRule="auto"/>
        <w:rPr>
          <w:sz w:val="20"/>
          <w:szCs w:val="20"/>
          <w:color w:val="auto"/>
        </w:rPr>
      </w:pPr>
      <w:r>
        <w:rPr>
          <w:rFonts w:ascii="Times New Roman" w:cs="Times New Roman" w:eastAsia="Times New Roman" w:hAnsi="Times New Roman"/>
          <w:sz w:val="20"/>
          <w:szCs w:val="20"/>
          <w:color w:val="auto"/>
        </w:rPr>
        <w:t>write-down and conversion powers are described in the EU Bail-In Legislation Schedule, and (b) with respect to the United Kingdom,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or obligations of that person or any other person, to provide that any such contract or instrument is to have effect as if a right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rPr>
          <w:sz w:val="20"/>
          <w:szCs w:val="20"/>
          <w:color w:val="auto"/>
        </w:rPr>
      </w:pPr>
      <w:r>
        <w:rPr>
          <w:rFonts w:ascii="Times New Roman" w:cs="Times New Roman" w:eastAsia="Times New Roman" w:hAnsi="Times New Roman"/>
          <w:sz w:val="20"/>
          <w:szCs w:val="20"/>
          <w:color w:val="auto"/>
        </w:rPr>
        <w:t>had been exercised under it or to suspend any obligation in respect of that liability or any of the powers under that Bail-In Legislation that are related to or ancillary to any of those powers.</w:t>
      </w:r>
    </w:p>
    <w:p>
      <w:pPr>
        <w:spacing w:after="0" w:line="9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Yield</w:t>
      </w:r>
      <w:r>
        <w:rPr>
          <w:rFonts w:ascii="Times New Roman" w:cs="Times New Roman" w:eastAsia="Times New Roman" w:hAnsi="Times New Roman"/>
          <w:sz w:val="20"/>
          <w:szCs w:val="20"/>
          <w:color w:val="auto"/>
        </w:rPr>
        <w:t>” means, as to any Indebtedness, the then “effective yield” on such Indebtedness consistent with generally accepted financial practice, taking into account the applicable interest rate margins, any interest rate floors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Indebtedness contains an</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interest rate floor higher than that applicable to the existing Initial Term Loans, the differential between interest rate floors shall be equated to the applicable interest rate margin for purposes of determining whether an increase to the interest rate margin under the existing Initial Term</w:t>
      </w:r>
    </w:p>
    <w:p>
      <w:pPr>
        <w:spacing w:after="0" w:line="211" w:lineRule="auto"/>
        <w:rPr>
          <w:sz w:val="20"/>
          <w:szCs w:val="20"/>
          <w:color w:val="auto"/>
        </w:rPr>
      </w:pPr>
      <w:r>
        <w:rPr>
          <w:rFonts w:ascii="Times New Roman" w:cs="Times New Roman" w:eastAsia="Times New Roman" w:hAnsi="Times New Roman"/>
          <w:sz w:val="20"/>
          <w:szCs w:val="20"/>
          <w:color w:val="auto"/>
        </w:rPr>
        <w:t>Loans shall be required, but only to the extent that an increase in the interest rate floor in the existing Initial Term Loans would cause an</w:t>
      </w:r>
    </w:p>
    <w:p>
      <w:pPr>
        <w:jc w:val="both"/>
        <w:spacing w:after="0" w:line="215" w:lineRule="auto"/>
        <w:rPr>
          <w:sz w:val="20"/>
          <w:szCs w:val="20"/>
          <w:color w:val="auto"/>
        </w:rPr>
      </w:pPr>
      <w:r>
        <w:rPr>
          <w:rFonts w:ascii="Times New Roman" w:cs="Times New Roman" w:eastAsia="Times New Roman" w:hAnsi="Times New Roman"/>
          <w:sz w:val="19"/>
          <w:szCs w:val="19"/>
          <w:color w:val="auto"/>
        </w:rPr>
        <w:t>increase in the interest rate then in effect thereunder, and in such case, the interest rate floor (but not the interest rate margin) applicable to the existing Initial Term Loans shall be increased to the extent of such differential between interest rate floors), all upfront or similar fees and</w:t>
      </w:r>
    </w:p>
    <w:p>
      <w:pPr>
        <w:spacing w:after="0" w:line="211" w:lineRule="auto"/>
        <w:rPr>
          <w:sz w:val="20"/>
          <w:szCs w:val="20"/>
          <w:color w:val="auto"/>
        </w:rPr>
      </w:pPr>
      <w:r>
        <w:rPr>
          <w:rFonts w:ascii="Times New Roman" w:cs="Times New Roman" w:eastAsia="Times New Roman" w:hAnsi="Times New Roman"/>
          <w:sz w:val="20"/>
          <w:szCs w:val="20"/>
          <w:color w:val="auto"/>
        </w:rPr>
        <w:t>original issue discount (with original issue discount being equated to interest based on an assumed four year life to maturity), but excluding</w:t>
      </w:r>
    </w:p>
    <w:p>
      <w:pPr>
        <w:jc w:val="both"/>
        <w:spacing w:after="0" w:line="204" w:lineRule="auto"/>
        <w:rPr>
          <w:sz w:val="20"/>
          <w:szCs w:val="20"/>
          <w:color w:val="auto"/>
        </w:rPr>
      </w:pPr>
      <w:r>
        <w:rPr>
          <w:rFonts w:ascii="Times New Roman" w:cs="Times New Roman" w:eastAsia="Times New Roman" w:hAnsi="Times New Roman"/>
          <w:sz w:val="20"/>
          <w:szCs w:val="20"/>
          <w:color w:val="auto"/>
        </w:rPr>
        <w:t>arrangement, structuring, underwriting, commitment, ticking, amendment or other fees (regardless of whether paid in whole or in part to any or all lenders) and other fees not paid generally to all lenders of such Indebtedness. For purposes of calculating the Yield, if such debt is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fixed-rate debt, it shall be deemed to be swapped to floating-rate debt on a customary matched maturity basis as is reasonably acceptable to Administrative Agent.</w:t>
      </w:r>
    </w:p>
    <w:p>
      <w:pPr>
        <w:spacing w:after="0" w:line="10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b w:val="1"/>
          <w:bCs w:val="1"/>
          <w:color w:val="auto"/>
        </w:rPr>
        <w:t>Accounting Terms</w:t>
      </w:r>
      <w:r>
        <w:rPr>
          <w:rFonts w:ascii="Times New Roman" w:cs="Times New Roman" w:eastAsia="Times New Roman" w:hAnsi="Times New Roman"/>
          <w:sz w:val="20"/>
          <w:szCs w:val="20"/>
          <w:color w:val="auto"/>
        </w:rPr>
        <w:t>. Except as otherwise expressly provided herein, all accounting terms not otherwise defined herein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144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have the meanings assigned to them in conformity with GAAP. Financial statements and other financial data (including financial ratios and other financial calculations) required to be delivered by Borrower Representative to Lenders pursuant to this Agreement shall be prepared in accordance with GAAP as in effect at the time of such preparation. If at any time any change in GAAP would affect the computation of any financial ratio set forth in any Credit Document, and the Borrower Representative or the Requisite Lenders shall so request, Administrative Agent and the Borrower Representative shall negotiate in good faith to amend such ratio or requirement to preserve the original intent thereof in light of such change in GAAP (subject to approval by the Requisite Lenders and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such ratio or requirement shall continue to be computed in accordance with GAAP immediately prior to such change therein, and the Borrower 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 detail the differences (including any differences that would affect any calculations relating to the financial covenant as set forth in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(i) any election under Statement of Financial Accounting Standards 159 (or any other Financial Accounting Standard having a similar result or effect) to value any Indebtedness or other liabilities of the Borrowers or any of their respective Subsidiaries at “fair value,” as defined therein or (ii) any treatment of Indebtedness in respect of convertible debt instruments under ASC 470-20 (or any other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 contained herein, any lease (or similar arrangement conveying the right to use) that (x) would have been treated as an operating lease for purposes of GAAP prior to December 15, 2018 or (y) would be treated as an operating lease for purpose of GAAP without giving effect to the implementation of ASC 842 may, in the sole discretion of the Borrower Representative, not be treated as Indebtedness, or as a Capital Lease and, in such case, shall continue to be treated as an operating lease (and any future lease or similar arrangement conveying the right to use), in each case for purposes of Indebtedness under this Agreement, notwithstanding such change in GAAP.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40"/>
          </w:cols>
          <w:pgMar w:left="320" w:top="1399" w:right="339" w:bottom="1440" w:gutter="0" w:footer="0" w:header="0"/>
        </w:sectPr>
      </w:pPr>
    </w:p>
    <w:bookmarkStart w:id="87" w:name="page88"/>
    <w:bookmarkEnd w:id="87"/>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color w:val="auto"/>
        </w:rPr>
        <w:t>Interpretation, Etc.</w:t>
      </w:r>
      <w:r>
        <w:rPr>
          <w:rFonts w:ascii="Times New Roman" w:cs="Times New Roman" w:eastAsia="Times New Roman" w:hAnsi="Times New Roman"/>
          <w:sz w:val="20"/>
          <w:szCs w:val="20"/>
          <w:color w:val="auto"/>
        </w:rPr>
        <w:t xml:space="preserve"> With reference to this Agreement and each other Credit Document, unless otherwise specified herein or in such other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1183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68" w:lineRule="exact"/>
        <w:rPr>
          <w:sz w:val="20"/>
          <w:szCs w:val="20"/>
          <w:color w:val="auto"/>
        </w:rPr>
      </w:pPr>
    </w:p>
    <w:p>
      <w:pPr>
        <w:jc w:val="both"/>
        <w:ind w:firstLine="656"/>
        <w:spacing w:after="0" w:line="249" w:lineRule="auto"/>
        <w:tabs>
          <w:tab w:leader="none" w:pos="108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“SOFR Loan”)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“SOFR Term Loan”) and (y) Borrowings also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“SOFR Borrowing”)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“SOFR Term Borrowing”).</w:t>
      </w:r>
    </w:p>
    <w:p>
      <w:pPr>
        <w:spacing w:after="0" w:line="146" w:lineRule="exact"/>
        <w:rPr>
          <w:rFonts w:ascii="Times New Roman" w:cs="Times New Roman" w:eastAsia="Times New Roman" w:hAnsi="Times New Roman"/>
          <w:sz w:val="20"/>
          <w:szCs w:val="20"/>
          <w:color w:val="auto"/>
        </w:rPr>
      </w:pPr>
    </w:p>
    <w:p>
      <w:pPr>
        <w:ind w:right="20" w:firstLine="656"/>
        <w:spacing w:after="0" w:line="269" w:lineRule="auto"/>
        <w:tabs>
          <w:tab w:leader="none" w:pos="12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color w:val="auto"/>
        </w:rPr>
        <w:t>Rounding</w:t>
      </w:r>
      <w:r>
        <w:rPr>
          <w:rFonts w:ascii="Times New Roman" w:cs="Times New Roman" w:eastAsia="Times New Roman" w:hAnsi="Times New Roman"/>
          <w:sz w:val="20"/>
          <w:szCs w:val="20"/>
          <w:color w:val="auto"/>
        </w:rPr>
        <w:t>. Any financial ratios required to be maintained by the Initial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673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color w:val="auto"/>
        </w:rPr>
        <w:t>References to Organizational Documents, Agreements, Laws, Etc.</w:t>
      </w:r>
      <w:r>
        <w:rPr>
          <w:rFonts w:ascii="Times New Roman" w:cs="Times New Roman" w:eastAsia="Times New Roman" w:hAnsi="Times New Roman"/>
          <w:sz w:val="20"/>
          <w:szCs w:val="20"/>
          <w:color w:val="auto"/>
        </w:rPr>
        <w:t xml:space="preserve"> Unless otherwise expressly provided herein, (a) 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3764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64915"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40"/>
          </w:cols>
          <w:pgMar w:left="320" w:top="1409" w:right="339" w:bottom="1440" w:gutter="0" w:footer="0" w:header="0"/>
        </w:sectPr>
      </w:pPr>
    </w:p>
    <w:bookmarkStart w:id="88" w:name="page89"/>
    <w:bookmarkEnd w:id="8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and (c) all references to any Governmental Authority, shall include any other Governmental Authority that shall have succeeded to any or all of the functions thereof.</w:t>
      </w:r>
    </w:p>
    <w:p>
      <w:pPr>
        <w:spacing w:after="0" w:line="88" w:lineRule="exact"/>
        <w:rPr>
          <w:sz w:val="20"/>
          <w:szCs w:val="20"/>
          <w:color w:val="auto"/>
        </w:rPr>
      </w:pPr>
    </w:p>
    <w:p>
      <w:pPr>
        <w:ind w:right="480" w:firstLine="648"/>
        <w:spacing w:after="0" w:line="287"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color w:val="auto"/>
        </w:rPr>
        <w:t>Time of Day</w:t>
      </w:r>
      <w:r>
        <w:rPr>
          <w:rFonts w:ascii="Times New Roman" w:cs="Times New Roman" w:eastAsia="Times New Roman" w:hAnsi="Times New Roman"/>
          <w:sz w:val="20"/>
          <w:szCs w:val="20"/>
          <w:color w:val="auto"/>
        </w:rPr>
        <w:t>. Unless otherwise specified, all references herein to times of day shall be references to New York City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78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6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color w:val="auto"/>
        </w:rPr>
        <w:t>Timing of Payment of Performance</w:t>
      </w:r>
      <w:r>
        <w:rPr>
          <w:rFonts w:ascii="Times New Roman" w:cs="Times New Roman" w:eastAsia="Times New Roman" w:hAnsi="Times New Roman"/>
          <w:sz w:val="20"/>
          <w:szCs w:val="20"/>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shall be reflected in the computation of interest or fees,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21393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39315" cy="8890"/>
                    </a:xfrm>
                    <a:prstGeom prst="rect">
                      <a:avLst/>
                    </a:prstGeom>
                    <a:noFill/>
                  </pic:spPr>
                </pic:pic>
              </a:graphicData>
            </a:graphic>
          </wp:anchor>
        </w:drawing>
      </w:r>
    </w:p>
    <w:p>
      <w:pPr>
        <w:spacing w:after="0" w:line="1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color w:val="auto"/>
        </w:rPr>
        <w:t>Pro Forma Calculations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6" w:lineRule="exact"/>
        <w:rPr>
          <w:sz w:val="20"/>
          <w:szCs w:val="20"/>
          <w:color w:val="auto"/>
        </w:rPr>
      </w:pPr>
    </w:p>
    <w:p>
      <w:pPr>
        <w:jc w:val="both"/>
        <w:ind w:firstLine="656"/>
        <w:spacing w:after="0" w:line="265" w:lineRule="auto"/>
        <w:tabs>
          <w:tab w:leader="none" w:pos="122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financial ratios and tests, including the Total Net Leverage Ratio and compliance with covenants determined by reference to Consolidated Adjusted EBITDA or Consolidated Total Assets, shall be calculated in the manner prescribed by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(A) when calculating any such ratio or test for purposes of (i) the definition of “Applicable Margin”; (ii) the definition of “Applicable ECF Percentage” and (iii)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(other than for the purpose of determining Pro Forma Compliance with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the events described in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not be “netted” in the pro forma calculation of any applicable ratio or test (including compliance with covenants defined by reference to Consolidated Adjusted EBITDA or Consolidated Total Assets).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Times New Roman" w:cs="Times New Roman" w:eastAsia="Times New Roman" w:hAnsi="Times New Roman"/>
          <w:sz w:val="19"/>
          <w:szCs w:val="19"/>
          <w:u w:val="single" w:color="auto"/>
          <w:color w:val="auto"/>
        </w:rPr>
        <w:t>Section 5.01(b)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for the relevant Test Period.</w:t>
      </w:r>
    </w:p>
    <w:p>
      <w:pPr>
        <w:spacing w:after="0" w:line="169" w:lineRule="exact"/>
        <w:rPr>
          <w:rFonts w:ascii="Times New Roman" w:cs="Times New Roman" w:eastAsia="Times New Roman" w:hAnsi="Times New Roman"/>
          <w:sz w:val="19"/>
          <w:szCs w:val="19"/>
          <w:color w:val="auto"/>
        </w:rPr>
      </w:pPr>
    </w:p>
    <w:p>
      <w:pPr>
        <w:jc w:val="both"/>
        <w:ind w:firstLine="656"/>
        <w:spacing w:after="0" w:line="250" w:lineRule="auto"/>
        <w:tabs>
          <w:tab w:leader="none" w:pos="107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that have been consummated (i) during the applicable Test Period or (ii) if applicable as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then such financial ratio or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40"/>
          </w:cols>
          <w:pgMar w:left="320" w:top="14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 xml:space="preserve">test (or Consolidated Total Assets) shall be calculated to give Pro Forma Effect thereto in accordance with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71" w:lineRule="auto"/>
        <w:tabs>
          <w:tab w:leader="none" w:pos="107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Times New Roman" w:cs="Times New Roman" w:eastAsia="Times New Roman" w:hAnsi="Times New Roman"/>
          <w:sz w:val="19"/>
          <w:szCs w:val="19"/>
          <w:u w:val="single" w:color="auto"/>
          <w:color w:val="auto"/>
        </w:rPr>
        <w:t>clause (i)(r)</w:t>
      </w:r>
      <w:r>
        <w:rPr>
          <w:rFonts w:ascii="Times New Roman" w:cs="Times New Roman" w:eastAsia="Times New Roman" w:hAnsi="Times New Roman"/>
          <w:sz w:val="19"/>
          <w:szCs w:val="19"/>
          <w:color w:val="auto"/>
        </w:rPr>
        <w:t xml:space="preserve"> of the definition of Consolidated Adjusted EBITDA.</w:t>
      </w:r>
    </w:p>
    <w:p>
      <w:pPr>
        <w:spacing w:after="0" w:line="174" w:lineRule="exact"/>
        <w:rPr>
          <w:rFonts w:ascii="Times New Roman" w:cs="Times New Roman" w:eastAsia="Times New Roman" w:hAnsi="Times New Roman"/>
          <w:sz w:val="19"/>
          <w:szCs w:val="19"/>
          <w:color w:val="auto"/>
        </w:rPr>
      </w:pPr>
    </w:p>
    <w:p>
      <w:pPr>
        <w:jc w:val="both"/>
        <w:ind w:firstLine="656"/>
        <w:spacing w:after="0" w:line="253" w:lineRule="auto"/>
        <w:tabs>
          <w:tab w:leader="none" w:pos="115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Initial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2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hereby agreed that (x) for purposes of determining pro forma compliance prior to the Fiscal Quarter ended September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the applicable covenant level for determining such pro forma compliance shall be the covenant level used for September 30, 2024 and</w:t>
      </w:r>
    </w:p>
    <w:p>
      <w:pPr>
        <w:spacing w:after="0" w:line="6" w:lineRule="exact"/>
        <w:rPr>
          <w:sz w:val="20"/>
          <w:szCs w:val="20"/>
          <w:color w:val="auto"/>
        </w:rPr>
      </w:pPr>
    </w:p>
    <w:p>
      <w:pPr>
        <w:jc w:val="both"/>
        <w:ind w:firstLine="8"/>
        <w:spacing w:after="0" w:line="256" w:lineRule="auto"/>
        <w:tabs>
          <w:tab w:leader="none" w:pos="28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any determination of a covenant or ratio is made prior to the date on which financial statements have been delivered for the Fiscal Quarter ending June 30, 2024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any such calculation or determination shall be based on the most recent Historical Financial Statements.</w:t>
      </w:r>
    </w:p>
    <w:p>
      <w:pPr>
        <w:spacing w:after="0" w:line="11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action being taken in connection with a Limited Condition Transaction, for purposes of:</w:t>
      </w:r>
    </w:p>
    <w:p>
      <w:pPr>
        <w:spacing w:after="0" w:line="229" w:lineRule="exact"/>
        <w:rPr>
          <w:rFonts w:ascii="Times New Roman" w:cs="Times New Roman" w:eastAsia="Times New Roman" w:hAnsi="Times New Roman"/>
          <w:sz w:val="20"/>
          <w:szCs w:val="20"/>
          <w:color w:val="auto"/>
        </w:rPr>
      </w:pPr>
    </w:p>
    <w:p>
      <w:pPr>
        <w:ind w:left="1300" w:firstLine="652"/>
        <w:spacing w:after="0" w:line="269" w:lineRule="auto"/>
        <w:tabs>
          <w:tab w:leader="none" w:pos="235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(other than actual compliance with the Financial Covenant) which requires the calculation of any financial ratio or test, including the Total Net Leverage Ratio;</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78"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availability under baskets set forth in this Agreement (including baskets determined by reference to Consolidated Adjusted EBITDA or Consolidated Total Assets and baskets subject to Default and Event of Default conditions); or</w:t>
      </w:r>
    </w:p>
    <w:p>
      <w:pPr>
        <w:spacing w:after="0" w:line="127"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2"/>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determining compliance with representations, warranties, or the occurrence of any Default or Event of Default;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each case, at the option of the Borrower Representative (the Borrower Representative’s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the date of determination of whether any such action is permitted hereunder (including actions in connection therewith) or any requirement, representation or warranty or condition therefor is complied with or satisfied (including as to the absence of any continuing Default or Event of Default (other than with respect to a condition that no Event of Default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has occurred and is continuing which shall be tested on the date of the consummation of such Limited Condition Transaction)), shall be deemed to be the date the definitive agreements for such Limited Condition Transaction are entered into or, in the case of an irrevocable notice, such notice is sent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giving Pro Forma Effect to the Limited Condition Transaction (and the other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49" w:lineRule="auto"/>
        <w:rPr>
          <w:sz w:val="20"/>
          <w:szCs w:val="20"/>
          <w:color w:val="auto"/>
        </w:rPr>
      </w:pPr>
      <w:r>
        <w:rPr>
          <w:rFonts w:ascii="Times New Roman" w:cs="Times New Roman" w:eastAsia="Times New Roman" w:hAnsi="Times New Roman"/>
          <w:sz w:val="20"/>
          <w:szCs w:val="20"/>
          <w:color w:val="auto"/>
        </w:rPr>
        <w:t>transactions to be entered into in connection therewith), the Borrowers or any of their respective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in each case regardless of whether such provision makes reference to this clause (f), a Limited Condition Transaction or an LCT Election.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the Borrowers or the Person subject to such Limited Condition Transaction, at or prior to the consummation of the relevant transaction or action, such baskets, tests or ratios will not be deemed to have failed to have been complied with as a result of such fluctuations. If the Borrower Representative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Borrower, the prepayment, redemption, purchase, defeasance or other satisfaction of Indebtedness, or the designation of an Unrestricted Subsidiary (each, a “</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following the relevant LCT Test Date and prior to the earlier of (x) the date on which such Limited Condition Transaction is consummated or (y) the date that the definitive agreement or irrevocable notice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in the case of any Restricted Payment, assuming such Limited Condition Transaction and other transactions in connection therewith (including any incurrence of Indebtedness and the use of proceeds thereof) have not been consummated.</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b w:val="1"/>
          <w:bCs w:val="1"/>
          <w:color w:val="auto"/>
        </w:rPr>
        <w:t>Currency Generally</w:t>
      </w:r>
      <w:r>
        <w:rPr>
          <w:rFonts w:ascii="Times New Roman" w:cs="Times New Roman" w:eastAsia="Times New Roman" w:hAnsi="Times New Roman"/>
          <w:sz w:val="20"/>
          <w:szCs w:val="20"/>
          <w:color w:val="auto"/>
        </w:rPr>
        <w:t xml:space="preserve">. For purposes of calculating the Total Net Leverage Ratio in connection with determining Pro Forma Compliance or otherwise calculating the Total Net Leverage Ratio on any date of determination, amounts denominated in a currency other than Dollars will be translated into Dollars at the currency exchange rates used in the latest financial statements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1252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b w:val="1"/>
          <w:bCs w:val="1"/>
          <w:color w:val="auto"/>
        </w:rPr>
        <w:t>Letter of Credit Amounts</w:t>
      </w:r>
      <w:r>
        <w:rPr>
          <w:rFonts w:ascii="Times New Roman" w:cs="Times New Roman" w:eastAsia="Times New Roman" w:hAnsi="Times New Roman"/>
          <w:sz w:val="20"/>
          <w:szCs w:val="20"/>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1537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10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color w:val="auto"/>
        </w:rPr>
        <w:t>Cashless Rollovers</w:t>
      </w:r>
      <w:r>
        <w:rPr>
          <w:rFonts w:ascii="Times New Roman" w:cs="Times New Roman" w:eastAsia="Times New Roman" w:hAnsi="Times New Roman"/>
          <w:sz w:val="20"/>
          <w:szCs w:val="20"/>
          <w:color w:val="auto"/>
        </w:rPr>
        <w:t>. Notwithstanding anything to the contrary contained in this Agreement, any Lender may exchange, continue, convert or rollover all or a portion of its Loans in connection with any refinancing, Extension, loan modification or similar transaction permitted by the terms of this Agreement, pursuant to a cashless settlement mechanism approved by the Borrower Representative, Administrative Agent and such Lender, and such Extension, loan modification or similar transaction, renewal or refinancing shall be deemed to comply with any requirement hereunder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-635000</wp:posOffset>
            </wp:positionV>
            <wp:extent cx="12299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40"/>
          </w:cols>
          <w:pgMar w:left="320" w:top="1413" w:right="339" w:bottom="1440" w:gutter="0" w:footer="0" w:header="0"/>
        </w:sectPr>
      </w:pPr>
    </w:p>
    <w:bookmarkStart w:id="91" w:name="page92"/>
    <w:bookmarkEnd w:id="91"/>
    <w:p>
      <w:pPr>
        <w:ind w:right="20"/>
        <w:spacing w:after="0" w:line="283" w:lineRule="auto"/>
        <w:rPr>
          <w:sz w:val="20"/>
          <w:szCs w:val="20"/>
          <w:color w:val="auto"/>
        </w:rPr>
      </w:pPr>
      <w:r>
        <w:rPr>
          <w:rFonts w:ascii="Times New Roman" w:cs="Times New Roman" w:eastAsia="Times New Roman" w:hAnsi="Times New Roman"/>
          <w:sz w:val="20"/>
          <w:szCs w:val="20"/>
          <w:color w:val="auto"/>
        </w:rPr>
        <w:t>other Credit Document that such payment be made “in Dollars”, “in immediately available funds”, “in Cash” or any other similar requirement.</w:t>
      </w:r>
    </w:p>
    <w:p>
      <w:pPr>
        <w:spacing w:after="0" w:line="8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4343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2" w:lineRule="exact"/>
        <w:rPr>
          <w:sz w:val="20"/>
          <w:szCs w:val="20"/>
          <w:color w:val="auto"/>
        </w:rPr>
      </w:pPr>
    </w:p>
    <w:p>
      <w:pPr>
        <w:jc w:val="both"/>
        <w:ind w:firstLine="8"/>
        <w:spacing w:after="0" w:line="249" w:lineRule="auto"/>
        <w:tabs>
          <w:tab w:leader="none" w:pos="30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Base Rate, the Term SOFR Reference Rate, Term SOFR or any other Benchmark, or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color w:val="auto"/>
        </w:rPr>
        <w:t>Divisions</w:t>
      </w:r>
      <w:r>
        <w:rPr>
          <w:rFonts w:ascii="Times New Roman" w:cs="Times New Roman" w:eastAsia="Times New Roman" w:hAnsi="Times New Roman"/>
          <w:sz w:val="20"/>
          <w:szCs w:val="20"/>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if applicable, treated as a newly formed or acquired Restricted Subsidiary) on the first date of its existence by the holders of its Capital Stock at such time; provided that, notwithstanding anything to the contrary herein, in no event shall any Borrower enter into any such division or plan of division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-944245</wp:posOffset>
            </wp:positionV>
            <wp:extent cx="6311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9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b w:val="1"/>
          <w:bCs w:val="1"/>
          <w:color w:val="auto"/>
        </w:rPr>
        <w:t>Certain Determinations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398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59" w:lineRule="exact"/>
        <w:rPr>
          <w:sz w:val="20"/>
          <w:szCs w:val="20"/>
          <w:color w:val="auto"/>
        </w:rPr>
      </w:pPr>
    </w:p>
    <w:p>
      <w:pPr>
        <w:jc w:val="both"/>
        <w:ind w:firstLine="656"/>
        <w:spacing w:after="0" w:line="250" w:lineRule="auto"/>
        <w:tabs>
          <w:tab w:leader="none" w:pos="10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with any of the covenants set forth in Article V or Article VI (including in connection with any Incremental Commitment) at any time (whether at the time of incurrence or thereafter), if any Lien, Investment, Indebtedness, Asset Sale, Restricted Payment, Restricted Debt Payment or Affiliate transaction meets the criteria of one, or more than one, of the clauses of the provision permitting such Lien, Investment, Asset Sale, Restricted Payment, Restricted Debt Payment or Affiliate transaction as the case may be, the Borrower Representative (i) shall in its sole discretion determine under which clause or clauses such Lien (other than Liens with respect to the Facilities), Investment, Indebtedness (other than Indebtedness consisting of the Facilities, Incremental Equivalent Debt or Credit Agreement Refinancing Indebtedness), Asset Sale, Restricted Payments, Restricted Debt Payment, or Affiliate transaction (or, in each case, any portion thereof), as the case may be, is classified and (ii) shall be permitted in its sole discretion, to make any subsequent re-determination and/or at a later time divide, classify or reclassify under which clause or clauses such Lien (other than Liens with respect to the Facilities), Investment, Indebtedness (other than Indebtedness under the Facilities, Incremental Equivalent Debt or Credit Agreement Refinancing Indebtedness), Asset Sale,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20"/>
          <w:szCs w:val="20"/>
          <w:color w:val="auto"/>
        </w:rPr>
        <w:t>Restricted Payments, Restricted Debt Payments or Affiliate transaction as the case may be, is permitted within the same covenant from time to time. For the avoidance of doubt, if the applicable date for meeting any requirement hereunder or under any other Credit Document falls on a day that is not a Business Day, compliance with such requirement shall not be required until noon on the first Business Day following such applicable date.</w:t>
      </w:r>
    </w:p>
    <w:p>
      <w:pPr>
        <w:spacing w:after="0" w:line="118" w:lineRule="exact"/>
        <w:rPr>
          <w:sz w:val="20"/>
          <w:szCs w:val="20"/>
          <w:color w:val="auto"/>
        </w:rPr>
      </w:pPr>
    </w:p>
    <w:p>
      <w:pPr>
        <w:jc w:val="both"/>
        <w:ind w:firstLine="656"/>
        <w:spacing w:after="0" w:line="253" w:lineRule="auto"/>
        <w:tabs>
          <w:tab w:leader="none" w:pos="12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Total Net Leverage Ratio) (any such amounts,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intended to be utilized with or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20"/>
          <w:szCs w:val="20"/>
          <w:u w:val="single" w:color="auto"/>
          <w:color w:val="auto"/>
        </w:rPr>
        <w:t>Incurrence Based Amounts</w:t>
      </w:r>
      <w:r>
        <w:rPr>
          <w:rFonts w:ascii="Times New Roman" w:cs="Times New Roman" w:eastAsia="Times New Roman" w:hAnsi="Times New Roman"/>
          <w:sz w:val="20"/>
          <w:szCs w:val="20"/>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3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baskets set forth in Article VI are exceeded solely as a result of fluctuations in Consolidated Adjusted EBITDA for the most recent Test Period after the last time such baskets were calculated for any purpose under Article VI, such baskets will be deemed not to have been exceeded solely as a result of such fluctuations.</w:t>
      </w:r>
    </w:p>
    <w:p>
      <w:pPr>
        <w:spacing w:after="0" w:line="110"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Loans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b w:val="1"/>
          <w:bCs w:val="1"/>
          <w:color w:val="auto"/>
        </w:rPr>
        <w:t>Loans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454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48" w:lineRule="auto"/>
        <w:tabs>
          <w:tab w:leader="none" w:pos="187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 Borrowings</w:t>
      </w:r>
      <w:r>
        <w:rPr>
          <w:rFonts w:ascii="Times New Roman" w:cs="Times New Roman" w:eastAsia="Times New Roman" w:hAnsi="Times New Roman"/>
          <w:sz w:val="20"/>
          <w:szCs w:val="20"/>
          <w:color w:val="auto"/>
        </w:rPr>
        <w:t>. (i) Subject to the terms and conditions hereof,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each Term Lender with a </w:t>
      </w:r>
      <w:r>
        <w:rPr>
          <w:rFonts w:ascii="Times New Roman" w:cs="Times New Roman" w:eastAsia="Times New Roman" w:hAnsi="Times New Roman"/>
          <w:sz w:val="20"/>
          <w:szCs w:val="20"/>
          <w:u w:val="single" w:color="auto"/>
          <w:color w:val="0000FF"/>
        </w:rPr>
        <w:t>2025-1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Refinancing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Commitment on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severally agrees to make, on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No. 2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a Term Loan denominated in Dollars to the Borrowers (on a joint and several basis) in an aggregate principal amount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equal to such Term Lender’s </w:t>
      </w:r>
      <w:r>
        <w:rPr>
          <w:rFonts w:ascii="Times New Roman" w:cs="Times New Roman" w:eastAsia="Times New Roman" w:hAnsi="Times New Roman"/>
          <w:sz w:val="20"/>
          <w:szCs w:val="20"/>
          <w:u w:val="single" w:color="auto"/>
          <w:color w:val="0000FF"/>
        </w:rPr>
        <w:t>2025-1 Refinancing</w:t>
      </w:r>
      <w:r>
        <w:rPr>
          <w:rFonts w:ascii="Times New Roman" w:cs="Times New Roman" w:eastAsia="Times New Roman" w:hAnsi="Times New Roman"/>
          <w:sz w:val="20"/>
          <w:szCs w:val="20"/>
          <w:color w:val="000000"/>
        </w:rPr>
        <w:t xml:space="preserve"> Term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000000"/>
        </w:rPr>
        <w:t xml:space="preserve"> Commitment and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000000"/>
        </w:rPr>
        <w:t xml:space="preserve">) each </w:t>
      </w:r>
      <w:r>
        <w:rPr>
          <w:rFonts w:ascii="Times New Roman" w:cs="Times New Roman" w:eastAsia="Times New Roman" w:hAnsi="Times New Roman"/>
          <w:sz w:val="20"/>
          <w:szCs w:val="20"/>
          <w:color w:val="FF0000"/>
          <w:strike w:val="1"/>
        </w:rPr>
        <w:t>Existing</w:t>
      </w:r>
      <w:r>
        <w:rPr>
          <w:rFonts w:ascii="Times New Roman" w:cs="Times New Roman" w:eastAsia="Times New Roman" w:hAnsi="Times New Roman"/>
          <w:sz w:val="20"/>
          <w:szCs w:val="20"/>
          <w:color w:val="000000"/>
        </w:rPr>
        <w:t xml:space="preserve"> Term Lender </w:t>
      </w:r>
      <w:r>
        <w:rPr>
          <w:rFonts w:ascii="Times New Roman" w:cs="Times New Roman" w:eastAsia="Times New Roman" w:hAnsi="Times New Roman"/>
          <w:sz w:val="20"/>
          <w:szCs w:val="20"/>
          <w:color w:val="FF0000"/>
          <w:strike w:val="1"/>
        </w:rPr>
        <w:t>agrees to exchange all (or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such lesser amount as the Lead Arrangers in consultation with the Borrowers have allocated to such Existing Term Lender) of its Existing Term Loans, pursuant to cashless settlement mechanisms consistent with Section 1.11, for an Initial Term Loan not to exceed the</w:t>
      </w:r>
      <w:r>
        <w:rPr>
          <w:rFonts w:ascii="Times New Roman" w:cs="Times New Roman" w:eastAsia="Times New Roman" w:hAnsi="Times New Roman"/>
          <w:sz w:val="20"/>
          <w:szCs w:val="20"/>
          <w:u w:val="single" w:color="auto"/>
          <w:color w:val="0000FF"/>
          <w:strike w:val="1"/>
        </w:rPr>
        <w:t>with a 2025-1 Incremental Term Commitment on the Amendment No. 2 Effective Date severally agrees to make, on the Amendment No. 2 Effective Date, a Term Loan denominated in Dollars to the Borrowers (on a joint and several basis) in an aggregate principal</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amount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of</w:t>
      </w:r>
      <w:r>
        <w:rPr>
          <w:rFonts w:ascii="Times New Roman" w:cs="Times New Roman" w:eastAsia="Times New Roman" w:hAnsi="Times New Roman"/>
          <w:sz w:val="20"/>
          <w:szCs w:val="20"/>
          <w:u w:val="single" w:color="auto"/>
          <w:color w:val="0000FF"/>
          <w:strike w:val="1"/>
        </w:rPr>
        <w:t>equal to</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Term Lender’s </w:t>
      </w:r>
      <w:r>
        <w:rPr>
          <w:rFonts w:ascii="Times New Roman" w:cs="Times New Roman" w:eastAsia="Times New Roman" w:hAnsi="Times New Roman"/>
          <w:sz w:val="20"/>
          <w:szCs w:val="20"/>
          <w:u w:val="single" w:color="auto"/>
          <w:color w:val="0000FF"/>
          <w:strike w:val="1"/>
        </w:rPr>
        <w:t>2025-1 Incremental</w:t>
      </w:r>
      <w:r>
        <w:rPr>
          <w:rFonts w:ascii="Times New Roman" w:cs="Times New Roman" w:eastAsia="Times New Roman" w:hAnsi="Times New Roman"/>
          <w:sz w:val="20"/>
          <w:szCs w:val="20"/>
          <w:color w:val="000000"/>
          <w:strike w:val="1"/>
        </w:rPr>
        <w:t xml:space="preserve"> Term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000000"/>
          <w:strike w:val="1"/>
        </w:rPr>
        <w:t xml:space="preserve"> Commitment </w:t>
      </w:r>
      <w:r>
        <w:rPr>
          <w:rFonts w:ascii="Times New Roman" w:cs="Times New Roman" w:eastAsia="Times New Roman" w:hAnsi="Times New Roman"/>
          <w:sz w:val="20"/>
          <w:szCs w:val="20"/>
          <w:color w:val="FF0000"/>
          <w:strike w:val="1"/>
        </w:rPr>
        <w:t>on the Closing Date</w:t>
      </w:r>
      <w:r>
        <w:rPr>
          <w:rFonts w:ascii="Times New Roman" w:cs="Times New Roman" w:eastAsia="Times New Roman" w:hAnsi="Times New Roman"/>
          <w:sz w:val="20"/>
          <w:szCs w:val="20"/>
          <w:color w:val="000000"/>
          <w:strike w:val="1"/>
        </w:rPr>
        <w:t xml:space="preserve"> and (ii)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strike w:val="1"/>
        </w:rPr>
        <w:t>Amendment No. 2 Effective</w:t>
      </w:r>
      <w:r>
        <w:rPr>
          <w:rFonts w:ascii="Times New Roman" w:cs="Times New Roman" w:eastAsia="Times New Roman" w:hAnsi="Times New Roman"/>
          <w:sz w:val="20"/>
          <w:szCs w:val="20"/>
          <w:color w:val="000000"/>
          <w:strike w:val="1"/>
        </w:rPr>
        <w:t xml:space="preserve">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Times New Roman" w:cs="Times New Roman" w:eastAsia="Times New Roman" w:hAnsi="Times New Roman"/>
          <w:sz w:val="20"/>
          <w:szCs w:val="20"/>
          <w:u w:val="single" w:color="auto"/>
          <w:color w:val="000000"/>
          <w:strike w:val="1"/>
        </w:rPr>
        <w:t>Section 2.01(a)</w:t>
      </w:r>
      <w:r>
        <w:rPr>
          <w:rFonts w:ascii="Times New Roman" w:cs="Times New Roman" w:eastAsia="Times New Roman" w:hAnsi="Times New Roman"/>
          <w:sz w:val="20"/>
          <w:szCs w:val="20"/>
          <w:color w:val="000000"/>
          <w:strike w:val="1"/>
        </w:rPr>
        <w:t xml:space="preserve"> and subsequently repaid or prepaid may not be reborrowed. Subject to </w:t>
      </w:r>
      <w:r>
        <w:rPr>
          <w:rFonts w:ascii="Times New Roman" w:cs="Times New Roman" w:eastAsia="Times New Roman" w:hAnsi="Times New Roman"/>
          <w:sz w:val="20"/>
          <w:szCs w:val="20"/>
          <w:u w:val="single" w:color="auto"/>
          <w:color w:val="000000"/>
          <w:strike w:val="1"/>
        </w:rPr>
        <w:t>Sections 2.11</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00"/>
          <w:strike w:val="1"/>
        </w:rPr>
        <w:t>2.12</w:t>
      </w:r>
      <w:r>
        <w:rPr>
          <w:rFonts w:ascii="Times New Roman" w:cs="Times New Roman" w:eastAsia="Times New Roman" w:hAnsi="Times New Roman"/>
          <w:sz w:val="20"/>
          <w:szCs w:val="20"/>
          <w:color w:val="000000"/>
          <w:strike w:val="1"/>
        </w:rPr>
        <w:t xml:space="preserve"> and </w:t>
      </w:r>
      <w:r>
        <w:rPr>
          <w:rFonts w:ascii="Times New Roman" w:cs="Times New Roman" w:eastAsia="Times New Roman" w:hAnsi="Times New Roman"/>
          <w:sz w:val="20"/>
          <w:szCs w:val="20"/>
          <w:u w:val="single" w:color="auto"/>
          <w:color w:val="000000"/>
          <w:strike w:val="1"/>
        </w:rPr>
        <w:t>2.13</w:t>
      </w:r>
      <w:r>
        <w:rPr>
          <w:rFonts w:ascii="Times New Roman" w:cs="Times New Roman" w:eastAsia="Times New Roman" w:hAnsi="Times New Roman"/>
          <w:sz w:val="20"/>
          <w:szCs w:val="20"/>
          <w:color w:val="000000"/>
          <w:strike w:val="1"/>
        </w:rPr>
        <w:t>, all amounts owed hereunder with respect to the Term Loans shall be paid in full no later than the Maturity Date. Term Loans may be Base Rate Loans or SOFR Loans, as further provided herein.</w:t>
      </w:r>
    </w:p>
    <w:p>
      <w:pPr>
        <w:spacing w:after="0" w:line="153"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7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Borrowings</w:t>
      </w:r>
      <w:r>
        <w:rPr>
          <w:rFonts w:ascii="Times New Roman" w:cs="Times New Roman" w:eastAsia="Times New Roman" w:hAnsi="Times New Roman"/>
          <w:sz w:val="20"/>
          <w:szCs w:val="20"/>
          <w:color w:val="auto"/>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xml:space="preserve"> may be repaid and reborrowed during the Revolving Commitment Period. Revolving Loans may be Base Rate Loans or SOFR Loans as further provided herein.</w:t>
      </w:r>
    </w:p>
    <w:p>
      <w:pPr>
        <w:spacing w:after="0" w:line="9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b w:val="1"/>
          <w:bCs w:val="1"/>
          <w:color w:val="auto"/>
        </w:rPr>
        <w:t>Borrowings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751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63" w:lineRule="auto"/>
        <w:tabs>
          <w:tab w:leader="none" w:pos="1854"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Term Borrowing and each Revolving Credit Borrowing shall be made upon the Borrower Representative’s irrevocable (provided, that any such notice may state that it is conditioned upon the effectiveness of other transactions, in which case such notice may be revoked by the Borrower Representative by notice to the Administrative Agent on or prior to the specified effective date if such condition is not satisfied) notice to Administrative Agent, on behalf of the applicable Borrower. Each such notice from the Borrower Representative shall be in the form of a fully executed Funding Notice delivered to Administrative Agent no later than (i) 12:00 p.m. at least three (3) Business Days (or, in the case of the initial Credit Extensions on the Closing Date, one (1) Business Day) prior to the requested date of any Borrowing of SOFR Loans, and (ii) 12:00 p.m. at least one (1) Business Day in advance of the requested date of any Borrowing of Base Rate Loans. Promptly upon receipt by Administrative Agent of such Funding Notice, Administrative Agent shall notify each Lender of the proposed borrowing. Each Borrowing of SOFR Loans shall be in a principal amount of $1,000,000 or a whole multiple of $1,000,000 in excess thereof. Except as provided in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2.04(b)</w:t>
      </w:r>
      <w:r>
        <w:rPr>
          <w:rFonts w:ascii="Times New Roman" w:cs="Times New Roman" w:eastAsia="Times New Roman" w:hAnsi="Times New Roman"/>
          <w:sz w:val="19"/>
          <w:szCs w:val="19"/>
          <w:color w:val="auto"/>
        </w:rPr>
        <w:t>, each Borrowing of Base Rate Loans shall be in a principal amount of $1,000,000 or a whole multiple of $500,000 in excess thereof. Each Funding Notice (whether telephonic or written) shall specify</w:t>
      </w:r>
    </w:p>
    <w:p>
      <w:pPr>
        <w:jc w:val="both"/>
        <w:ind w:firstLine="8"/>
        <w:spacing w:after="0" w:line="247" w:lineRule="auto"/>
        <w:tabs>
          <w:tab w:leader="none" w:pos="25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Borrower(s) are requesting a Term Borrowing or a Revolving Credit Borrowing, (ii) 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SOFR Loans in any such Funding Notice but fails to specify an Interest Period, it will be deemed to have specified an Interest Period of one month. If the Borrower Representative fails to specify between a Base Rate Loan or a SOFR Loan in the applicable Funding Notice, then the applicable Term Loans or Revolving Loans shall be made as SOFR Loans with an Interest Period of one month.</w:t>
      </w:r>
    </w:p>
    <w:p>
      <w:pPr>
        <w:spacing w:after="0" w:line="144"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39"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(and, if such Borrowing is the initial Credit Extension,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Administrative Agent shall make all funds so received available to the applicable Borrower(s) either by (i) crediting the account(s) of the Borrower(s) on the books of Administrative Agent with the amount of such funds or</w:t>
      </w:r>
    </w:p>
    <w:p>
      <w:pPr>
        <w:ind w:firstLine="8"/>
        <w:spacing w:after="0" w:line="260" w:lineRule="auto"/>
        <w:tabs>
          <w:tab w:leader="none" w:pos="3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wire transfer of such funds to an account designated by the Borrower Representative in writing, in each case, in accordance with instructions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40"/>
          </w:cols>
          <w:pgMar w:left="320" w:top="14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 xml:space="preserve">provided to (and reasonably acceptable to) Administrative Agent by the Borrower Representative (subject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304"/>
        <w:spacing w:after="0" w:line="269" w:lineRule="auto"/>
        <w:tabs>
          <w:tab w:leader="none" w:pos="175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shall promptly notify the Borrower Representative and the Lenders (in writing or by electronic communication) of the interest rate applicable to any Interest Period for SOFR Loans upon determination of such interest rate.</w:t>
      </w:r>
    </w:p>
    <w:p>
      <w:pPr>
        <w:spacing w:after="0" w:line="1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0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to the contrary notwithstanding, the Borrower Representative may not select Term SOFR for any Borrowing if the obligation of the Appropriate Lenders to make SOFR Loans shall then be suspended pursuant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11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b w:val="1"/>
          <w:bCs w:val="1"/>
          <w:color w:val="auto"/>
        </w:rPr>
        <w:t>Letter of Credit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974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0" w:lineRule="auto"/>
        <w:tabs>
          <w:tab w:leader="none" w:pos="1821"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 xml:space="preserve">. (i) Subject to the terms and conditions set forth herein, (A) each Issuing Bank agrees, in reliance upon the agreements of the other Revolving Credit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(1) from time to time on any Business Day during the period from and including the Closing Date until the Letter of Credit Expiration Date, to issue Letters of Credit at sight denominated in Dollars for the account of the applicable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to the extent any such Subsidiary is not a Credit Party, such Letter of Credit shall be deemed an Investment in such Subsidiary and shall only be issued so long as such Investment is permitted hereunder) and to amend or renew Letters of Credit previously issued by it, in accordance with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 and (2) to honor drafts under the Letters of Credit and</w:t>
      </w:r>
    </w:p>
    <w:p>
      <w:pPr>
        <w:spacing w:after="0" w:line="2" w:lineRule="exact"/>
        <w:rPr>
          <w:rFonts w:ascii="Times New Roman" w:cs="Times New Roman" w:eastAsia="Times New Roman" w:hAnsi="Times New Roman"/>
          <w:sz w:val="20"/>
          <w:szCs w:val="20"/>
          <w:color w:val="auto"/>
        </w:rPr>
      </w:pPr>
    </w:p>
    <w:p>
      <w:pPr>
        <w:jc w:val="both"/>
        <w:ind w:firstLine="8"/>
        <w:spacing w:after="0" w:line="248" w:lineRule="auto"/>
        <w:tabs>
          <w:tab w:leader="none" w:pos="35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Participating Revolving Credit Lenders severally agree to participate in Letters of Credit issued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Issuing Bank shall be obligated to make any L/C Credit Extension with respect to any Letter of Credit, and no Lender shall be obligated to participate in any Letter of Credit, if as of the date of (and after giving effect to) such L/C Credit Extension (x) the Revolving Exposure of any Participating Revolving Credit Lender would exceed such Lender’s Participating Revolving Credit Commitment, (y) the aggregate amount of Revolving Exposure exceeds the aggregate amount of Participating Revolving Credit Commitments then in effect or (z)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 All Existing Letters of Credit shall be deemed to be issued hereunder and shall constitute Letters of Credit subject to the terms hereof.</w:t>
      </w:r>
    </w:p>
    <w:p>
      <w:pPr>
        <w:spacing w:after="0" w:line="146"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An Issuing Bank shall be under no obligation to issue any Letter of Credit if:</w:t>
      </w:r>
    </w:p>
    <w:p>
      <w:pPr>
        <w:spacing w:after="0" w:line="162" w:lineRule="exact"/>
        <w:rPr>
          <w:sz w:val="20"/>
          <w:szCs w:val="20"/>
          <w:color w:val="auto"/>
        </w:rPr>
      </w:pPr>
    </w:p>
    <w:p>
      <w:pPr>
        <w:jc w:val="both"/>
        <w:ind w:left="1300" w:firstLine="652"/>
        <w:spacing w:after="0" w:line="258" w:lineRule="auto"/>
        <w:tabs>
          <w:tab w:leader="none" w:pos="244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40"/>
          </w:cols>
          <w:pgMar w:left="320" w:top="1413" w:right="339" w:bottom="1440" w:gutter="0" w:footer="0" w:header="0"/>
        </w:sectPr>
      </w:pPr>
    </w:p>
    <w:bookmarkStart w:id="95" w:name="page96"/>
    <w:bookmarkEnd w:id="95"/>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38" w:lineRule="exact"/>
        <w:rPr>
          <w:sz w:val="20"/>
          <w:szCs w:val="20"/>
          <w:color w:val="auto"/>
        </w:rPr>
      </w:pPr>
    </w:p>
    <w:p>
      <w:pPr>
        <w:ind w:left="2420" w:hanging="468"/>
        <w:spacing w:after="0"/>
        <w:tabs>
          <w:tab w:leader="none" w:pos="242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2.03(b)(iii)</w:t>
      </w:r>
      <w:r>
        <w:rPr>
          <w:rFonts w:ascii="Times New Roman" w:cs="Times New Roman" w:eastAsia="Times New Roman" w:hAnsi="Times New Roman"/>
          <w:sz w:val="19"/>
          <w:szCs w:val="19"/>
          <w:color w:val="auto"/>
        </w:rPr>
        <w:t>, the expiry date of such requested Letter of Credit would occur more than twelve</w:t>
      </w:r>
    </w:p>
    <w:p>
      <w:pPr>
        <w:spacing w:after="0" w:line="39" w:lineRule="exact"/>
        <w:rPr>
          <w:rFonts w:ascii="Times New Roman" w:cs="Times New Roman" w:eastAsia="Times New Roman" w:hAnsi="Times New Roman"/>
          <w:sz w:val="19"/>
          <w:szCs w:val="19"/>
          <w:color w:val="auto"/>
        </w:rPr>
      </w:pPr>
    </w:p>
    <w:p>
      <w:pPr>
        <w:jc w:val="both"/>
        <w:ind w:left="1300" w:firstLine="4"/>
        <w:spacing w:after="0" w:line="253" w:lineRule="auto"/>
        <w:tabs>
          <w:tab w:leader="none" w:pos="169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spacing w:after="0" w:line="121"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expiry date of such requested Letter of Credit would occur after the Letter of Credit Expiration Date, unless</w:t>
      </w:r>
    </w:p>
    <w:p>
      <w:pPr>
        <w:spacing w:after="0" w:line="39" w:lineRule="exact"/>
        <w:rPr>
          <w:rFonts w:ascii="Times New Roman" w:cs="Times New Roman" w:eastAsia="Times New Roman" w:hAnsi="Times New Roman"/>
          <w:sz w:val="19"/>
          <w:szCs w:val="19"/>
          <w:color w:val="auto"/>
        </w:rPr>
      </w:pPr>
    </w:p>
    <w:p>
      <w:pPr>
        <w:jc w:val="both"/>
        <w:ind w:left="1300" w:right="20" w:firstLine="4"/>
        <w:spacing w:after="0" w:line="253" w:lineRule="auto"/>
        <w:tabs>
          <w:tab w:leader="none" w:pos="15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Appropriate Lender has approved such expiry date or (2) the Outstanding Amount of L/C Obligations in respect of such requested Letter of Credit has been Cash Collateralized or back-stopped by a letter of credit reasonably satisfactory to such Issuing Bank and Administrative Agent;</w:t>
      </w:r>
    </w:p>
    <w:p>
      <w:pPr>
        <w:spacing w:after="0" w:line="134" w:lineRule="exact"/>
        <w:rPr>
          <w:rFonts w:ascii="Times New Roman" w:cs="Times New Roman" w:eastAsia="Times New Roman" w:hAnsi="Times New Roman"/>
          <w:sz w:val="20"/>
          <w:szCs w:val="20"/>
          <w:color w:val="auto"/>
        </w:rPr>
      </w:pPr>
    </w:p>
    <w:p>
      <w:pPr>
        <w:ind w:left="1300" w:firstLine="652"/>
        <w:spacing w:after="0" w:line="269" w:lineRule="auto"/>
        <w:tabs>
          <w:tab w:leader="none" w:pos="247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any policies of such Issuing Bank applicable to letters of credit generally;</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5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with respect to the participation in Letters of Credit by such Defaulting Lender, including by Cash Collateralizing such Defaulting Lender’s Pro Rata Share of the L/C Obligations; and</w:t>
      </w:r>
    </w:p>
    <w:p>
      <w:pPr>
        <w:spacing w:after="0" w:line="137"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denominated in a currency other than in Dollars.</w:t>
      </w:r>
    </w:p>
    <w:p>
      <w:pPr>
        <w:spacing w:after="0" w:line="162" w:lineRule="exact"/>
        <w:rPr>
          <w:sz w:val="20"/>
          <w:szCs w:val="20"/>
          <w:color w:val="auto"/>
        </w:rPr>
      </w:pPr>
    </w:p>
    <w:p>
      <w:pPr>
        <w:jc w:val="both"/>
        <w:ind w:firstLine="1952"/>
        <w:spacing w:after="0" w:line="268" w:lineRule="auto"/>
        <w:tabs>
          <w:tab w:leader="none" w:pos="242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07"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19"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w:t>
      </w:r>
    </w:p>
    <w:p>
      <w:pPr>
        <w:spacing w:after="0" w:line="5"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issuance date of the requested Letter of Credit (which shall be a Business Day); (b) the amount of such Letter of Credit</w:t>
      </w:r>
    </w:p>
    <w:p>
      <w:pPr>
        <w:spacing w:after="0" w:line="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20"/>
          <w:szCs w:val="20"/>
          <w:color w:val="auto"/>
        </w:rPr>
        <w:t>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spacing w:after="0" w:line="138" w:lineRule="exact"/>
        <w:rPr>
          <w:sz w:val="20"/>
          <w:szCs w:val="20"/>
          <w:color w:val="auto"/>
        </w:rPr>
      </w:pPr>
    </w:p>
    <w:p>
      <w:pPr>
        <w:jc w:val="both"/>
        <w:ind w:firstLine="1952"/>
        <w:spacing w:after="0" w:line="250" w:lineRule="auto"/>
        <w:tabs>
          <w:tab w:leader="none" w:pos="25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142" w:lineRule="exact"/>
        <w:rPr>
          <w:rFonts w:ascii="Times New Roman" w:cs="Times New Roman" w:eastAsia="Times New Roman" w:hAnsi="Times New Roman"/>
          <w:sz w:val="20"/>
          <w:szCs w:val="20"/>
          <w:color w:val="auto"/>
        </w:rPr>
      </w:pPr>
    </w:p>
    <w:p>
      <w:pPr>
        <w:jc w:val="both"/>
        <w:ind w:firstLine="1952"/>
        <w:spacing w:after="0" w:line="248" w:lineRule="auto"/>
        <w:tabs>
          <w:tab w:leader="none" w:pos="245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Representative so requests in any applicable Letter of Credit Application, the relevant Issuing Bank shall agree to issue such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back-stopped by a letter of credit reasonably satisfactory to the relevant Issuing Bank,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Times New Roman" w:cs="Times New Roman" w:eastAsia="Times New Roman" w:hAnsi="Times New Roman"/>
          <w:sz w:val="20"/>
          <w:szCs w:val="20"/>
          <w:u w:val="single" w:color="auto"/>
          <w:color w:val="auto"/>
        </w:rPr>
        <w:t>Section 2.03(a)(ii)</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(7) Business Days before the Non-extension Notice Date from Administrative Agent,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40"/>
          </w:cols>
          <w:pgMar w:left="320" w:top="1413" w:right="339" w:bottom="1440" w:gutter="0" w:footer="0" w:header="0"/>
        </w:sectPr>
      </w:pPr>
    </w:p>
    <w:bookmarkStart w:id="97" w:name="page98"/>
    <w:bookmarkEnd w:id="97"/>
    <w:p>
      <w:pPr>
        <w:spacing w:after="0" w:line="283" w:lineRule="auto"/>
        <w:rPr>
          <w:sz w:val="20"/>
          <w:szCs w:val="20"/>
          <w:color w:val="auto"/>
        </w:rPr>
      </w:pPr>
      <w:r>
        <w:rPr>
          <w:rFonts w:ascii="Times New Roman" w:cs="Times New Roman" w:eastAsia="Times New Roman" w:hAnsi="Times New Roman"/>
          <w:sz w:val="20"/>
          <w:szCs w:val="20"/>
          <w:color w:val="auto"/>
        </w:rPr>
        <w:t xml:space="preserve">Participating Revolving Credit Lender or the Borrower Representative that one or more of the applicable conditions specified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is not then satisfied.</w:t>
      </w:r>
    </w:p>
    <w:p>
      <w:pPr>
        <w:spacing w:after="0" w:line="92" w:lineRule="exact"/>
        <w:rPr>
          <w:sz w:val="20"/>
          <w:szCs w:val="20"/>
          <w:color w:val="auto"/>
        </w:rPr>
      </w:pPr>
    </w:p>
    <w:p>
      <w:pPr>
        <w:jc w:val="both"/>
        <w:ind w:firstLine="1952"/>
        <w:spacing w:after="0" w:line="261" w:lineRule="auto"/>
        <w:tabs>
          <w:tab w:leader="none" w:pos="248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2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32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the Borrowers (on a joint and several basis) shall reimburse such Issuing Bank through Administrative Agent in an amount equal to the amount of such drawing in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Participating Revolving Credit Commitments of the Appropriate Lenders and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(other than the delivery of a Funding Notice). Any notice given by an Issuing Bank or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42" w:lineRule="exact"/>
        <w:rPr>
          <w:rFonts w:ascii="Times New Roman" w:cs="Times New Roman" w:eastAsia="Times New Roman" w:hAnsi="Times New Roman"/>
          <w:sz w:val="20"/>
          <w:szCs w:val="20"/>
          <w:color w:val="auto"/>
        </w:rPr>
      </w:pPr>
    </w:p>
    <w:p>
      <w:pPr>
        <w:jc w:val="both"/>
        <w:ind w:firstLine="1952"/>
        <w:spacing w:after="0" w:line="251" w:lineRule="auto"/>
        <w:tabs>
          <w:tab w:leader="none" w:pos="242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Appropriate Lender (including any Lender acting as an Issuing Bank)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spacing w:after="0" w:line="138"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9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40"/>
          </w:cols>
          <w:pgMar w:left="320" w:top="1413" w:right="339" w:bottom="1440" w:gutter="0" w:footer="0" w:header="0"/>
        </w:sectPr>
      </w:pPr>
    </w:p>
    <w:bookmarkStart w:id="98" w:name="page99"/>
    <w:bookmarkEnd w:id="98"/>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both"/>
        <w:ind w:firstLine="1952"/>
        <w:spacing w:after="0" w:line="261" w:lineRule="auto"/>
        <w:tabs>
          <w:tab w:leader="none" w:pos="247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Appropriate Lender funds its Revolving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127"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3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Participating Revolving Credit Lender’s obligation to make Revolving Loans or L/C Advances to reimburse an Issuing Bank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Participating Revolving Credit Lender’s obligation to make Revolving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(other than delivery by the Borrower Representative of a Funding Notice). No such making of an L/C Advance shall relieve or otherwise impair the obligation of the Borrowers to reimburse the relevant Issuing Bank for the amount of any payment made by such Issuing Bank under any Letter of Credit, together with interest as provided herein.</w:t>
      </w:r>
    </w:p>
    <w:p>
      <w:pPr>
        <w:spacing w:after="0" w:line="12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7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Times New Roman" w:cs="Times New Roman" w:eastAsia="Times New Roman" w:hAnsi="Times New Roman"/>
          <w:sz w:val="20"/>
          <w:szCs w:val="20"/>
          <w:u w:val="single" w:color="auto"/>
          <w:color w:val="auto"/>
        </w:rPr>
        <w:t>Section 2.03(c)(vi)</w:t>
      </w:r>
      <w:r>
        <w:rPr>
          <w:rFonts w:ascii="Times New Roman" w:cs="Times New Roman" w:eastAsia="Times New Roman" w:hAnsi="Times New Roman"/>
          <w:sz w:val="20"/>
          <w:szCs w:val="20"/>
          <w:color w:val="auto"/>
        </w:rPr>
        <w:t xml:space="preserve"> shall be conclusive absent manifest error.</w:t>
      </w:r>
    </w:p>
    <w:p>
      <w:pPr>
        <w:spacing w:after="0" w:line="12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5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spacing w:after="0" w:line="138" w:lineRule="exact"/>
        <w:rPr>
          <w:rFonts w:ascii="Times New Roman" w:cs="Times New Roman" w:eastAsia="Times New Roman" w:hAnsi="Times New Roman"/>
          <w:sz w:val="20"/>
          <w:szCs w:val="20"/>
          <w:color w:val="auto"/>
        </w:rPr>
      </w:pPr>
    </w:p>
    <w:p>
      <w:pPr>
        <w:jc w:val="both"/>
        <w:ind w:firstLine="1952"/>
        <w:spacing w:after="0" w:line="261" w:lineRule="auto"/>
        <w:tabs>
          <w:tab w:leader="none" w:pos="263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Administrative Agent for the account of an Issuing Bank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(including pursuant to any settlement entered into by such Issuing Bank in its discretion), each Appropriate Lender shall pay to Administrative Agent for the account of such Issuing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20"/>
          <w:szCs w:val="20"/>
          <w:color w:val="auto"/>
        </w:rPr>
        <w:t>Bank its Pro Rata Share or other applicable share provided for under this Agreement thereof on demand of Administrative Agent, plus interest thereon from the date of such demand to the date such amount is returned by such Lender, at a rate per annum equal to the applicable Overnight Rate from time to time in effect.</w:t>
      </w:r>
    </w:p>
    <w:p>
      <w:pPr>
        <w:spacing w:after="0" w:line="127" w:lineRule="exact"/>
        <w:rPr>
          <w:sz w:val="20"/>
          <w:szCs w:val="20"/>
          <w:color w:val="auto"/>
        </w:rPr>
      </w:pPr>
    </w:p>
    <w:p>
      <w:pPr>
        <w:jc w:val="both"/>
        <w:ind w:firstLine="1304"/>
        <w:spacing w:after="0" w:line="261" w:lineRule="auto"/>
        <w:tabs>
          <w:tab w:leader="none" w:pos="17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27" w:lineRule="exact"/>
        <w:rPr>
          <w:rFonts w:ascii="Times New Roman" w:cs="Times New Roman" w:eastAsia="Times New Roman" w:hAnsi="Times New Roman"/>
          <w:sz w:val="20"/>
          <w:szCs w:val="20"/>
          <w:color w:val="auto"/>
        </w:rPr>
      </w:pPr>
    </w:p>
    <w:p>
      <w:pPr>
        <w:ind w:left="2460" w:hanging="508"/>
        <w:spacing w:after="0"/>
        <w:tabs>
          <w:tab w:leader="none" w:pos="246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agreement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 relating thereto;</w:t>
      </w:r>
    </w:p>
    <w:p>
      <w:pPr>
        <w:spacing w:after="0" w:line="153" w:lineRule="exact"/>
        <w:rPr>
          <w:rFonts w:ascii="Times New Roman" w:cs="Times New Roman" w:eastAsia="Times New Roman" w:hAnsi="Times New Roman"/>
          <w:sz w:val="20"/>
          <w:szCs w:val="20"/>
          <w:color w:val="auto"/>
        </w:rPr>
      </w:pPr>
    </w:p>
    <w:p>
      <w:pPr>
        <w:jc w:val="both"/>
        <w:ind w:firstLine="1952"/>
        <w:spacing w:after="0" w:line="258" w:lineRule="auto"/>
        <w:tabs>
          <w:tab w:leader="none" w:pos="243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w:t>
      </w:r>
    </w:p>
    <w:p>
      <w:pPr>
        <w:spacing w:after="0" w:line="118"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8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7"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37" w:lineRule="exact"/>
        <w:rPr>
          <w:rFonts w:ascii="Times New Roman" w:cs="Times New Roman" w:eastAsia="Times New Roman" w:hAnsi="Times New Roman"/>
          <w:sz w:val="20"/>
          <w:szCs w:val="20"/>
          <w:color w:val="auto"/>
        </w:rPr>
      </w:pPr>
    </w:p>
    <w:p>
      <w:pPr>
        <w:jc w:val="both"/>
        <w:ind w:firstLine="1952"/>
        <w:spacing w:after="0" w:line="261" w:lineRule="auto"/>
        <w:tabs>
          <w:tab w:leader="none" w:pos="23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release or non-perfection of any Collateral, or any release or amendment or waiver of or consent to departure from the Guaranty or any other guarantee, for all or any of the Obligations of any Credit Party in respect of such Letter of Credit; or</w:t>
      </w:r>
    </w:p>
    <w:p>
      <w:pPr>
        <w:spacing w:after="0" w:line="127" w:lineRule="exact"/>
        <w:rPr>
          <w:rFonts w:ascii="Times New Roman" w:cs="Times New Roman" w:eastAsia="Times New Roman" w:hAnsi="Times New Roman"/>
          <w:sz w:val="20"/>
          <w:szCs w:val="20"/>
          <w:color w:val="auto"/>
        </w:rPr>
      </w:pPr>
    </w:p>
    <w:p>
      <w:pPr>
        <w:ind w:firstLine="1952"/>
        <w:spacing w:after="0" w:line="269" w:lineRule="auto"/>
        <w:tabs>
          <w:tab w:leader="none" w:pos="243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excuse any Issuing Bank from liability to the Borrowers to the extent of any direct damages (as opposed to consequential, punitive, special or exemplary damages, claims in respect of which are waived by the Borrowers to the extent permitted by applicable law) suffered by the Borrowers that are caused by such Issuing Bank’s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38" w:lineRule="exact"/>
        <w:rPr>
          <w:sz w:val="20"/>
          <w:szCs w:val="20"/>
          <w:color w:val="auto"/>
        </w:rPr>
      </w:pPr>
    </w:p>
    <w:p>
      <w:pPr>
        <w:jc w:val="both"/>
        <w:ind w:firstLine="1304"/>
        <w:spacing w:after="0" w:line="258" w:lineRule="auto"/>
        <w:tabs>
          <w:tab w:leader="none" w:pos="171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Issuing Banks</w:t>
      </w:r>
      <w:r>
        <w:rPr>
          <w:rFonts w:ascii="Times New Roman" w:cs="Times New Roman" w:eastAsia="Times New Roman" w:hAnsi="Times New Roman"/>
          <w:sz w:val="20"/>
          <w:szCs w:val="20"/>
          <w:color w:val="auto"/>
        </w:rPr>
        <w:t>.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29" w:lineRule="exact"/>
        <w:rPr>
          <w:sz w:val="20"/>
          <w:szCs w:val="20"/>
          <w:color w:val="auto"/>
        </w:rPr>
      </w:pPr>
    </w:p>
    <w:p>
      <w:pPr>
        <w:jc w:val="both"/>
        <w:ind w:firstLine="1304"/>
        <w:spacing w:after="0" w:line="249" w:lineRule="auto"/>
        <w:tabs>
          <w:tab w:leader="none" w:pos="172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(iii) if an Event of Default set forth under </w:t>
      </w:r>
      <w:r>
        <w:rPr>
          <w:rFonts w:ascii="Times New Roman" w:cs="Times New Roman" w:eastAsia="Times New Roman" w:hAnsi="Times New Roman"/>
          <w:sz w:val="20"/>
          <w:szCs w:val="20"/>
          <w:u w:val="single" w:color="auto"/>
          <w:color w:val="auto"/>
        </w:rPr>
        <w:t>Section 8.01(f) or (g)</w:t>
      </w:r>
      <w:r>
        <w:rPr>
          <w:rFonts w:ascii="Times New Roman" w:cs="Times New Roman" w:eastAsia="Times New Roman" w:hAnsi="Times New Roman"/>
          <w:sz w:val="20"/>
          <w:szCs w:val="20"/>
          <w:color w:val="auto"/>
        </w:rPr>
        <w:t xml:space="preserve"> occurs and is continuing, the Borrowers shall Cash Collateralize the then Outstanding Amount of all of their (or,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(1) the Business Day that the Borrower Representative receives notice thereof, if such notice is received on such day prior to 12:00 noon or (2) if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 does not apply, the Business Day immediately following the day that the Borrower Representative receives such notice and (y) in the case of the immediately preceding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the Business Day on which an Event of Default set forth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2.21(a)(iv)</w:t>
      </w:r>
      <w:r>
        <w:rPr>
          <w:rFonts w:ascii="Times New Roman" w:cs="Times New Roman" w:eastAsia="Times New Roman" w:hAnsi="Times New Roman"/>
          <w:sz w:val="20"/>
          <w:szCs w:val="20"/>
          <w:color w:val="auto"/>
        </w:rPr>
        <w:t xml:space="preserve"> and any Cash Collateral provided by the Defaulting Lender). For purposes hereof, “</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Administrative Agent, for the benefit of the relevant Issuing Bank and the Appropriate Lenders, as collateral for the relevant L/C Obligations, Cash or deposit account balances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pursuant to documentation in form, amount (not to exceed 103% of the amount of such obligation)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Parties) or that the total amount of such funds is less than the aggregate Outstanding Amount of all relevant L/C Obligations, the Borrowers will, forthwith upon demand by Administrative Agent, pay to Administrative Agent, as additional funds to be deposited and held in the deposit accounts at Administrative Agent as aforesaid, an amount equal to the excess of (a) such aggregate Outstanding Amount over (b) 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Times New Roman" w:cs="Times New Roman" w:eastAsia="Times New Roman" w:hAnsi="Times New Roman"/>
          <w:sz w:val="20"/>
          <w:szCs w:val="20"/>
          <w:u w:val="single" w:color="auto"/>
          <w:color w:val="auto"/>
        </w:rPr>
        <w:t>Section 2.03(g)</w:t>
      </w:r>
      <w:r>
        <w:rPr>
          <w:rFonts w:ascii="Times New Roman" w:cs="Times New Roman" w:eastAsia="Times New Roman" w:hAnsi="Times New Roman"/>
          <w:sz w:val="20"/>
          <w:szCs w:val="20"/>
          <w:color w:val="auto"/>
        </w:rPr>
        <w:t xml:space="preserve"> is cured or otherwise waived, then so long as no other Event of Default has occurred and is continuing, all Cash Collateral pledged to Cash Collateralize such Letter of Credit shall be refunded to the Borrowers.</w:t>
      </w:r>
    </w:p>
    <w:p>
      <w:pPr>
        <w:spacing w:after="0" w:line="142" w:lineRule="exact"/>
        <w:rPr>
          <w:sz w:val="20"/>
          <w:szCs w:val="20"/>
          <w:color w:val="auto"/>
        </w:rPr>
      </w:pPr>
    </w:p>
    <w:p>
      <w:pPr>
        <w:jc w:val="both"/>
        <w:ind w:firstLine="1304"/>
        <w:spacing w:after="0" w:line="249" w:lineRule="auto"/>
        <w:tabs>
          <w:tab w:leader="none" w:pos="17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SOFR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8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Issuing Banks</w:t>
      </w:r>
      <w:r>
        <w:rPr>
          <w:rFonts w:ascii="Times New Roman" w:cs="Times New Roman" w:eastAsia="Times New Roman" w:hAnsi="Times New Roman"/>
          <w:sz w:val="20"/>
          <w:szCs w:val="20"/>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40"/>
          </w:cols>
          <w:pgMar w:left="320" w:top="14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customary fees and standard costs and charges are due and payable within ten (10) Business Days of demand and are nonrefundable.</w:t>
      </w:r>
    </w:p>
    <w:p>
      <w:pPr>
        <w:spacing w:after="0" w:line="175" w:lineRule="exact"/>
        <w:rPr>
          <w:sz w:val="20"/>
          <w:szCs w:val="20"/>
          <w:color w:val="auto"/>
        </w:rPr>
      </w:pPr>
    </w:p>
    <w:p>
      <w:pPr>
        <w:jc w:val="both"/>
        <w:ind w:firstLine="1304"/>
        <w:spacing w:after="0" w:line="261" w:lineRule="auto"/>
        <w:tabs>
          <w:tab w:leader="none" w:pos="177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Letter of Credit Application</w:t>
      </w:r>
      <w:r>
        <w:rPr>
          <w:rFonts w:ascii="Times New Roman" w:cs="Times New Roman" w:eastAsia="Times New Roman" w:hAnsi="Times New Roman"/>
          <w:sz w:val="20"/>
          <w:szCs w:val="20"/>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1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an Issuing Bank</w:t>
      </w:r>
      <w:r>
        <w:rPr>
          <w:rFonts w:ascii="Times New Roman" w:cs="Times New Roman" w:eastAsia="Times New Roman" w:hAnsi="Times New Roman"/>
          <w:sz w:val="20"/>
          <w:szCs w:val="20"/>
          <w:color w:val="auto"/>
        </w:rPr>
        <w:t>. A Revolving Credit Lender reasonably acceptable to the Borrower Representative and Administrative Agent may become an additional Issuing Bank hereunder pursuant to a written agreement among the Borrower Representative, Administrative Agent and such Revolving Credit Lender. Administrative Agent shall notify the Participating Revolving Credit Lenders of any such additional Issuing Bank.</w:t>
      </w:r>
    </w:p>
    <w:p>
      <w:pPr>
        <w:spacing w:after="0" w:line="131"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Related to Extended Revolving Credit Commitments</w:t>
      </w:r>
      <w:r>
        <w:rPr>
          <w:rFonts w:ascii="Times New Roman" w:cs="Times New Roman" w:eastAsia="Times New Roman" w:hAnsi="Times New Roman"/>
          <w:sz w:val="20"/>
          <w:szCs w:val="20"/>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Times New Roman" w:cs="Times New Roman" w:eastAsia="Times New Roman" w:hAnsi="Times New Roman"/>
          <w:sz w:val="20"/>
          <w:szCs w:val="20"/>
          <w:u w:val="single" w:color="auto"/>
          <w:color w:val="auto"/>
        </w:rPr>
        <w:t>Section 2.03(g)</w:t>
      </w:r>
      <w:r>
        <w:rPr>
          <w:rFonts w:ascii="Times New Roman" w:cs="Times New Roman" w:eastAsia="Times New Roman" w:hAnsi="Times New Roman"/>
          <w:sz w:val="20"/>
          <w:szCs w:val="20"/>
          <w:color w:val="auto"/>
        </w:rPr>
        <w:t>. Commencing with the Maturity Date of any Class of Revolving Commitments, the Letter of Credit Sublimit shall be in an amount agreed solely with the Issuing Banks.</w:t>
      </w:r>
    </w:p>
    <w:p>
      <w:pPr>
        <w:spacing w:after="0" w:line="14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0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 the account of any of their respective Subsidiaries inures to the benefit of the Borrowers, and that the Borrowers’ business derives substantial benefits from the businesses of such Subsidiaries.</w:t>
      </w:r>
    </w:p>
    <w:p>
      <w:pPr>
        <w:spacing w:after="0" w:line="137" w:lineRule="exact"/>
        <w:rPr>
          <w:rFonts w:ascii="Times New Roman" w:cs="Times New Roman" w:eastAsia="Times New Roman" w:hAnsi="Times New Roman"/>
          <w:sz w:val="20"/>
          <w:szCs w:val="20"/>
          <w:color w:val="auto"/>
        </w:rPr>
      </w:pPr>
    </w:p>
    <w:p>
      <w:pPr>
        <w:ind w:firstLine="1304"/>
        <w:spacing w:after="0" w:line="269" w:lineRule="auto"/>
        <w:tabs>
          <w:tab w:leader="none" w:pos="173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The parties hereto agree that the Existing Letters of Credit shall be deemed Letters of Credit for all purposes under this Agreement, without any further action by the Borrowers.</w:t>
      </w:r>
    </w:p>
    <w:p>
      <w:pPr>
        <w:spacing w:after="0" w:line="1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b w:val="1"/>
          <w:bCs w:val="1"/>
          <w:color w:val="auto"/>
        </w:rPr>
        <w:t>Swing Line Loans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089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68" w:lineRule="auto"/>
        <w:tabs>
          <w:tab w:leader="none" w:pos="175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Subject to the terms and conditions set forth herein, the Swing Line Lender agrees to make loans in Dollars to the Borrowers (on a joint and several basis)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from time to time on any Business Day during the period beginning on the Business Day after the Closing Date until the date which is one (1) Business Day prior to the Maturity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Swing Line Loan (i) the aggregate Revolving Exposure under such Participating Revolving Credit Commitments shall not 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Each Swing Line Loan shall be a Base Rate Loan. Immediately upon the making of a Swing Line Loan, each Participating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129" w:lineRule="exact"/>
        <w:rPr>
          <w:sz w:val="20"/>
          <w:szCs w:val="20"/>
          <w:color w:val="auto"/>
        </w:rPr>
      </w:pPr>
    </w:p>
    <w:p>
      <w:pPr>
        <w:jc w:val="both"/>
        <w:ind w:firstLine="1304"/>
        <w:spacing w:after="0" w:line="249" w:lineRule="auto"/>
        <w:tabs>
          <w:tab w:leader="none" w:pos="180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Borrower Representative’s irrevocable (provided, that any such notice may state that it is conditioned upon the effectiveness of other transactions, in which case such notice may be revoked by the Borrower Representative by notice to the Administrative Agent on or prior to the specified effective date if such condition is not satisfied) notice to the Swing Line Lender and Administrative Agent, which may be given by telephone. Each such notice must be received by the Swing Line Lender and Administrative Agent not later than 1:00 p.m. on the requested date of each Swing Line Borrowing and shall specify (i) 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 Notwithstanding anything to the contrary contained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elsewhere in this Agreement, the Swing Line Lender shall not be obligated to make any Swing Line Loan at a time when a Participating Revolving Credit Lender is a Defaulting Lender unless the Swing Line Lender has entered into arrangements reasonably satisfactory to it and the Borrower Representative to eliminate the Swing Line Lender’s Fronting Exposure (after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with respect to the Defaulting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 or other applicable share provided for under this Agreement. The Borrowers shall repay to the Swing Line Lender each Defaulting Lender’s portion (after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of each Swing Line Loan promptly following demand by the Swing Line Lender.</w:t>
      </w:r>
    </w:p>
    <w:p>
      <w:pPr>
        <w:spacing w:after="0" w:line="138" w:lineRule="exact"/>
        <w:rPr>
          <w:sz w:val="20"/>
          <w:szCs w:val="20"/>
          <w:color w:val="auto"/>
        </w:rPr>
      </w:pPr>
    </w:p>
    <w:p>
      <w:pPr>
        <w:ind w:left="1720" w:hanging="416"/>
        <w:spacing w:after="0"/>
        <w:tabs>
          <w:tab w:leader="none" w:pos="1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48" w:lineRule="auto"/>
        <w:tabs>
          <w:tab w:leader="none" w:pos="237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spacing w:after="0" w:line="153"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2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Credit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37" w:lineRule="exact"/>
        <w:rPr>
          <w:rFonts w:ascii="Times New Roman" w:cs="Times New Roman" w:eastAsia="Times New Roman" w:hAnsi="Times New Roman"/>
          <w:sz w:val="20"/>
          <w:szCs w:val="20"/>
          <w:color w:val="auto"/>
        </w:rPr>
      </w:pPr>
    </w:p>
    <w:p>
      <w:pPr>
        <w:jc w:val="both"/>
        <w:ind w:firstLine="1952"/>
        <w:spacing w:after="0" w:line="251" w:lineRule="auto"/>
        <w:tabs>
          <w:tab w:leader="none" w:pos="247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40"/>
          </w:cols>
          <w:pgMar w:left="320" w:top="14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 xml:space="preserve">(through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75" w:lineRule="exact"/>
        <w:rPr>
          <w:sz w:val="20"/>
          <w:szCs w:val="20"/>
          <w:color w:val="auto"/>
        </w:rPr>
      </w:pPr>
    </w:p>
    <w:p>
      <w:pPr>
        <w:jc w:val="both"/>
        <w:ind w:firstLine="1952"/>
        <w:spacing w:after="0" w:line="250" w:lineRule="auto"/>
        <w:tabs>
          <w:tab w:leader="none" w:pos="250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Participating Revolving Credit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(C) any adverse change in the condition (financial or otherwise) of the Credit Parties, (D) any breach of this Agreement, or (E)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Participating Revolving Credit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(but not to purchase and fund risk participations in Swing Line Loans) is subject to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No such funding of risk participations shall relieve or otherwise impair the obligation of the Borrowers to repay the applicable Swing Line Loans, together with interest as provided herein.</w:t>
      </w:r>
    </w:p>
    <w:p>
      <w:pPr>
        <w:spacing w:after="0" w:line="14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952"/>
        <w:spacing w:after="0" w:line="257" w:lineRule="auto"/>
        <w:tabs>
          <w:tab w:leader="none" w:pos="234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18"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8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(including pursuant to any settlement entered into by the Swing 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spacing w:after="0" w:line="13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8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37" w:lineRule="exact"/>
        <w:rPr>
          <w:rFonts w:ascii="Times New Roman" w:cs="Times New Roman" w:eastAsia="Times New Roman" w:hAnsi="Times New Roman"/>
          <w:sz w:val="20"/>
          <w:szCs w:val="20"/>
          <w:color w:val="auto"/>
        </w:rPr>
      </w:pPr>
    </w:p>
    <w:p>
      <w:pPr>
        <w:ind w:firstLine="1304"/>
        <w:spacing w:after="0" w:line="269" w:lineRule="auto"/>
        <w:tabs>
          <w:tab w:leader="none" w:pos="170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1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Related to Extended Revolving Credit Commitments</w:t>
      </w:r>
      <w:r>
        <w:rPr>
          <w:rFonts w:ascii="Times New Roman" w:cs="Times New Roman" w:eastAsia="Times New Roman" w:hAnsi="Times New Roman"/>
          <w:sz w:val="20"/>
          <w:szCs w:val="20"/>
          <w:color w:val="auto"/>
        </w:rPr>
        <w:t>. If the Maturity Date shall have occurred in respect of any Participating Revolving Credit Commitments (the “</w:t>
      </w:r>
      <w:r>
        <w:rPr>
          <w:rFonts w:ascii="Times New Roman" w:cs="Times New Roman" w:eastAsia="Times New Roman" w:hAnsi="Times New Roman"/>
          <w:sz w:val="20"/>
          <w:szCs w:val="20"/>
          <w:u w:val="single" w:color="auto"/>
          <w:color w:val="auto"/>
        </w:rPr>
        <w:t>Expiring Credit Commitment</w:t>
      </w:r>
      <w:r>
        <w:rPr>
          <w:rFonts w:ascii="Times New Roman" w:cs="Times New Roman" w:eastAsia="Times New Roman" w:hAnsi="Times New Roman"/>
          <w:sz w:val="20"/>
          <w:szCs w:val="20"/>
          <w:color w:val="auto"/>
        </w:rPr>
        <w:t>”) at a time when other Participating Revolving Credit Commitments are in effect (or will automatically be in effect upon such maturity) with a longer maturity date (each a “</w:t>
      </w:r>
      <w:r>
        <w:rPr>
          <w:rFonts w:ascii="Times New Roman" w:cs="Times New Roman" w:eastAsia="Times New Roman" w:hAnsi="Times New Roman"/>
          <w:sz w:val="20"/>
          <w:szCs w:val="20"/>
          <w:u w:val="single" w:color="auto"/>
          <w:color w:val="auto"/>
        </w:rPr>
        <w:t>non-Expiring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non-Expiring Credit Commitments</w:t>
      </w:r>
      <w:r>
        <w:rPr>
          <w:rFonts w:ascii="Times New Roman" w:cs="Times New Roman" w:eastAsia="Times New Roman" w:hAnsi="Times New Roman"/>
          <w:sz w:val="20"/>
          <w:szCs w:val="20"/>
          <w:color w:val="auto"/>
        </w:rPr>
        <w:t>”), then each outstanding Swing Line Loan on the earliest occurring Maturity Date shall be deemed reallocated to the non-Expiring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Credit Commitments on a pro rata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spacing w:after="0" w:line="13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b w:val="1"/>
          <w:bCs w:val="1"/>
          <w:color w:val="auto"/>
        </w:rPr>
        <w:t>Pro Rata Shares; Availability of Funds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195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7" w:lineRule="auto"/>
        <w:tabs>
          <w:tab w:leader="none" w:pos="182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Shares</w:t>
      </w:r>
      <w:r>
        <w:rPr>
          <w:rFonts w:ascii="Times New Roman" w:cs="Times New Roman" w:eastAsia="Times New Roman" w:hAnsi="Times New Roman"/>
          <w:sz w:val="20"/>
          <w:szCs w:val="20"/>
          <w:color w:val="auto"/>
        </w:rPr>
        <w:t xml:space="preserve">. All Loans shall be made, and, subject to adjustments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18" w:lineRule="exact"/>
        <w:rPr>
          <w:rFonts w:ascii="Times New Roman" w:cs="Times New Roman" w:eastAsia="Times New Roman" w:hAnsi="Times New Roman"/>
          <w:sz w:val="20"/>
          <w:szCs w:val="20"/>
          <w:color w:val="auto"/>
        </w:rPr>
      </w:pPr>
    </w:p>
    <w:p>
      <w:pPr>
        <w:jc w:val="both"/>
        <w:ind w:firstLine="1304"/>
        <w:spacing w:after="0" w:line="264" w:lineRule="auto"/>
        <w:tabs>
          <w:tab w:leader="none" w:pos="181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Availability of Funds</w:t>
      </w:r>
      <w:r>
        <w:rPr>
          <w:rFonts w:ascii="Times New Roman" w:cs="Times New Roman" w:eastAsia="Times New Roman" w:hAnsi="Times New Roman"/>
          <w:sz w:val="19"/>
          <w:szCs w:val="19"/>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 xml:space="preserve"> 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b w:val="1"/>
          <w:bCs w:val="1"/>
          <w:color w:val="auto"/>
        </w:rPr>
        <w:t>Evidence of Debt; Register; Lenders’ Books and Records; Notes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35521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2190" cy="8890"/>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3" w:lineRule="auto"/>
        <w:tabs>
          <w:tab w:leader="none" w:pos="175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Lenders’ Evidence of Debt</w:t>
      </w:r>
      <w:r>
        <w:rPr>
          <w:rFonts w:ascii="Times New Roman" w:cs="Times New Roman" w:eastAsia="Times New Roman" w:hAnsi="Times New Roman"/>
          <w:sz w:val="20"/>
          <w:szCs w:val="20"/>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make any such recordation, or any error in such recordation, shall not affect any Lender’s Commitments or any Borrower’s Obligations in respect of any applicable Loans;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in the event of any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inconsistency between the Register and any Lender’s records, the recordations in the Register shall govern.</w:t>
      </w:r>
    </w:p>
    <w:p>
      <w:pPr>
        <w:spacing w:after="0" w:line="175" w:lineRule="exact"/>
        <w:rPr>
          <w:sz w:val="20"/>
          <w:szCs w:val="20"/>
          <w:color w:val="auto"/>
        </w:rPr>
      </w:pPr>
    </w:p>
    <w:p>
      <w:pPr>
        <w:jc w:val="both"/>
        <w:ind w:firstLine="1304"/>
        <w:spacing w:after="0" w:line="249" w:lineRule="auto"/>
        <w:tabs>
          <w:tab w:leader="none" w:pos="175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non-fiduciary agent solely for purposes of maintaining the Register (and such agency being solely for tax purposes) as provided in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 each Borrower hereby agrees that, to the extent such entity serves in such capacity, the entity serving as Administrative Agent and its officers, directors, employees, agents and affiliates shall constitute “Indemnitees.”</w:t>
      </w:r>
    </w:p>
    <w:p>
      <w:pPr>
        <w:spacing w:after="0" w:line="14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0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on the Closing Date (or, if such notice is delivered after the Closing Date, promptly after Borrower Representative’s receipt of such notice) a Note or Notes to evidence such Lender’s Term Loan, Revolving Loan and/or Swing Line Loan, as the case may be.</w:t>
      </w:r>
    </w:p>
    <w:p>
      <w:pPr>
        <w:spacing w:after="0" w:line="134"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2.07 </w:t>
      </w:r>
      <w:r>
        <w:rPr>
          <w:rFonts w:ascii="Times New Roman" w:cs="Times New Roman" w:eastAsia="Times New Roman" w:hAnsi="Times New Roman"/>
          <w:sz w:val="20"/>
          <w:szCs w:val="20"/>
          <w:b w:val="1"/>
          <w:bCs w:val="1"/>
          <w:color w:val="auto"/>
        </w:rPr>
        <w:t>Interest on Loans</w:t>
      </w:r>
      <w:r>
        <w:rPr>
          <w:rFonts w:ascii="Times New Roman" w:cs="Times New Roman" w:eastAsia="Times New Roman" w:hAnsi="Times New Roman"/>
          <w:sz w:val="20"/>
          <w:szCs w:val="20"/>
          <w:color w:val="auto"/>
        </w:rPr>
        <w:t>. (a) Except as otherwise set forth herein, each Class of Loan shall bear interest on the unpaid principal amount thereof from the date made through repayment (whether by acceleration or otherwise) thereof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1125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95" w:lineRule="exact"/>
        <w:rPr>
          <w:sz w:val="20"/>
          <w:szCs w:val="20"/>
          <w:color w:val="auto"/>
        </w:rPr>
      </w:pPr>
    </w:p>
    <w:p>
      <w:pPr>
        <w:ind w:left="2340" w:hanging="388"/>
        <w:spacing w:after="0"/>
        <w:tabs>
          <w:tab w:leader="none" w:pos="23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5" w:lineRule="exact"/>
        <w:rPr>
          <w:rFonts w:ascii="Times New Roman" w:cs="Times New Roman" w:eastAsia="Times New Roman" w:hAnsi="Times New Roman"/>
          <w:sz w:val="20"/>
          <w:szCs w:val="20"/>
          <w:color w:val="auto"/>
        </w:rPr>
      </w:pPr>
    </w:p>
    <w:p>
      <w:pPr>
        <w:ind w:left="2520" w:hanging="568"/>
        <w:spacing w:after="0"/>
        <w:tabs>
          <w:tab w:leader="none" w:pos="25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SOFR Loan, at Term SOFR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or</w:t>
      </w:r>
    </w:p>
    <w:p>
      <w:pPr>
        <w:spacing w:after="0" w:line="153"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Swing Line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for Revolving Loans that are Base Rate</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w:t>
      </w:r>
    </w:p>
    <w:p>
      <w:pPr>
        <w:spacing w:after="0" w:line="153"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for determining the rate of interest with respect to any Loan, and the Interest Period with respect to any SOFR Loan, shall be selected by Borrower Representative and notified to Administrative Agent and Lenders pursuant to the applicable Funding Notice or Conversion/Continuation Notice, as the case may be.</w:t>
      </w:r>
    </w:p>
    <w:p>
      <w:pPr>
        <w:spacing w:after="0" w:line="12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20"/>
          <w:szCs w:val="20"/>
          <w:color w:val="auto"/>
        </w:rPr>
        <w:t>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or by telephone confirmed in writing) to Borrower Representative and each Lender.</w:t>
      </w:r>
    </w:p>
    <w:p>
      <w:pPr>
        <w:spacing w:after="0" w:line="145" w:lineRule="exact"/>
        <w:rPr>
          <w:sz w:val="20"/>
          <w:szCs w:val="20"/>
          <w:color w:val="auto"/>
        </w:rPr>
      </w:pPr>
    </w:p>
    <w:p>
      <w:pPr>
        <w:jc w:val="both"/>
        <w:ind w:firstLine="1304"/>
        <w:spacing w:after="0" w:line="252" w:lineRule="auto"/>
        <w:tabs>
          <w:tab w:leader="none" w:pos="181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payable pursuant to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shall be computed on the basis of a 360-day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repayment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on which it is made, one day’s interest shall be paid on that Loan. The applicable Base Rate or Term SOFR shall be determined by Administrative Agent in accordance with the provisions of this Agreement and such determination shall be conclusive and binding for all purposes, absent manifest error.</w:t>
      </w:r>
    </w:p>
    <w:p>
      <w:pPr>
        <w:spacing w:after="0" w:line="123" w:lineRule="exact"/>
        <w:rPr>
          <w:rFonts w:ascii="Times New Roman" w:cs="Times New Roman" w:eastAsia="Times New Roman" w:hAnsi="Times New Roman"/>
          <w:sz w:val="20"/>
          <w:szCs w:val="20"/>
          <w:color w:val="auto"/>
        </w:rPr>
      </w:pPr>
    </w:p>
    <w:p>
      <w:pPr>
        <w:jc w:val="both"/>
        <w:ind w:firstLine="1304"/>
        <w:spacing w:after="0" w:line="268" w:lineRule="auto"/>
        <w:tabs>
          <w:tab w:leader="none" w:pos="180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w:t>
      </w:r>
    </w:p>
    <w:p>
      <w:pPr>
        <w:spacing w:after="0" w:line="10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8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Representative and the Lenders of the effectiveness of any Conforming Changes in connection with the use or administration of Term SOFR.</w:t>
      </w:r>
    </w:p>
    <w:p>
      <w:pPr>
        <w:spacing w:after="0" w:line="13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20"/>
          <w:szCs w:val="20"/>
          <w:b w:val="1"/>
          <w:bCs w:val="1"/>
          <w:u w:val="single" w:color="auto"/>
          <w:color w:val="auto"/>
        </w:rPr>
        <w:t>Conversion/Continuation</w:t>
      </w:r>
      <w:r>
        <w:rPr>
          <w:rFonts w:ascii="Times New Roman" w:cs="Times New Roman" w:eastAsia="Times New Roman" w:hAnsi="Times New Roman"/>
          <w:sz w:val="20"/>
          <w:szCs w:val="20"/>
          <w:color w:val="auto"/>
        </w:rPr>
        <w:t>. (a) Subject to</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Sections 2.07(c), 2.17</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and clause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below, Borrowers shall have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146" w:lineRule="exact"/>
        <w:rPr>
          <w:sz w:val="20"/>
          <w:szCs w:val="20"/>
          <w:color w:val="auto"/>
        </w:rPr>
      </w:pPr>
    </w:p>
    <w:p>
      <w:pPr>
        <w:jc w:val="both"/>
        <w:ind w:left="1300" w:firstLine="652"/>
        <w:spacing w:after="0" w:line="258" w:lineRule="auto"/>
        <w:tabs>
          <w:tab w:leader="none" w:pos="233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SOFR Loan may only be converted on the expiration of the Interest Period applicable to such SOFR Loan unless Borrowers pay all amounts due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connection with any such conversion; or</w:t>
      </w:r>
    </w:p>
    <w:p>
      <w:pPr>
        <w:spacing w:after="0" w:line="131" w:lineRule="exact"/>
        <w:rPr>
          <w:rFonts w:ascii="Times New Roman" w:cs="Times New Roman" w:eastAsia="Times New Roman" w:hAnsi="Times New Roman"/>
          <w:sz w:val="20"/>
          <w:szCs w:val="20"/>
          <w:color w:val="auto"/>
        </w:rPr>
      </w:pPr>
    </w:p>
    <w:p>
      <w:pPr>
        <w:ind w:left="1300" w:firstLine="652"/>
        <w:spacing w:after="0" w:line="269" w:lineRule="auto"/>
        <w:tabs>
          <w:tab w:leader="none" w:pos="240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any Interest Period applicable to any SOFR Loan, to continue all or any portion of such Loan equal to $100,000 and integral multiples of $50,000 in excess of that amount as a SOFR Loan.</w:t>
      </w:r>
    </w:p>
    <w:p>
      <w:pPr>
        <w:spacing w:after="0" w:line="1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7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20"/>
          <w:szCs w:val="20"/>
          <w:color w:val="auto"/>
        </w:rPr>
        <w:t>a SOFR Loan). Except as otherwise provided herein, a Conversion/Continuation Notice for conversion to, or continuation of, any SOFR Loans (or telephonic notice in lieu thereof) shall be irrevocable on and after the related Interest Rate Determination Date, and Borrowers shall be bound to effect a conversion or continuation in accordance therewith.</w:t>
      </w:r>
    </w:p>
    <w:p>
      <w:pPr>
        <w:spacing w:after="0" w:line="127" w:lineRule="exact"/>
        <w:rPr>
          <w:sz w:val="20"/>
          <w:szCs w:val="20"/>
          <w:color w:val="auto"/>
        </w:rPr>
      </w:pPr>
    </w:p>
    <w:p>
      <w:pPr>
        <w:jc w:val="both"/>
        <w:ind w:firstLine="1304"/>
        <w:spacing w:after="0" w:line="253" w:lineRule="auto"/>
        <w:tabs>
          <w:tab w:leader="none" w:pos="179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Borrower Representative fails to specify between a Base Rate Loan or a SOFR Loan in the applicable Conversion/Continuation Notice, such Loan (if outstanding as a SOFR Loan) will be automatically converted into a SOFR Loan with an Interest Period of one month on the last day of the then-current Interest Period for such Loan (or if outstanding as a Base Rate Loan will remain as a Base Rate Loan). In the event Borrower Representative fails to specify an Interest Period for any SOFR Loan in the applicable Conversion/Continuation Notice, Borrower Representative shall be deemed to have selected an Interest Period of one month.</w:t>
      </w:r>
    </w:p>
    <w:p>
      <w:pPr>
        <w:spacing w:after="0" w:line="137" w:lineRule="exact"/>
        <w:rPr>
          <w:rFonts w:ascii="Times New Roman" w:cs="Times New Roman" w:eastAsia="Times New Roman" w:hAnsi="Times New Roman"/>
          <w:sz w:val="20"/>
          <w:szCs w:val="20"/>
          <w:color w:val="auto"/>
        </w:rPr>
      </w:pPr>
    </w:p>
    <w:p>
      <w:pPr>
        <w:ind w:firstLine="1304"/>
        <w:spacing w:after="0" w:line="269" w:lineRule="auto"/>
        <w:tabs>
          <w:tab w:leader="none" w:pos="182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existence of an Event of Default, at the election of the Requisite Lenders upon notice to the Borrower Representative, no Loans may be converted to or continued as SOFR Loans.</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2.09 </w:t>
      </w:r>
      <w:r>
        <w:rPr>
          <w:rFonts w:ascii="Times New Roman" w:cs="Times New Roman" w:eastAsia="Times New Roman" w:hAnsi="Times New Roman"/>
          <w:sz w:val="20"/>
          <w:szCs w:val="20"/>
          <w:b w:val="1"/>
          <w:bCs w:val="1"/>
          <w:color w:val="auto"/>
        </w:rPr>
        <w:t>Default Interest</w:t>
      </w:r>
      <w:r>
        <w:rPr>
          <w:rFonts w:ascii="Times New Roman" w:cs="Times New Roman" w:eastAsia="Times New Roman" w:hAnsi="Times New Roman"/>
          <w:sz w:val="20"/>
          <w:szCs w:val="20"/>
          <w:color w:val="auto"/>
        </w:rPr>
        <w:t xml:space="preserve">. Notwithstanding anything herein to the contrary, automatically upon acceleration or the occurrence and during the continuance of a Specified Event of Default (in the case of Section 8.01(a), solely as it relates to principal and interest), Obligations that are overdue shall bear interest, payable on demand at a rate that is 2.00% per annum in excess of the interest rate otherwise payable hereunder with respect to the applicable Loans (or, in the case of any such fees and other amounts not otherwise subject to an interest rate hereunder, at a rate which is 2.00% per annum in excess of the interest rate otherwise payable hereunder for Base Rate Loans), in each case, to the fullest extent permitted by applicable laws. Payment or acceptance of the increased rates of interest provided for in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is not a permitted alternative to timely payment and shall not constitute a waiver of any Event of Default or otherwise prejudice or limit any rights or remedies of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-1089025</wp:posOffset>
            </wp:positionV>
            <wp:extent cx="1039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1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3625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585" cy="8255"/>
                    </a:xfrm>
                    <a:prstGeom prst="rect">
                      <a:avLst/>
                    </a:prstGeom>
                    <a:noFill/>
                  </pic:spPr>
                </pic:pic>
              </a:graphicData>
            </a:graphic>
          </wp:anchor>
        </w:drawing>
      </w:r>
    </w:p>
    <w:p>
      <w:pPr>
        <w:spacing w:after="0" w:line="146" w:lineRule="exact"/>
        <w:rPr>
          <w:sz w:val="20"/>
          <w:szCs w:val="20"/>
          <w:color w:val="auto"/>
        </w:rPr>
      </w:pPr>
    </w:p>
    <w:p>
      <w:pPr>
        <w:jc w:val="both"/>
        <w:ind w:firstLine="656"/>
        <w:spacing w:after="0" w:line="265" w:lineRule="auto"/>
        <w:tabs>
          <w:tab w:leader="none" w:pos="92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Borrowers agree to pay to Administrative Agent, for the benefit of each Revolving Credit Lender in accordance with its Pro Rata Share or other applicable share provided for such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Times New Roman" w:cs="Times New Roman" w:eastAsia="Times New Roman" w:hAnsi="Times New Roman"/>
          <w:sz w:val="19"/>
          <w:szCs w:val="19"/>
          <w:u w:val="single" w:color="auto"/>
          <w:color w:val="auto"/>
        </w:rPr>
        <w:t>Section 2.15(a)</w:t>
      </w:r>
      <w:r>
        <w:rPr>
          <w:rFonts w:ascii="Times New Roman" w:cs="Times New Roman" w:eastAsia="Times New Roman" w:hAnsi="Times New Roman"/>
          <w:sz w:val="19"/>
          <w:szCs w:val="19"/>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1240"/>
          </w:cols>
          <w:pgMar w:left="320" w:top="1413" w:right="339" w:bottom="1440" w:gutter="0" w:footer="0" w:header="0"/>
        </w:sectPr>
      </w:pPr>
    </w:p>
    <w:bookmarkStart w:id="110" w:name="page111"/>
    <w:bookmarkEnd w:id="110"/>
    <w:p>
      <w:pPr>
        <w:spacing w:after="0" w:line="283" w:lineRule="auto"/>
        <w:rPr>
          <w:sz w:val="20"/>
          <w:szCs w:val="20"/>
          <w:color w:val="auto"/>
        </w:rPr>
      </w:pPr>
      <w:r>
        <w:rPr>
          <w:rFonts w:ascii="Times New Roman" w:cs="Times New Roman" w:eastAsia="Times New Roman" w:hAnsi="Times New Roman"/>
          <w:sz w:val="20"/>
          <w:szCs w:val="20"/>
          <w:color w:val="auto"/>
        </w:rPr>
        <w:t>Margin during any quarter, the actual daily amount shall be computed and multiplied by the Applicable Margin separately for each period during such quarter that such Applicable Margin was in effect.</w:t>
      </w:r>
    </w:p>
    <w:p>
      <w:pPr>
        <w:spacing w:after="0" w:line="92" w:lineRule="exact"/>
        <w:rPr>
          <w:sz w:val="20"/>
          <w:szCs w:val="20"/>
          <w:color w:val="auto"/>
        </w:rPr>
      </w:pPr>
    </w:p>
    <w:p>
      <w:pPr>
        <w:ind w:left="1760" w:hanging="456"/>
        <w:spacing w:after="0"/>
        <w:tabs>
          <w:tab w:leader="none" w:pos="1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referred to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be calculated on the basis of a 360-day year and the actual number of days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elapsed.</w:t>
      </w:r>
    </w:p>
    <w:p>
      <w:pPr>
        <w:spacing w:after="0" w:line="146" w:lineRule="exact"/>
        <w:rPr>
          <w:sz w:val="20"/>
          <w:szCs w:val="20"/>
          <w:color w:val="auto"/>
        </w:rPr>
      </w:pPr>
    </w:p>
    <w:p>
      <w:pPr>
        <w:ind w:left="1720" w:hanging="416"/>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shall pay the fees set forth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2.03(i)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of the foregoing fees, the Borrowers agree to pay (or cause to be paid) to Agents (or other Persons entitled thereto)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pacing w:after="0" w:line="11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9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Repricing Transaction consummated on or prior to the date that is six (6) months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the Borrowers shall pay to each Term Lender a fee equal to its Pro Rata Share of the Repricing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Premium.</w:t>
      </w:r>
    </w:p>
    <w:p>
      <w:pPr>
        <w:spacing w:after="0" w:line="12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color w:val="auto"/>
        </w:rPr>
        <w:t>Repayment of Loans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-8255</wp:posOffset>
            </wp:positionV>
            <wp:extent cx="1235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146"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43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(on a joint and several basis) shall repay to Administrative Agent for the ratable account of the Appropriate Lenders with outstanding Initial Term Loans (A) on the last Business Day of each March, June, September and December, commencing with December 31, </w:t>
      </w:r>
      <w:r>
        <w:rPr>
          <w:rFonts w:ascii="Times New Roman" w:cs="Times New Roman" w:eastAsia="Times New Roman" w:hAnsi="Times New Roman"/>
          <w:sz w:val="20"/>
          <w:szCs w:val="20"/>
          <w:color w:val="FF0000"/>
          <w:strike w:val="1"/>
        </w:rPr>
        <w:t>2024</w:t>
      </w:r>
      <w:r>
        <w:rPr>
          <w:rFonts w:ascii="Times New Roman" w:cs="Times New Roman" w:eastAsia="Times New Roman" w:hAnsi="Times New Roman"/>
          <w:sz w:val="20"/>
          <w:szCs w:val="20"/>
          <w:u w:val="single" w:color="auto"/>
          <w:color w:val="0000FF"/>
        </w:rPr>
        <w:t>2025</w:t>
      </w:r>
      <w:r>
        <w:rPr>
          <w:rFonts w:ascii="Times New Roman" w:cs="Times New Roman" w:eastAsia="Times New Roman" w:hAnsi="Times New Roman"/>
          <w:sz w:val="20"/>
          <w:szCs w:val="20"/>
          <w:color w:val="auto"/>
        </w:rPr>
        <w:t xml:space="preserve">, an aggregate principal amount equal to </w:t>
      </w:r>
      <w:r>
        <w:rPr>
          <w:rFonts w:ascii="Times New Roman" w:cs="Times New Roman" w:eastAsia="Times New Roman" w:hAnsi="Times New Roman"/>
          <w:sz w:val="20"/>
          <w:szCs w:val="20"/>
          <w:color w:val="FF0000"/>
          <w:strike w:val="1"/>
        </w:rPr>
        <w:t>$2,375,720.55</w:t>
      </w:r>
      <w:r>
        <w:rPr>
          <w:rFonts w:ascii="Times New Roman" w:cs="Times New Roman" w:eastAsia="Times New Roman" w:hAnsi="Times New Roman"/>
          <w:sz w:val="20"/>
          <w:szCs w:val="20"/>
          <w:u w:val="single" w:color="auto"/>
          <w:color w:val="0000FF"/>
        </w:rPr>
        <w:t>0.25%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original principal amount of the Initial Term Loans made on the Amendment No. 2 Effective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after the incurrence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any Term Loan Increase incurred after the Amendment No.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 xml:space="preserve"> Effective Date that will constitute part of the same class as the Initial Term Loans, an amount equal to the sum of (1) the Modified Amortization Percentage of the aggregate principal amount of Initial Term Loans outstanding immediately prior to giving effect to such incurrence and (2) the Modified Amortization Percentage of the aggregate principal amount of such Term Loan Increase) (which payments shall be adjusted from time to time as a result of the application of prepayments in accordance with </w:t>
      </w:r>
      <w:r>
        <w:rPr>
          <w:rFonts w:ascii="Times New Roman" w:cs="Times New Roman" w:eastAsia="Times New Roman" w:hAnsi="Times New Roman"/>
          <w:sz w:val="20"/>
          <w:szCs w:val="20"/>
          <w:u w:val="single" w:color="auto"/>
          <w:color w:val="000000"/>
        </w:rPr>
        <w:t>Sections 2.12</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2.13</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10.05(c)(iv)</w:t>
      </w:r>
      <w:r>
        <w:rPr>
          <w:rFonts w:ascii="Times New Roman" w:cs="Times New Roman" w:eastAsia="Times New Roman" w:hAnsi="Times New Roman"/>
          <w:sz w:val="20"/>
          <w:szCs w:val="20"/>
          <w:color w:val="000000"/>
        </w:rPr>
        <w:t>), together, in each case, with accrued and unpaid interest on the principal amount to be paid to but excluding the date of such payment and (B) on the Maturity Date for the Initial Term Loans, the aggregate principal amount of all Initial Term Loans outstanding on such date.</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48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Term Loan Increase incurred after the Amendment No.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auto"/>
        </w:rPr>
        <w:t xml:space="preserve"> Effective Date 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Term Loan Increase continue to receive a payment that is not less than the same amount that such Lenders would have received absent the incurrence of such Term Loan Increase (i.e., the implied amortization percentage set forth in clause (i) above shall be automatically adjusted to reflect the Modified Amortization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Term Loan Increase is to be “fungible” with the Initial Term Loans, notwithstanding any other conditions specified in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240"/>
          </w:cols>
          <w:pgMar w:left="320" w:top="1413" w:right="339" w:bottom="1440" w:gutter="0" w:footer="0" w:header="0"/>
        </w:sectPr>
      </w:pPr>
    </w:p>
    <w:bookmarkStart w:id="111" w:name="page112"/>
    <w:bookmarkEnd w:id="111"/>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the amortization schedule for such “fungible” Term Loan Increase may provide for amortization based on the Modified Amortization Percentage in accordance with Section </w:t>
      </w:r>
      <w:r>
        <w:rPr>
          <w:rFonts w:ascii="Times New Roman" w:cs="Times New Roman" w:eastAsia="Times New Roman" w:hAnsi="Times New Roman"/>
          <w:sz w:val="20"/>
          <w:szCs w:val="20"/>
          <w:u w:val="single" w:color="auto"/>
          <w:color w:val="auto"/>
        </w:rPr>
        <w:t>2.11(a)(i)(A)</w:t>
      </w:r>
      <w:r>
        <w:rPr>
          <w:rFonts w:ascii="Times New Roman" w:cs="Times New Roman" w:eastAsia="Times New Roman" w:hAnsi="Times New Roman"/>
          <w:sz w:val="20"/>
          <w:szCs w:val="20"/>
          <w:color w:val="auto"/>
        </w:rPr>
        <w:t xml:space="preserve"> above to ensure that such Term Loan Increase will be “fungible” with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without the consent of any other Credit Party, Agent or Lender, the Borrowers and the Administrative Agent may effect such amendments to the Agreement as may be necessary or appropriate, in the reasonable opinion of the Administrative Agent and the Borrowers, to effect the provisions of this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The immediately preceding sentence of this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to the contrary.</w:t>
      </w:r>
    </w:p>
    <w:p>
      <w:pPr>
        <w:spacing w:after="0" w:line="125" w:lineRule="exact"/>
        <w:rPr>
          <w:sz w:val="20"/>
          <w:szCs w:val="20"/>
          <w:color w:val="auto"/>
        </w:rPr>
      </w:pPr>
    </w:p>
    <w:p>
      <w:pPr>
        <w:jc w:val="both"/>
        <w:ind w:left="1300" w:firstLine="652"/>
        <w:spacing w:after="0" w:line="253" w:lineRule="auto"/>
        <w:tabs>
          <w:tab w:leader="none" w:pos="250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any such payment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 pursuant to the terms of any applicable Incremental Amendment, Extension Amendment or Refinancing Amendment.</w:t>
      </w:r>
    </w:p>
    <w:p>
      <w:pPr>
        <w:spacing w:after="0" w:line="13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2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Borrowers (on a joint and several basis) shall repay the aggregate principal amount of each Swing Line Loan on the earlier to occur of (i) the date fifteen (15) Business Days after such Loan is made and (ii) the Latest Maturity Date for the Participating Revolving Credit Commitments.</w:t>
      </w:r>
    </w:p>
    <w:p>
      <w:pPr>
        <w:spacing w:after="0" w:line="11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color w:val="auto"/>
        </w:rPr>
        <w:t>Voluntary Prepayments/Commitment Reductions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775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75585" cy="8255"/>
                    </a:xfrm>
                    <a:prstGeom prst="rect">
                      <a:avLst/>
                    </a:prstGeom>
                    <a:noFill/>
                  </pic:spPr>
                </pic:pic>
              </a:graphicData>
            </a:graphic>
          </wp:anchor>
        </w:drawing>
      </w:r>
    </w:p>
    <w:p>
      <w:pPr>
        <w:spacing w:after="0" w:line="159" w:lineRule="exact"/>
        <w:rPr>
          <w:sz w:val="20"/>
          <w:szCs w:val="20"/>
          <w:color w:val="auto"/>
        </w:rPr>
      </w:pPr>
    </w:p>
    <w:p>
      <w:pPr>
        <w:ind w:left="1720" w:hanging="416"/>
        <w:spacing w:after="0"/>
        <w:tabs>
          <w:tab w:leader="none" w:pos="172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2320" w:hanging="368"/>
        <w:spacing w:after="0"/>
        <w:tabs>
          <w:tab w:leader="none" w:pos="232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time and from time to time:</w:t>
      </w:r>
    </w:p>
    <w:p>
      <w:pPr>
        <w:spacing w:after="0" w:line="175" w:lineRule="exact"/>
        <w:rPr>
          <w:rFonts w:ascii="Times New Roman" w:cs="Times New Roman" w:eastAsia="Times New Roman" w:hAnsi="Times New Roman"/>
          <w:sz w:val="20"/>
          <w:szCs w:val="20"/>
          <w:color w:val="auto"/>
        </w:rPr>
      </w:pPr>
    </w:p>
    <w:p>
      <w:pPr>
        <w:jc w:val="both"/>
        <w:ind w:left="1960" w:firstLine="640"/>
        <w:spacing w:after="0" w:line="258" w:lineRule="auto"/>
        <w:tabs>
          <w:tab w:leader="none" w:pos="3135"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Base Rate Loans (other than any Swing Line Loans), the Borrowers may prepay any such Loans without penalty or premium (except as provided in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on any Business Day in whole or in part, in an aggregate minimum amount of $1,000,000 and integral multiples of $500,000 in excess of that amount or, if less, the entire principal amount thereof then outstanding;</w:t>
      </w:r>
    </w:p>
    <w:p>
      <w:pPr>
        <w:spacing w:after="0" w:line="118" w:lineRule="exact"/>
        <w:rPr>
          <w:rFonts w:ascii="Times New Roman" w:cs="Times New Roman" w:eastAsia="Times New Roman" w:hAnsi="Times New Roman"/>
          <w:sz w:val="20"/>
          <w:szCs w:val="20"/>
          <w:color w:val="auto"/>
        </w:rPr>
      </w:pPr>
    </w:p>
    <w:p>
      <w:pPr>
        <w:jc w:val="both"/>
        <w:ind w:left="1960" w:firstLine="640"/>
        <w:spacing w:after="0" w:line="268" w:lineRule="auto"/>
        <w:tabs>
          <w:tab w:leader="none" w:pos="318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07"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175"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SOFR Loans, Borrowers may prepay any such Loans without penalty or premium (except as provided in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xml:space="preserve">) on any Business Day in whole or in part (together with any amounts due pursuant to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in an aggregate minimum amount of $100,000 and integral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240"/>
          </w:cols>
          <w:pgMar w:left="320" w:top="1413" w:right="339" w:bottom="1440" w:gutter="0" w:footer="0" w:header="0"/>
        </w:sectPr>
      </w:pPr>
    </w:p>
    <w:bookmarkStart w:id="112" w:name="page113"/>
    <w:bookmarkEnd w:id="112"/>
    <w:p>
      <w:pPr>
        <w:ind w:left="1960"/>
        <w:spacing w:after="0"/>
        <w:rPr>
          <w:sz w:val="20"/>
          <w:szCs w:val="20"/>
          <w:color w:val="auto"/>
        </w:rPr>
      </w:pPr>
      <w:r>
        <w:rPr>
          <w:rFonts w:ascii="Times New Roman" w:cs="Times New Roman" w:eastAsia="Times New Roman" w:hAnsi="Times New Roman"/>
          <w:sz w:val="20"/>
          <w:szCs w:val="20"/>
          <w:color w:val="auto"/>
        </w:rPr>
        <w:t>multiples of $50,000 in excess of that amount or, if less, the entire principal amount thereof then outstanding.</w:t>
      </w:r>
    </w:p>
    <w:p>
      <w:pPr>
        <w:spacing w:after="0" w:line="175" w:lineRule="exact"/>
        <w:rPr>
          <w:sz w:val="20"/>
          <w:szCs w:val="20"/>
          <w:color w:val="auto"/>
        </w:rPr>
      </w:pPr>
    </w:p>
    <w:p>
      <w:pPr>
        <w:ind w:left="2380" w:hanging="428"/>
        <w:spacing w:after="0"/>
        <w:tabs>
          <w:tab w:leader="none" w:pos="2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prepayments shall be made:</w:t>
      </w:r>
    </w:p>
    <w:p>
      <w:pPr>
        <w:spacing w:after="0" w:line="161" w:lineRule="exact"/>
        <w:rPr>
          <w:rFonts w:ascii="Times New Roman" w:cs="Times New Roman" w:eastAsia="Times New Roman" w:hAnsi="Times New Roman"/>
          <w:sz w:val="20"/>
          <w:szCs w:val="20"/>
          <w:color w:val="auto"/>
        </w:rPr>
      </w:pPr>
    </w:p>
    <w:p>
      <w:pPr>
        <w:ind w:left="1960" w:firstLine="640"/>
        <w:spacing w:after="0" w:line="283" w:lineRule="auto"/>
        <w:tabs>
          <w:tab w:leader="none" w:pos="3125"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 less than one (1) Business Day’s prior written or telephonic notice in the case of Base Rate Loans (other than any Swing Line Loans);</w:t>
      </w:r>
    </w:p>
    <w:p>
      <w:pPr>
        <w:spacing w:after="0" w:line="92" w:lineRule="exact"/>
        <w:rPr>
          <w:rFonts w:ascii="Times New Roman" w:cs="Times New Roman" w:eastAsia="Times New Roman" w:hAnsi="Times New Roman"/>
          <w:sz w:val="20"/>
          <w:szCs w:val="20"/>
          <w:color w:val="auto"/>
        </w:rPr>
      </w:pPr>
    </w:p>
    <w:p>
      <w:pPr>
        <w:ind w:left="3060" w:hanging="460"/>
        <w:spacing w:after="0"/>
        <w:tabs>
          <w:tab w:leader="none" w:pos="306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prepayment in the case of Swing Line Loans; and</w:t>
      </w:r>
    </w:p>
    <w:p>
      <w:pPr>
        <w:spacing w:after="0" w:line="175"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 less than three (3) Business Days’ prior written or telephonic notice in the case of SOFR</w:t>
      </w:r>
    </w:p>
    <w:p>
      <w:pPr>
        <w:spacing w:after="0" w:line="28"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 each case, given to Administrative Agent (and the Swing Line Lender in the case of Swing Line Loans) by Borrower Representative by 2:00 p.m. on the date required and, if given by telephone, promptly confirmed in writing to Administrative Agent (and Administrative Agent will promptly transmit such telephonic or written notice for Term Loans or Revolving Loans, as the case may be, by telephone or electronic communication to each Appropriate Lender and of the amount of such Lender’s Pro Rata Share or other applicable share as provided for in this Agreement of such prepayment). Each such notice shall specify the date and amount of such prepayment and the Type(s) and Class(es) of Loans to be prepaid. Upon the giving of any such notice, the principal amount of the Loans specified in such notice shall become due and payable on the prepayment date specified therein and each such prepayment shall be paid to the Lenders in accordance with their respective Pro Rata Share or other applicable share as provided for in this Agreement;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such notice may state that it is conditioned upon the effectiveness of other transactions, in which case such notice may be revoked by the Borrower Representative by notice to the Administrative Agent on or prior to the specified effective date if such condition is not satisfied. Any such voluntary prepayment shall be applied as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2440" w:hanging="488"/>
        <w:spacing w:after="0"/>
        <w:tabs>
          <w:tab w:leader="none" w:pos="244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Lender may reject any voluntary prepayment pursuant to this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Commitment Reductions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47"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may, upon written notice to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Administrative Agent at least one (1) 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Commitments, the Letter of Credit Sublimit or the Swing Line Sublimit exceeds the aggregate amount of the Revolving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141" w:lineRule="exact"/>
        <w:rPr>
          <w:sz w:val="20"/>
          <w:szCs w:val="20"/>
          <w:color w:val="auto"/>
        </w:rPr>
      </w:pPr>
    </w:p>
    <w:p>
      <w:pPr>
        <w:jc w:val="both"/>
        <w:ind w:firstLine="1952"/>
        <w:spacing w:after="0" w:line="254" w:lineRule="auto"/>
        <w:tabs>
          <w:tab w:leader="none" w:pos="240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Upon any reduction of unused Commitments of any Class, the Commitment of each Lender of such Class shall be reduced by such Lender’s Pro Rata Share of the amount by which such Commitments are reduced (other than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40"/>
          </w:cols>
          <w:pgMar w:left="320" w:top="1413" w:right="339" w:bottom="1440" w:gutter="0" w:footer="0" w:header="0"/>
        </w:sectPr>
      </w:pPr>
    </w:p>
    <w:bookmarkStart w:id="113" w:name="page114"/>
    <w:bookmarkEnd w:id="113"/>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termination of the Commitment of any Lender as provided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All commitment fees accrued until the effective date of any termination of the Aggregate Commitments shall be paid on the effective date of such termination.</w:t>
      </w:r>
    </w:p>
    <w:p>
      <w:pPr>
        <w:spacing w:after="0" w:line="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b w:val="1"/>
          <w:bCs w:val="1"/>
          <w:color w:val="auto"/>
        </w:rPr>
        <w:t>Mandatory Prepayments/Commitment Reductions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845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5435"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48" w:lineRule="auto"/>
        <w:tabs>
          <w:tab w:leader="none" w:pos="182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xml:space="preserve">. Not later than five (5) Business Days following the receipt by the Initial Borrower or any Restricted Subsidiary of any Net Asset Sale Proceeds from an Asset Sale pursuant to </w:t>
      </w:r>
      <w:r>
        <w:rPr>
          <w:rFonts w:ascii="Times New Roman" w:cs="Times New Roman" w:eastAsia="Times New Roman" w:hAnsi="Times New Roman"/>
          <w:sz w:val="20"/>
          <w:szCs w:val="20"/>
          <w:u w:val="single" w:color="auto"/>
          <w:color w:val="auto"/>
        </w:rPr>
        <w:t>Section 6.09(d)</w:t>
      </w:r>
      <w:r>
        <w:rPr>
          <w:rFonts w:ascii="Times New Roman" w:cs="Times New Roman" w:eastAsia="Times New Roman" w:hAnsi="Times New Roman"/>
          <w:sz w:val="20"/>
          <w:szCs w:val="20"/>
          <w:color w:val="auto"/>
        </w:rPr>
        <w:t xml:space="preserve"> in excess of $15,000,000 in the aggregate during any twelve-month period, the Borrower Representative shall prepay the Term Loans, subject to </w:t>
      </w:r>
      <w:r>
        <w:rPr>
          <w:rFonts w:ascii="Times New Roman" w:cs="Times New Roman" w:eastAsia="Times New Roman" w:hAnsi="Times New Roman"/>
          <w:sz w:val="20"/>
          <w:szCs w:val="20"/>
          <w:u w:val="single" w:color="auto"/>
          <w:color w:val="auto"/>
        </w:rPr>
        <w:t>Sections 2.13(g)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2.14(b)</w:t>
      </w:r>
      <w:r>
        <w:rPr>
          <w:rFonts w:ascii="Times New Roman" w:cs="Times New Roman" w:eastAsia="Times New Roman" w:hAnsi="Times New Roman"/>
          <w:sz w:val="20"/>
          <w:szCs w:val="20"/>
          <w:color w:val="auto"/>
        </w:rPr>
        <w:t xml:space="preserve"> in an aggregate amount equal to the Applicable Net Proceeds Percentage of such Net Asset Sale Proceeds in excess of $15,000,000;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shall have occurred and be continuing or would immediately arise therefrom, such proceeds with respect to any such Asset Sale shall not be required to be so applied in accordance with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to the extent that the Borrower Representative shall have notified Administrative Agent on or prior to the end of the five-Business-Day period noted above stating that such Net Asset Sale Proceeds are expected to be reinvested in assets used or useful in the business of the Initial Borrower and its Restricted Subsidiaries (including pursuant to a Permitted Acquisition) or to be contractually committed to be so reinvested (such amounts “</w:t>
      </w:r>
      <w:r>
        <w:rPr>
          <w:rFonts w:ascii="Times New Roman" w:cs="Times New Roman" w:eastAsia="Times New Roman" w:hAnsi="Times New Roman"/>
          <w:sz w:val="20"/>
          <w:szCs w:val="20"/>
          <w:u w:val="single" w:color="auto"/>
          <w:color w:val="auto"/>
        </w:rPr>
        <w:t>Asset Sale Reinvestment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Amounts</w:t>
      </w:r>
      <w:r>
        <w:rPr>
          <w:rFonts w:ascii="Times New Roman" w:cs="Times New Roman" w:eastAsia="Times New Roman" w:hAnsi="Times New Roman"/>
          <w:sz w:val="20"/>
          <w:szCs w:val="20"/>
          <w:color w:val="auto"/>
        </w:rPr>
        <w:t xml:space="preserve">”), within twelve (12) months following receipt of such Net Asset Sale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Asset Sale Reinvestment Amounts that have been contractually committed to be reinvested during such twelve (12) month period shall be reinvested within 180 days after the expiration of such twelve (12) month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at the time that any such prepayment would be required, the Borrowers (or any Restricted Subsidiary of the Borrowers) are required to prepay or offer to repurchase any Incremental Equivalent Debt, any Credit Agreement Refinancing Indebtedness or any other Indebtedness permitted hereunder, in each case, that is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pursuant to the terms of the documentation governing such Indebtedness (such Incremental Equivalent Debt, Credit Agreement Refinancing Indebtedness or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secured Indebtedness, “</w:t>
      </w:r>
      <w:r>
        <w:rPr>
          <w:rFonts w:ascii="Times New Roman" w:cs="Times New Roman" w:eastAsia="Times New Roman" w:hAnsi="Times New Roman"/>
          <w:sz w:val="20"/>
          <w:szCs w:val="20"/>
          <w:u w:val="single" w:color="auto"/>
          <w:color w:val="auto"/>
        </w:rPr>
        <w:t>Other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with any portion of such Net Asset Sale Proceeds, then the Borrower Representative may apply such portion of the Net Asset Sale Proceeds on a pro rata basis (determined on the basis of the aggregate outstanding principal amount of the Term Loans and Other Applicable Indebtedness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portion of such Net Asset Sale Proceeds allocated to the Other Applicable Indebtedness shall not exceed the amount of such Net Asset Sale Proceeds required to be allocated to the Other Applicable Indebtedness pursuant to the terms thereof, and the remaining amount, if any, of such Net Asset Sale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shall be reduced accordingly;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(without giving effect to the first proviso in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6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Insurance/Condemnation Proceeds</w:t>
      </w:r>
      <w:r>
        <w:rPr>
          <w:rFonts w:ascii="Times New Roman" w:cs="Times New Roman" w:eastAsia="Times New Roman" w:hAnsi="Times New Roman"/>
          <w:sz w:val="20"/>
          <w:szCs w:val="20"/>
          <w:color w:val="auto"/>
        </w:rPr>
        <w:t>. Not later than five (5) Business Days following the receipt by the Initial Borrower, or any Restricted Subsidiary (or Administrative Agent as loss payee or lender’s loss payee) of any Net Insurance/Condemnation Proceeds, the Borrower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Representative shall prepay the Term Loans in an aggregate amount equal to the Applicable Net Proceeds Percentage of such Net Insurance/Condemnation Proceeds in excess of $15,000,000 in the aggregate during any twelve-month period, in each case, in accordance with </w:t>
      </w:r>
      <w:r>
        <w:rPr>
          <w:rFonts w:ascii="Times New Roman" w:cs="Times New Roman" w:eastAsia="Times New Roman" w:hAnsi="Times New Roman"/>
          <w:sz w:val="20"/>
          <w:szCs w:val="20"/>
          <w:u w:val="single" w:color="auto"/>
          <w:color w:val="auto"/>
        </w:rPr>
        <w:t>Sections 2.13(g)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that are otherwise useful in the business of the Initial Borrower and its Restricted Subsidiaries, or (y) to be contractually committed to be so reinvested, in each case, no later than twelve (12) months following the date of receipt of such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Net Insurance/Condemnation Proceeds that have been contractually committed to be reinvested during such twelve (12) month period shall be reinvested within 180 days after the expiration of such twelve (12) month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that any such prepayment would be required, the Borrowers are required to offer to repurchase Other Applicable Indebtedness, then the Borrower Representative may apply such Net Insurance/Condemnation Proceeds on a pro rata basis (determined on the basis of the aggregate outstanding principal amount of the Term Loans and Other Applicable Indebtedness at such time);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portion of such Net Insurance/Condemnation Proceeds allocated to the Other Applicable Indebtedness shall not exceed the amount of such Net Insurance/Condemnation Proceeds required to be allocated to the Other Applicable Indebtedness pursuant to the terms thereof, and the remaining amount, if any, of such Net Insurance/Condemnation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shall be reduced accordingly. In the event that any portion of such Net Insurance/Condemnation Proceeds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(without giving effect to the first proviso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w:t>
      </w:r>
    </w:p>
    <w:p>
      <w:pPr>
        <w:spacing w:after="0" w:line="142" w:lineRule="exact"/>
        <w:rPr>
          <w:sz w:val="20"/>
          <w:szCs w:val="20"/>
          <w:color w:val="auto"/>
        </w:rPr>
      </w:pPr>
    </w:p>
    <w:p>
      <w:pPr>
        <w:jc w:val="both"/>
        <w:ind w:firstLine="1304"/>
        <w:spacing w:after="0" w:line="253" w:lineRule="auto"/>
        <w:tabs>
          <w:tab w:leader="none" w:pos="17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Debt</w:t>
      </w:r>
      <w:r>
        <w:rPr>
          <w:rFonts w:ascii="Times New Roman" w:cs="Times New Roman" w:eastAsia="Times New Roman" w:hAnsi="Times New Roman"/>
          <w:sz w:val="20"/>
          <w:szCs w:val="20"/>
          <w:color w:val="auto"/>
        </w:rPr>
        <w:t xml:space="preserve">. On the date of receipt by any Borrower or any Restricted Subsidiary of any net Cash proceeds from the incurrence of any Indebtedness of any Borrower or any Restricted Subsidiary (other than with respect to any Indebtedness permitted to be incurred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any Credit Agreement Refinancing Indebtedness)), the Borrowers shall make prepayments in accordance with </w:t>
      </w:r>
      <w:r>
        <w:rPr>
          <w:rFonts w:ascii="Times New Roman" w:cs="Times New Roman" w:eastAsia="Times New Roman" w:hAnsi="Times New Roman"/>
          <w:sz w:val="20"/>
          <w:szCs w:val="20"/>
          <w:u w:val="single" w:color="auto"/>
          <w:color w:val="auto"/>
        </w:rPr>
        <w:t>Sections 2.13(g)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2.14(b)</w:t>
      </w:r>
      <w:r>
        <w:rPr>
          <w:rFonts w:ascii="Times New Roman" w:cs="Times New Roman" w:eastAsia="Times New Roman" w:hAnsi="Times New Roman"/>
          <w:sz w:val="20"/>
          <w:szCs w:val="20"/>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2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Excess Cash Flow</w:t>
      </w:r>
      <w:r>
        <w:rPr>
          <w:rFonts w:ascii="Times New Roman" w:cs="Times New Roman" w:eastAsia="Times New Roman" w:hAnsi="Times New Roman"/>
          <w:sz w:val="20"/>
          <w:szCs w:val="20"/>
          <w:color w:val="auto"/>
        </w:rPr>
        <w:t xml:space="preserve">. In the event that there shall be Consolidated Excess Cash Flow for any Consolidated Excess Cash Flow Period (commencing with the Fiscal Year ending December 31, 2025), the Borrower Representative shall, no later than five (5) Business Days after the date on which the financial statements and the related Compliance Certificate have been delivered pursuant to </w:t>
      </w:r>
      <w:r>
        <w:rPr>
          <w:rFonts w:ascii="Times New Roman" w:cs="Times New Roman" w:eastAsia="Times New Roman" w:hAnsi="Times New Roman"/>
          <w:sz w:val="20"/>
          <w:szCs w:val="20"/>
          <w:u w:val="single" w:color="auto"/>
          <w:color w:val="auto"/>
        </w:rPr>
        <w:t>Sections 5.01(c)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5.01(d)</w:t>
      </w:r>
      <w:r>
        <w:rPr>
          <w:rFonts w:ascii="Times New Roman" w:cs="Times New Roman" w:eastAsia="Times New Roman" w:hAnsi="Times New Roman"/>
          <w:sz w:val="20"/>
          <w:szCs w:val="20"/>
          <w:color w:val="auto"/>
        </w:rPr>
        <w:t xml:space="preserve"> with respect to each Fiscal Year, make prepayments of Term Loans in accordance with </w:t>
      </w:r>
      <w:r>
        <w:rPr>
          <w:rFonts w:ascii="Times New Roman" w:cs="Times New Roman" w:eastAsia="Times New Roman" w:hAnsi="Times New Roman"/>
          <w:sz w:val="20"/>
          <w:szCs w:val="20"/>
          <w:u w:val="single" w:color="auto"/>
          <w:color w:val="auto"/>
        </w:rPr>
        <w:t>Sections 2.13(g)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2.14(b)</w:t>
      </w:r>
      <w:r>
        <w:rPr>
          <w:rFonts w:ascii="Times New Roman" w:cs="Times New Roman" w:eastAsia="Times New Roman" w:hAnsi="Times New Roman"/>
          <w:sz w:val="20"/>
          <w:szCs w:val="20"/>
          <w:color w:val="auto"/>
        </w:rPr>
        <w:t xml:space="preserve"> in an aggregate amount equal to (i) the Applicable ECF Percentage of Consolidated Excess Cash Flow for such Consolidated Excess Cash Flow Period then ended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to the extent not funded with the proceeds of long-term Indebtedness (other than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revolving Indebtedness), the aggregate amount equal to the sum of (A) any (x) voluntary prepayment of Term Loans, Incremental Term Loans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Refinancing Term Loans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Extended Term Loans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Revolving Loans, Refinancing Revolving Loans, Incremental Revolving Loans or Extended Revolving Loans, in each case secured on a pari passu basis with the Initial Revolving Credit Commitments (in the case of any prepayment of Revolving Loans, Refinancing Revolving Loans, Incremental Revolving Loans and/or Extended Revolving Loans, to the extent accompanied by a corresponding permanent reduction in the relevant commitment), or Other Applicable Indebtedness, (y) Term Loans (in the case of Incremental Term Loans, Refinancing Term Loans and Extended Term Loans, to the extent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assigned to or purchased by any Borrower or any Restricted Subsidiary in accordance with </w:t>
      </w:r>
      <w:r>
        <w:rPr>
          <w:rFonts w:ascii="Times New Roman" w:cs="Times New Roman" w:eastAsia="Times New Roman" w:hAnsi="Times New Roman"/>
          <w:sz w:val="20"/>
          <w:szCs w:val="20"/>
          <w:u w:val="single" w:color="auto"/>
          <w:color w:val="auto"/>
        </w:rPr>
        <w:t>Section 10.06(c)(iv)</w:t>
      </w:r>
      <w:r>
        <w:rPr>
          <w:rFonts w:ascii="Times New Roman" w:cs="Times New Roman" w:eastAsia="Times New Roman" w:hAnsi="Times New Roman"/>
          <w:sz w:val="20"/>
          <w:szCs w:val="20"/>
          <w:color w:val="auto"/>
        </w:rPr>
        <w:t xml:space="preserve"> and, in each case under this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based upon the actual amount of Cash paid in connection with the relevant assignment or purchase, and (z) Other Applicable Indebtedness repurchased (based on the actual amount of Cash paid in connection with any such repurchase and, in the case the repurchase of revolving Indebtedness, to the extent accompanied by a corresponding permanent reduction in the relevant commitment), and, in the case of clauses (x), (y) and (z), to the extent such prepayment, assignment or purchase was made during such Consolidated Excess Cash Flow Period or, at the option of the Borrower Representative (without duplication across such period), after year end and prior to the date when such Excess Cash Flow prepayment is due,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Consolidated Capital Expenditures and acquisitions of intellectual property made during such Consolidated Excess Cash Flow Period or, at the option of the Borrower Representative (without duplication across such period), after year end and prior to the date when such Excess Cash Flow prepayment is due,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consideration paid with respect to Permitted Acquisitions or other Investments (other than Investments in Cash or Cash Equivalents and intercompany Investments in a Borrower or a Restricted Subsidiary of a Borrower) permitted by this Agreement (including earn-out payments or consisting of the deferred purchase price of property), Restricted Payments (other than Restricted Payments paid to a Borrower or any of its Restricted Subsidiaries), and, in each case during such Consolidated Excess Cash Flow Period or, at the option of the Borrower Representative (without duplication across such period), after year end and prior to the date when such Excess Cash Flow prepayment is due,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at the option of the Borrower Representative (without duplication of amounts reducing the ECF Prepayment Amount in prior periods), the aggregate consideration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xml:space="preserve">”) (x) required to be paid by the Initial Borrower or its Restricted Subsidiaries pursuant to binding contracts or executed letters of intent or (y) that has been budgeted and identified to be consummated by the Borrowers or their Restricted Subsidiaries, in each case, relating to Consolidated Capital Expenditures, acquisitions of intellectual property, Permitted Acquisitions and other Investments, Restricted Payments and other payments described in clauses (B) and (C) above to be consummated or made prior to the ECF Cutoff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to the extent that the amount of Cash (other than Cash proceeds from long-term Indebtedness (other than revolving Indebtedness) and Cumulative Retained Consolidated Excess Cash Flow Amount) actually paid during such subsequent period of four consecutive Fiscal Quarters is less than the Contract Consideration, the amount of such shortfall shall be added when calculating the ECF Prepayment Amount at the end of such subsequent period of four consecutive Fiscal Quarters (the difference of (i) minus (ii), the “</w:t>
      </w:r>
      <w:r>
        <w:rPr>
          <w:rFonts w:ascii="Times New Roman" w:cs="Times New Roman" w:eastAsia="Times New Roman" w:hAnsi="Times New Roman"/>
          <w:sz w:val="20"/>
          <w:szCs w:val="20"/>
          <w:u w:val="single" w:color="auto"/>
          <w:color w:val="auto"/>
        </w:rPr>
        <w:t>ECF Prepayment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prepayment shall be required for any Consolidated Excess Cash Flow Period only if the ECF Prepayment Amount for such Consolidated Excess Cash Flow Period is greater than $10,000,000 (and only to the extent of the amounts in excess thereof) (the “</w:t>
      </w:r>
      <w:r>
        <w:rPr>
          <w:rFonts w:ascii="Times New Roman" w:cs="Times New Roman" w:eastAsia="Times New Roman" w:hAnsi="Times New Roman"/>
          <w:sz w:val="20"/>
          <w:szCs w:val="20"/>
          <w:u w:val="single" w:color="auto"/>
          <w:color w:val="auto"/>
        </w:rPr>
        <w:t>ECF Prepayment Threshold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at the time that any such prepayment would be required, the Borrowers are required to offer to repurchase Other Applicable Indebtedness, then the Borrower Representative may apply such ECF Prepayment Amount on a pro rata basis (determined on the basis of the aggregate outstanding principal amount of the Term Loans and Other Applicable Indebtedness at such time);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portion of such ECF Prepayment Amount allocated to the Other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Applicable Indebtedness shall not exceed the amount required to be allocated to the Other Applicable Indebtedness pursuant to the terms thereof, and the remaining amount, if any, of such ECF Prepayment Amount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shall be reduced accordingly. Notwithstanding anything to the contrary set forth in this clause (d), to the extent that any of the amounts set forth in clauses (ii)(A) through (ii)(D) above are attributable to a Designated Restricted Subsidiary, such amounts included in clauses (ii)(A) through (ii)(D) shall be limited to the portion of such amounts attributable to the Initial Borrower’s or any of its Restricted Subsidiaries’ (other than any Designated Restricted Subsidiary’s) ownership interest in such Designated Restricted Subsidiary.</w:t>
      </w:r>
    </w:p>
    <w:p>
      <w:pPr>
        <w:spacing w:after="0" w:line="141" w:lineRule="exact"/>
        <w:rPr>
          <w:sz w:val="20"/>
          <w:szCs w:val="20"/>
          <w:color w:val="auto"/>
        </w:rPr>
      </w:pPr>
    </w:p>
    <w:p>
      <w:pPr>
        <w:jc w:val="both"/>
        <w:ind w:firstLine="1304"/>
        <w:spacing w:after="0" w:line="253" w:lineRule="auto"/>
        <w:tabs>
          <w:tab w:leader="none" w:pos="176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 Exceed Commitments</w:t>
      </w:r>
      <w:r>
        <w:rPr>
          <w:rFonts w:ascii="Times New Roman" w:cs="Times New Roman" w:eastAsia="Times New Roman" w:hAnsi="Times New Roman"/>
          <w:sz w:val="20"/>
          <w:szCs w:val="20"/>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Cash Collateralize the L/C Obligations pursuant to this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unless after the prepayment in full of the Revolving Loans and Swing Line Loans, such aggregate Outstanding Amount exceeds the aggregate Participating Revolving Credit Commitments then in effect.</w:t>
      </w:r>
    </w:p>
    <w:p>
      <w:pPr>
        <w:spacing w:after="0" w:line="124"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5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Commitment Reductions</w:t>
      </w:r>
      <w:r>
        <w:rPr>
          <w:rFonts w:ascii="Times New Roman" w:cs="Times New Roman" w:eastAsia="Times New Roman" w:hAnsi="Times New Roman"/>
          <w:sz w:val="20"/>
          <w:szCs w:val="20"/>
          <w:color w:val="auto"/>
        </w:rPr>
        <w:t xml:space="preserve">. The Initial Term Commitment of each Term Lender shall be automatically and permanently reduced to $0 upon the funding of Initial Loans to be made by it on the Closing Date.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foregoing shall not release any Revolving Credit Lender from any liability it may have for its failure to fund Revolving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spacing w:after="0" w:line="12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73" w:val="left"/>
        </w:tabs>
        <w:numPr>
          <w:ilvl w:val="0"/>
          <w:numId w:val="1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 of Prepayment</w:t>
      </w:r>
      <w:r>
        <w:rPr>
          <w:rFonts w:ascii="Times New Roman" w:cs="Times New Roman" w:eastAsia="Times New Roman" w:hAnsi="Times New Roman"/>
          <w:sz w:val="20"/>
          <w:szCs w:val="20"/>
          <w:color w:val="auto"/>
        </w:rPr>
        <w:t xml:space="preserve">. The Borrower Representative shall notify Administrative Agent by written notice of any mandatory prepayment required to be made under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In the event that the Borrower Representative shall subsequently determine that the actual amount received (and required to be prepaid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exceeded the amount set forth in such notice (and actually prepaid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51" w:lineRule="auto"/>
        <w:rPr>
          <w:sz w:val="20"/>
          <w:szCs w:val="20"/>
          <w:color w:val="auto"/>
        </w:rPr>
      </w:pPr>
      <w:r>
        <w:rPr>
          <w:rFonts w:ascii="Times New Roman" w:cs="Times New Roman" w:eastAsia="Times New Roman" w:hAnsi="Times New Roman"/>
          <w:sz w:val="20"/>
          <w:szCs w:val="20"/>
          <w:color w:val="auto"/>
        </w:rPr>
        <w:t>foregoing, each Term Lender may reject all or a portion of its Pro Rata Share of any mandatory prepayment (such declined amounts, the “</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of Term Loans required to be made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by providing written notice (each, a “</w:t>
      </w:r>
      <w:r>
        <w:rPr>
          <w:rFonts w:ascii="Times New Roman" w:cs="Times New Roman" w:eastAsia="Times New Roman" w:hAnsi="Times New Roman"/>
          <w:sz w:val="20"/>
          <w:szCs w:val="20"/>
          <w:u w:val="single" w:color="auto"/>
          <w:color w:val="auto"/>
        </w:rPr>
        <w:t>Rejection Notice</w:t>
      </w:r>
      <w:r>
        <w:rPr>
          <w:rFonts w:ascii="Times New Roman" w:cs="Times New Roman" w:eastAsia="Times New Roman" w:hAnsi="Times New Roman"/>
          <w:sz w:val="20"/>
          <w:szCs w:val="20"/>
          <w:color w:val="auto"/>
        </w:rPr>
        <w:t>”)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may be retained by the Borrowers and shall increase the Available Amount on a dollar-for-dollar basis.</w:t>
      </w:r>
    </w:p>
    <w:p>
      <w:pPr>
        <w:spacing w:after="0" w:line="141" w:lineRule="exact"/>
        <w:rPr>
          <w:sz w:val="20"/>
          <w:szCs w:val="20"/>
          <w:color w:val="auto"/>
        </w:rPr>
      </w:pPr>
    </w:p>
    <w:p>
      <w:pPr>
        <w:ind w:left="1740" w:hanging="436"/>
        <w:spacing w:after="0"/>
        <w:tabs>
          <w:tab w:leader="none" w:pos="17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to the contrary:</w:t>
      </w:r>
    </w:p>
    <w:p>
      <w:pPr>
        <w:spacing w:after="0" w:line="161"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8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Borrower Representative determines in good faith that any or all of the Net Proceeds of any Asset Sale by a Foreign Subsidiary (“</w:t>
      </w:r>
      <w:r>
        <w:rPr>
          <w:rFonts w:ascii="Times New Roman" w:cs="Times New Roman" w:eastAsia="Times New Roman" w:hAnsi="Times New Roman"/>
          <w:sz w:val="20"/>
          <w:szCs w:val="20"/>
          <w:u w:val="single" w:color="auto"/>
          <w:color w:val="auto"/>
        </w:rPr>
        <w:t>Foreign Disposition</w:t>
      </w:r>
      <w:r>
        <w:rPr>
          <w:rFonts w:ascii="Times New Roman" w:cs="Times New Roman" w:eastAsia="Times New Roman" w:hAnsi="Times New Roman"/>
          <w:sz w:val="20"/>
          <w:szCs w:val="20"/>
          <w:color w:val="auto"/>
        </w:rPr>
        <w:t>”), the Net Insurance/Condemnation Proceeds received by any Foreign Subsidiary (a “</w:t>
      </w:r>
      <w:r>
        <w:rPr>
          <w:rFonts w:ascii="Times New Roman" w:cs="Times New Roman" w:eastAsia="Times New Roman" w:hAnsi="Times New Roman"/>
          <w:sz w:val="20"/>
          <w:szCs w:val="20"/>
          <w:u w:val="single" w:color="auto"/>
          <w:color w:val="auto"/>
        </w:rPr>
        <w:t>Foreign Casualty Event</w:t>
      </w:r>
      <w:r>
        <w:rPr>
          <w:rFonts w:ascii="Times New Roman" w:cs="Times New Roman" w:eastAsia="Times New Roman" w:hAnsi="Times New Roman"/>
          <w:sz w:val="20"/>
          <w:szCs w:val="20"/>
          <w:color w:val="auto"/>
        </w:rPr>
        <w:t xml:space="preserve">”) or Consolidated Excess Cash Flow attributable to Foreign Subsidiaries are prohibited or delayed by applicable local law from being repatriated to the United States, the portion of such Net Proceeds or Consolidated Excess Cash Flow so affected will not be required to be applied to repay Term Loans at the times provided in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but may be retained by the applicable Foreign Subsidiary so long, but only so long, as the applicable local law will not permit repatriation to the United States (the Borrowers hereby agreeing to use commercially reasonable efforts to cause the applicable Foreign Subsidiary to promptly take all actions reasonably required by the applicable local law to permit such repatriation or remove such prohibitions, as applicable), and once such repatriation of any of such affected Net Proceeds or Consolidated Excess Cash Flow is permitted under the applicable local law, such repatriation will be promptly effected and an amount equal to such repatriated Net Proceeds or Consolidated Excess Cash Flow will be promptly (and in any event not later than five (5) Business Days after such repatriation) applied (net of additional taxes payable or reserved against as a result thereof) to the repayment of the Term Loans pursuant to this Section 2.13 to the extent provided herein; and</w:t>
      </w:r>
    </w:p>
    <w:p>
      <w:pPr>
        <w:spacing w:after="0" w:line="124" w:lineRule="exact"/>
        <w:rPr>
          <w:rFonts w:ascii="Times New Roman" w:cs="Times New Roman" w:eastAsia="Times New Roman" w:hAnsi="Times New Roman"/>
          <w:sz w:val="20"/>
          <w:szCs w:val="20"/>
          <w:color w:val="auto"/>
        </w:rPr>
      </w:pPr>
    </w:p>
    <w:p>
      <w:pPr>
        <w:jc w:val="both"/>
        <w:ind w:firstLine="1952"/>
        <w:spacing w:after="0" w:line="257" w:lineRule="auto"/>
        <w:tabs>
          <w:tab w:leader="none" w:pos="239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Borrower Representative determines in good faith that repatriation of any or all of the Net Proceeds of any Foreign Disposition or any Foreign Casualty Event or Consolidated Excess Cash Flow attributable to Foreign Subsidiaries would reasonably be expected to have material adverse tax consequences (as determined by the Borrower Representative in good faith), the portion of such Net Proceeds or Consolidated Excess Cash Flow so affected will not be required to be applied to repay Term Loans at the times provided in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but may be retained by the applicable Foreign Subsidiary.</w:t>
      </w:r>
    </w:p>
    <w:p>
      <w:pPr>
        <w:spacing w:after="0" w:line="11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color w:val="auto"/>
        </w:rPr>
        <w:t>Application of Prepayments and Commitment Reductions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3225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5800"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3" w:lineRule="auto"/>
        <w:tabs>
          <w:tab w:leader="none" w:pos="178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Voluntary Prepayments</w:t>
      </w:r>
      <w:r>
        <w:rPr>
          <w:rFonts w:ascii="Times New Roman" w:cs="Times New Roman" w:eastAsia="Times New Roman" w:hAnsi="Times New Roman"/>
          <w:sz w:val="20"/>
          <w:szCs w:val="20"/>
          <w:color w:val="auto"/>
        </w:rPr>
        <w:t xml:space="preserve">. Any prepayment of any Term Loan of any Class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shall be applied to the remaining principal repayment installments thereof as directed by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SOFR Loan shall be accompanied by all accrued interest thereon, together with any additional amounts required pursuant to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ind w:firstLine="1304"/>
        <w:spacing w:after="0" w:line="283" w:lineRule="auto"/>
        <w:tabs>
          <w:tab w:leader="none" w:pos="18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Except as otherwise provided in any Refinancing Amendment, Extension Amendment or Incremental Amendment or as otherwise expressly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provided in this Agreement, any prepayments of Term Loans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 shall be applied ratably among each Class of Term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prepayment of Term Loans with the proceeds of Indebtedness incurred pursuant to Credit Agreement Refinancing Indebtedness shall be applied to the applicable Class of Refinanced Debt), (B) shall be applied, with respect to each such Class for which prepayments will be made, to reduce scheduled payments under such Class as required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 direct order of maturity, (C) shall be paid to the Appropriate Lenders in accordance with their respective Pro Rata Share (or other applicable share provided by this Agreement) of each such Class of Term Loans, subject, in each case,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(D) shall comply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w:t>
      </w:r>
    </w:p>
    <w:p>
      <w:pPr>
        <w:spacing w:after="0" w:line="125" w:lineRule="exact"/>
        <w:rPr>
          <w:sz w:val="20"/>
          <w:szCs w:val="20"/>
          <w:color w:val="auto"/>
        </w:rPr>
      </w:pPr>
    </w:p>
    <w:p>
      <w:pPr>
        <w:jc w:val="both"/>
        <w:ind w:firstLine="1304"/>
        <w:spacing w:after="0" w:line="258" w:lineRule="auto"/>
        <w:tabs>
          <w:tab w:leader="none" w:pos="178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Prepayments of Loans to Base Rate Loans and SOFR Loans</w:t>
      </w:r>
      <w:r>
        <w:rPr>
          <w:rFonts w:ascii="Times New Roman" w:cs="Times New Roman" w:eastAsia="Times New Roman" w:hAnsi="Times New Roman"/>
          <w:sz w:val="20"/>
          <w:szCs w:val="20"/>
          <w:color w:val="auto"/>
        </w:rPr>
        <w:t xml:space="preserve">. Considering each Class of Loans being prepaid separately, any prepayment thereof shall be applied first to Base Rate Loans to the full extent thereof before application to SOFR Loans, in each case, in a manner which minimizes the amount of any payments required to be made by Borrowers pursuant to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w:t>
      </w:r>
    </w:p>
    <w:p>
      <w:pPr>
        <w:spacing w:after="0" w:line="13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All commitment fees accrued until the effective date of any termination of the Aggregate Commitments shall be paid on the effective date of such termination.</w:t>
      </w:r>
    </w:p>
    <w:p>
      <w:pPr>
        <w:spacing w:after="0" w:line="12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b w:val="1"/>
          <w:bCs w:val="1"/>
          <w:color w:val="auto"/>
        </w:rPr>
        <w:t>General Provisions Regarding Payments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297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3" w:lineRule="auto"/>
        <w:tabs>
          <w:tab w:leader="none" w:pos="175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Borrowers on the next Business Day and any applicable interest or fee shall continue to accrue.</w:t>
      </w:r>
    </w:p>
    <w:p>
      <w:pPr>
        <w:spacing w:after="0" w:line="13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 respect of the principal amount of any Loan (other than voluntary prepayments of Revolving Loans) shall be accompanied by payment of accrued interest on, and any fees and costs required to be paid with respect to, the principal amount being repaid or prepaid.</w:t>
      </w:r>
    </w:p>
    <w:p>
      <w:pPr>
        <w:spacing w:after="0" w:line="11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3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7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27" w:lineRule="exact"/>
        <w:rPr>
          <w:rFonts w:ascii="Times New Roman" w:cs="Times New Roman" w:eastAsia="Times New Roman" w:hAnsi="Times New Roman"/>
          <w:sz w:val="20"/>
          <w:szCs w:val="20"/>
          <w:color w:val="auto"/>
        </w:rPr>
      </w:pPr>
    </w:p>
    <w:p>
      <w:pPr>
        <w:ind w:right="20" w:firstLine="1304"/>
        <w:spacing w:after="0" w:line="269" w:lineRule="auto"/>
        <w:tabs>
          <w:tab w:leader="none" w:pos="178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provisos set forth in the definition of “Interest Period,” whenever any payment to be made hereunder shall be stated to be due on a day that is not a Business Day, such</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240"/>
          </w:cols>
          <w:pgMar w:left="320" w:top="1413" w:right="339" w:bottom="1440" w:gutter="0" w:footer="0" w:header="0"/>
        </w:sectPr>
      </w:pPr>
    </w:p>
    <w:bookmarkStart w:id="119" w:name="page120"/>
    <w:bookmarkEnd w:id="119"/>
    <w:p>
      <w:pPr>
        <w:ind w:right="20"/>
        <w:spacing w:after="0" w:line="283" w:lineRule="auto"/>
        <w:rPr>
          <w:sz w:val="20"/>
          <w:szCs w:val="20"/>
          <w:color w:val="auto"/>
        </w:rPr>
      </w:pPr>
      <w:r>
        <w:rPr>
          <w:rFonts w:ascii="Times New Roman" w:cs="Times New Roman" w:eastAsia="Times New Roman" w:hAnsi="Times New Roman"/>
          <w:sz w:val="20"/>
          <w:szCs w:val="20"/>
          <w:color w:val="auto"/>
        </w:rPr>
        <w:t>payment shall be made on the next succeeding Business Day and such extension of time shall be included in the computation of the payment of interest hereunder or of the commitment fees hereunder.</w:t>
      </w:r>
    </w:p>
    <w:p>
      <w:pPr>
        <w:spacing w:after="0" w:line="92" w:lineRule="exact"/>
        <w:rPr>
          <w:sz w:val="20"/>
          <w:szCs w:val="20"/>
          <w:color w:val="auto"/>
        </w:rPr>
      </w:pPr>
    </w:p>
    <w:p>
      <w:pPr>
        <w:jc w:val="both"/>
        <w:ind w:firstLine="1304"/>
        <w:spacing w:after="0" w:line="258" w:lineRule="auto"/>
        <w:tabs>
          <w:tab w:leader="none" w:pos="170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may in its discretion deem any payment by or on behalf of Borrowers hereunder that is not made in immediately available funds prior to 1:00 p.m. to be a non conforming payment. Administrative Agent shall give prompt telephonic notice to Borrower Representative and each applicable Lender (confirmed in writing) if any payment is non conforming. Any non conforming payment may constitute or become a Default or an Event of Default in accordance with the terms of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w:t>
      </w:r>
    </w:p>
    <w:p>
      <w:pPr>
        <w:spacing w:after="0" w:line="13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7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127" w:lineRule="exact"/>
        <w:rPr>
          <w:rFonts w:ascii="Times New Roman" w:cs="Times New Roman" w:eastAsia="Times New Roman" w:hAnsi="Times New Roman"/>
          <w:sz w:val="20"/>
          <w:szCs w:val="20"/>
          <w:color w:val="auto"/>
        </w:rPr>
      </w:pPr>
    </w:p>
    <w:p>
      <w:pPr>
        <w:ind w:right="20" w:firstLine="1304"/>
        <w:spacing w:after="0" w:line="283" w:lineRule="auto"/>
        <w:tabs>
          <w:tab w:leader="none" w:pos="185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notice of Administrative Agent to any Lender or the Borrower Representative with respect to any amount owing under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shall be conclusive, absent manifest error.</w:t>
      </w:r>
    </w:p>
    <w:p>
      <w:pPr>
        <w:spacing w:after="0" w:line="10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1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makes available to the Administrative Agent funds for any Loan to be made by such Lender as provided in the foregoing provisions of this Section 2, and are not made available to the Borrower by the Administrative Agent because the conditions to the applicable Credit Extension set forth in Section 3 are not satisfied or waived in accordance with the terms hereof, the Administrative Agent shall return such funds (in like funds as received from such Lender) to such Lender, without interest.</w:t>
      </w:r>
    </w:p>
    <w:p>
      <w:pPr>
        <w:spacing w:after="0" w:line="13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9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18" w:lineRule="exact"/>
        <w:rPr>
          <w:rFonts w:ascii="Times New Roman" w:cs="Times New Roman" w:eastAsia="Times New Roman" w:hAnsi="Times New Roman"/>
          <w:sz w:val="20"/>
          <w:szCs w:val="20"/>
          <w:color w:val="auto"/>
        </w:rPr>
      </w:pPr>
    </w:p>
    <w:p>
      <w:pPr>
        <w:ind w:firstLine="1304"/>
        <w:spacing w:after="0" w:line="283" w:lineRule="auto"/>
        <w:tabs>
          <w:tab w:leader="none" w:pos="179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funds for any Loan in any particular manner or to constitute a representation by any Lender that it has obtained or will obtain the funds for any Loan in any particular place or manner.</w:t>
      </w:r>
    </w:p>
    <w:p>
      <w:pPr>
        <w:spacing w:after="0" w:line="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4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payment received by the Administrative Agent under this Agreement or any of the other Credit Documents is insufficient to pay in full all amounts due and payable to the Administrative Agent and the Lenders under or in respect of this Agreement and the other Credit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If the Administrative Agent receives funds for application to the Obligations of the Credit Parties under or in respect of the Credit Documents under circumstances for which the Credit Documents do not specify the manner in which such funds are to be applied, the Administrative Agent may, but shall not be obligated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61" w:lineRule="auto"/>
        <w:rPr>
          <w:sz w:val="20"/>
          <w:szCs w:val="20"/>
          <w:color w:val="auto"/>
        </w:rPr>
      </w:pPr>
      <w:r>
        <w:rPr>
          <w:rFonts w:ascii="Times New Roman" w:cs="Times New Roman" w:eastAsia="Times New Roman" w:hAnsi="Times New Roman"/>
          <w:sz w:val="20"/>
          <w:szCs w:val="20"/>
          <w:color w:val="auto"/>
        </w:rPr>
        <w:t>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2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0"/>
          <w:szCs w:val="20"/>
          <w:b w:val="1"/>
          <w:bCs w:val="1"/>
          <w:color w:val="auto"/>
        </w:rPr>
        <w:t>Ratable Sharing</w:t>
      </w:r>
      <w:r>
        <w:rPr>
          <w:rFonts w:ascii="Times New Roman" w:cs="Times New Roman" w:eastAsia="Times New Roman" w:hAnsi="Times New Roman"/>
          <w:sz w:val="20"/>
          <w:szCs w:val="20"/>
          <w:color w:val="auto"/>
        </w:rPr>
        <w:t>. Lenders hereby agree among themselves that, except as otherwise provided in the Collateral Documents with respect to amounts realized from the exercise of rights with respect to Liens on the Collateral, and except in respect of amounts owing under the Fee Letter, if any of them shall,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and subparticipations in L/C Obligations and Swingline Loans of the other Lenders in the Aggregate Amounts Due to the other Lenders so that all such recoveries of Aggregate Amounts Due shall be shared by all Lenders in proportion to the Aggregate Amounts Due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be treated as having acquired such participation on the earlier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-4104640</wp:posOffset>
            </wp:positionV>
            <wp:extent cx="10528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on which such Lender acquired the applicable interest(s) in the Commitment(s) and/or Loan(s) to which such participation relates.</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b w:val="1"/>
          <w:bCs w:val="1"/>
          <w:color w:val="auto"/>
        </w:rPr>
        <w:t>Making or Maintaining SOFR Loans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1151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46" w:lineRule="exact"/>
        <w:rPr>
          <w:sz w:val="20"/>
          <w:szCs w:val="20"/>
          <w:color w:val="auto"/>
        </w:rPr>
      </w:pPr>
    </w:p>
    <w:p>
      <w:pPr>
        <w:ind w:left="1720" w:hanging="416"/>
        <w:spacing w:after="0"/>
        <w:tabs>
          <w:tab w:leader="none" w:pos="17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65"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 or Impracticability of SOFR Loans</w:t>
      </w:r>
      <w:r>
        <w:rPr>
          <w:rFonts w:ascii="Times New Roman" w:cs="Times New Roman" w:eastAsia="Times New Roman" w:hAnsi="Times New Roman"/>
          <w:sz w:val="20"/>
          <w:szCs w:val="20"/>
          <w:color w:val="auto"/>
        </w:rPr>
        <w:t>.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SOFR Loans</w:t>
      </w:r>
    </w:p>
    <w:p>
      <w:pPr>
        <w:jc w:val="both"/>
        <w:ind w:firstLine="8"/>
        <w:spacing w:after="0" w:line="248" w:lineRule="auto"/>
        <w:tabs>
          <w:tab w:leader="none" w:pos="24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applicable interbank market or the position of such Lender in such market, then, and in any such event, such Lender shall be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SOFR Loans shall be suspended until such notice shall be withdrawn by the Affected Lender, (2) to the extent such determination by the Affected Lender relates to a SOFR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SOFR Loans (the “</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xml:space="preserve">”) shall be terminated at the earlier to occur of the expiration of the Interest Period then in effect with respect to the Affected Loans or when required by, or to comply with, any law, treaty, governmental rule, regulation, guideline or order, (4) the Affected Loans shall automatically convert into Base Rate Loans on the date of such termination and (5) if such notice asserts the illegality of such Lender determining or changing interest rates based upon the Term SOFR component of the Base Rate with respect to any Base Rate Loans,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on Term SOFR. Notwithstanding the foregoing, to the extent a determination by an Affected Lender as described above relates to a SOFR Loan then being requested by Borrower Representative pursuant to a Funding Notice or a Conversion/Continuation Notice, Borrower Representative shall have the option, subject to the provisions of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shall affect the obligation of any Lender other than an Affected Lender to make, continue or maintain Loans as, or to convert Loans to, SOFR Loans in accordance with the terms hereof.</w:t>
      </w:r>
    </w:p>
    <w:p>
      <w:pPr>
        <w:spacing w:after="0" w:line="13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80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for Breakage or Non-Commencement of Interest Periods</w:t>
      </w:r>
      <w:r>
        <w:rPr>
          <w:rFonts w:ascii="Times New Roman" w:cs="Times New Roman" w:eastAsia="Times New Roman" w:hAnsi="Times New Roman"/>
          <w:sz w:val="20"/>
          <w:szCs w:val="20"/>
          <w:color w:val="auto"/>
        </w:rPr>
        <w:t>.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telephonic request for borrowing, or a conversion to or continuation of any SOFR Loan does not occur on a date specified therefor in a Conversion/Continuation Notice or a telephonic request for conversion or continuation; (ii) if any prepayment or other principal payment of, or any conversion of, any of its SOFR Loans occurs on any day other than the last day of an Interest Period applicable to that Loan (whether voluntary, mandatory, automatic, by reason of acceleration, or otherwise); (iii) if any prepayment of any of its SOFR Loans is not made on any date specified in a notice of prepayment given by Borrower Representative; or (iv) any assignment of such Lender’s SOFR Loans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on a day other than the last day of the Interest Period for such Loans.</w:t>
      </w:r>
    </w:p>
    <w:p>
      <w:pPr>
        <w:spacing w:after="0" w:line="116" w:lineRule="exact"/>
        <w:rPr>
          <w:sz w:val="20"/>
          <w:szCs w:val="20"/>
          <w:color w:val="auto"/>
        </w:rPr>
      </w:pPr>
    </w:p>
    <w:p>
      <w:pPr>
        <w:ind w:firstLine="1304"/>
        <w:spacing w:after="0" w:line="283" w:lineRule="auto"/>
        <w:tabs>
          <w:tab w:leader="none" w:pos="175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Booking of SOFR Loans</w:t>
      </w:r>
      <w:r>
        <w:rPr>
          <w:rFonts w:ascii="Times New Roman" w:cs="Times New Roman" w:eastAsia="Times New Roman" w:hAnsi="Times New Roman"/>
          <w:sz w:val="20"/>
          <w:szCs w:val="20"/>
          <w:color w:val="auto"/>
        </w:rPr>
        <w:t>. Any Lender may make, carry or transfer SOFR Loans at, to, or for the account of any of its branch offices or the office of an Affiliate of such Lender.</w:t>
      </w:r>
    </w:p>
    <w:p>
      <w:pPr>
        <w:spacing w:after="0" w:line="1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b w:val="1"/>
          <w:bCs w:val="1"/>
          <w:color w:val="auto"/>
        </w:rPr>
        <w:t>Increased Costs; Capital Adequacy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011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1168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1304"/>
        <w:spacing w:after="0" w:line="249" w:lineRule="auto"/>
        <w:tabs>
          <w:tab w:leader="none" w:pos="171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For Increased Costs and Taxes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or (iii) imposes any other condition (other than with respect to Taxes) on or affecting such Lender or such Issuing Bank (or its applicable lending office) or its obligations hereunder;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any such increased costs or reduction in amount resulting from reserve requirements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contemplated by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Credit Party shall be required to compensate any Lender or any Issuing Bank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for any increased costs incurred more than 180 days prior to the date that Borrower Representative receives such statement from such Lender or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circumstances giving 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such Lender or such Issuing Bank under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which statement shall be final and conclusive and binding upon all parties hereto absent manifest error. No Lender or Issuing Bank shall request that the Borrowers pay any additional amount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unless it shall concurrently make similar requests to other borrowers similarly situated and affected by such change in law and from whom such Lender or Issuing Bank is entitled to seek similar amounts.</w:t>
      </w:r>
    </w:p>
    <w:p>
      <w:pPr>
        <w:spacing w:after="0" w:line="129" w:lineRule="exact"/>
        <w:rPr>
          <w:sz w:val="20"/>
          <w:szCs w:val="20"/>
          <w:color w:val="auto"/>
        </w:rPr>
      </w:pPr>
    </w:p>
    <w:p>
      <w:pPr>
        <w:jc w:val="both"/>
        <w:ind w:firstLine="1304"/>
        <w:spacing w:after="0" w:line="249" w:lineRule="auto"/>
        <w:tabs>
          <w:tab w:leader="none" w:pos="179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Adequacy or Liquidity Adjustment</w:t>
      </w:r>
      <w:r>
        <w:rPr>
          <w:rFonts w:ascii="Times New Roman" w:cs="Times New Roman" w:eastAsia="Times New Roman" w:hAnsi="Times New Roman"/>
          <w:sz w:val="20"/>
          <w:szCs w:val="20"/>
          <w:color w:val="auto"/>
        </w:rPr>
        <w:t xml:space="preserve">. In the event that any Lender or any Issuing Bank shall have determined (which determination shall, absent manifest error, be final and conclusive and binding upon all parties hereto) that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Credit Party shall be required to compensate any Lender or any Issuing Bank pursuant to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in respect of any reduction of return or other triggering event under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that occurred more than 180 days prior to the date that Borrower Representative receives such statement from such Lender or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which statement shall be conclusive and binding upon all parties hereto absent manifest error. For the avoidance of doubt,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 No Lender or Issuing Bank shall request that the Borrowers pay any additional amount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 xml:space="preserve"> unless it shall concurrently make similar requests to other borrowers similarly situated and affected and from whom such Lender or Issuing Bank is entitled to seek similar amounts.</w:t>
      </w:r>
    </w:p>
    <w:p>
      <w:pPr>
        <w:spacing w:after="0" w:line="141" w:lineRule="exact"/>
        <w:rPr>
          <w:sz w:val="20"/>
          <w:szCs w:val="20"/>
          <w:color w:val="auto"/>
        </w:rPr>
      </w:pPr>
    </w:p>
    <w:p>
      <w:pPr>
        <w:jc w:val="both"/>
        <w:ind w:firstLine="1304"/>
        <w:spacing w:after="0" w:line="253" w:lineRule="auto"/>
        <w:tabs>
          <w:tab w:leader="none" w:pos="171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xml:space="preserve">. If a Lender or Issuing Bank becomes entitled to claim any additional amounts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it shall use reasonable efforts to promptly notify the Borrower Representative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failure or delay by any Lender or any Issuing Bank in providing such notification shall not affect such Lender or such Issuing Bank’s right to receive any additional amounts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(except as expressly set forth in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b w:val="1"/>
          <w:bCs w:val="1"/>
          <w:color w:val="auto"/>
        </w:rPr>
        <w:t>Taxes; Withholding,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449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firstLine="1304"/>
        <w:spacing w:after="0" w:line="261" w:lineRule="auto"/>
        <w:tabs>
          <w:tab w:leader="none" w:pos="17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Be Free and Clear</w:t>
      </w:r>
      <w:r>
        <w:rPr>
          <w:rFonts w:ascii="Times New Roman" w:cs="Times New Roman" w:eastAsia="Times New Roman" w:hAnsi="Times New Roman"/>
          <w:sz w:val="20"/>
          <w:szCs w:val="20"/>
          <w:color w:val="auto"/>
        </w:rPr>
        <w:t xml:space="preserve">. All sums payable by any Credit Party (the term Credit Party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being deemed to include any Subsidiary for whose account a Letter of Credit is issued) hereunder and under the other Credit Documents shall (except to the extent required by law) be paid free and clear of, and without any deduction or withholding on account of, any Tax.</w:t>
      </w:r>
    </w:p>
    <w:p>
      <w:pPr>
        <w:spacing w:after="0" w:line="127" w:lineRule="exact"/>
        <w:rPr>
          <w:rFonts w:ascii="Times New Roman" w:cs="Times New Roman" w:eastAsia="Times New Roman" w:hAnsi="Times New Roman"/>
          <w:sz w:val="20"/>
          <w:szCs w:val="20"/>
          <w:color w:val="auto"/>
        </w:rPr>
      </w:pPr>
    </w:p>
    <w:p>
      <w:pPr>
        <w:jc w:val="both"/>
        <w:ind w:firstLine="1304"/>
        <w:spacing w:after="0" w:line="262" w:lineRule="auto"/>
        <w:tabs>
          <w:tab w:leader="none" w:pos="177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of Taxes</w:t>
      </w:r>
      <w:r>
        <w:rPr>
          <w:rFonts w:ascii="Times New Roman" w:cs="Times New Roman" w:eastAsia="Times New Roman" w:hAnsi="Times New Roman"/>
          <w:sz w:val="19"/>
          <w:szCs w:val="19"/>
          <w:color w:val="auto"/>
        </w:rPr>
        <w:t>. If any applicable law requires deduction or withholding on account of any Tax from any sum paid or payable by any Withholding Agent under any of the Credit Documents: (i) such Withholding Agent shall notify the applicable Recipient of any change in any applicable law that impacts such requirement promptly upon becoming aware of it; (ii) such Withholding Agent shall be entitled to make such withholding and deduction, and shall pay any such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the Administrative Agent or such Lender, as the case may be, receives on the due date a sum equal to what it would have received had no such deduction, withholding or payment been required or made; and (iv) within thirty (30) days after paying any sum from which it is required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law to make any deduction or withholding, and within thirty (30) days after the due date of payment of any Tax which it is required by clause</w:t>
      </w:r>
    </w:p>
    <w:p>
      <w:pPr>
        <w:spacing w:after="0" w:line="18" w:lineRule="exact"/>
        <w:rPr>
          <w:sz w:val="20"/>
          <w:szCs w:val="20"/>
          <w:color w:val="auto"/>
        </w:rPr>
      </w:pPr>
    </w:p>
    <w:p>
      <w:pPr>
        <w:ind w:firstLine="8"/>
        <w:spacing w:after="0" w:line="260" w:lineRule="auto"/>
        <w:tabs>
          <w:tab w:leader="none" w:pos="2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11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4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 attributable to such Lender (but only to the extent that any Credit Party has not already indemnified the Administrative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1" w:lineRule="auto"/>
        <w:rPr>
          <w:sz w:val="20"/>
          <w:szCs w:val="20"/>
          <w:color w:val="auto"/>
        </w:rPr>
      </w:pPr>
      <w:r>
        <w:rPr>
          <w:rFonts w:ascii="Times New Roman" w:cs="Times New Roman" w:eastAsia="Times New Roman" w:hAnsi="Times New Roman"/>
          <w:sz w:val="20"/>
          <w:szCs w:val="20"/>
          <w:color w:val="auto"/>
        </w:rPr>
        <w:t>Agent for such Indemnified Taxes and without limiting the obligation of any Credit Party to do so), (ii) any Taxes attributable to such Lender’s failure to comply with the provisions of Section 10.06(g)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(c).</w:t>
      </w:r>
    </w:p>
    <w:p>
      <w:pPr>
        <w:spacing w:after="0" w:line="141" w:lineRule="exact"/>
        <w:rPr>
          <w:sz w:val="20"/>
          <w:szCs w:val="20"/>
          <w:color w:val="auto"/>
        </w:rPr>
      </w:pPr>
    </w:p>
    <w:p>
      <w:pPr>
        <w:ind w:left="1740" w:hanging="436"/>
        <w:spacing w:after="0"/>
        <w:tabs>
          <w:tab w:leader="none" w:pos="17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38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2.19(d)(ii)</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4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to the extent applicable, its beneficiary owner) that is not a U.S. Person for U.S. federal income tax purposes (a “</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xml:space="preserve">”)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0"/>
          <w:szCs w:val="20"/>
          <w:color w:val="auto"/>
        </w:rPr>
        <w:t>Revenue Code) for United States federal income tax purposes (a “</w:t>
      </w:r>
      <w:r>
        <w:rPr>
          <w:rFonts w:ascii="Times New Roman" w:cs="Times New Roman" w:eastAsia="Times New Roman" w:hAnsi="Times New Roman"/>
          <w:sz w:val="20"/>
          <w:szCs w:val="20"/>
          <w:u w:val="single" w:color="auto"/>
          <w:color w:val="auto"/>
        </w:rPr>
        <w:t>U.S. Lender</w:t>
      </w:r>
      <w:r>
        <w:rPr>
          <w:rFonts w:ascii="Times New Roman" w:cs="Times New Roman" w:eastAsia="Times New Roman" w:hAnsi="Times New Roman"/>
          <w:sz w:val="20"/>
          <w:szCs w:val="20"/>
          <w:color w:val="auto"/>
        </w:rPr>
        <w:t xml:space="preserve">”) shall deliver to Administrative Agent and Borrower Representative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Representative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Representative or Administrative Agent.</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Internal Revenue Code) and such additional documentation reasonably requested by the Borrower Representative or Administrative Agent as may be necessary for the Borrower 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“FATCA” shall include any amendments made to FATCA after the date of this Agreement.</w:t>
      </w:r>
    </w:p>
    <w:p>
      <w:pPr>
        <w:spacing w:after="0" w:line="125" w:lineRule="exact"/>
        <w:rPr>
          <w:sz w:val="20"/>
          <w:szCs w:val="20"/>
          <w:color w:val="auto"/>
        </w:rPr>
      </w:pPr>
    </w:p>
    <w:p>
      <w:pPr>
        <w:jc w:val="both"/>
        <w:ind w:firstLine="1304"/>
        <w:spacing w:after="0" w:line="251" w:lineRule="auto"/>
        <w:tabs>
          <w:tab w:leader="none" w:pos="175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Refunds</w:t>
      </w:r>
      <w:r>
        <w:rPr>
          <w:rFonts w:ascii="Times New Roman" w:cs="Times New Roman" w:eastAsia="Times New Roman" w:hAnsi="Times New Roman"/>
          <w:sz w:val="20"/>
          <w:szCs w:val="20"/>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240"/>
          </w:cols>
          <w:pgMar w:left="320" w:top="141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ability to benefit from any other refunds, credits, reliefs, remissions or repayments to which it may be entitled.</w:t>
      </w:r>
    </w:p>
    <w:p>
      <w:pPr>
        <w:spacing w:after="0" w:line="175" w:lineRule="exact"/>
        <w:rPr>
          <w:sz w:val="20"/>
          <w:szCs w:val="20"/>
          <w:color w:val="auto"/>
        </w:rPr>
      </w:pPr>
    </w:p>
    <w:p>
      <w:pPr>
        <w:ind w:firstLine="1304"/>
        <w:spacing w:after="0" w:line="269" w:lineRule="auto"/>
        <w:tabs>
          <w:tab w:leader="none" w:pos="174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Borrowers shall timely pay to the relevant Governmental Authority in accordance with applicable law, or at the option of the Administrative Agent, timely reimburse it for the payment of, any Other Taxes.</w:t>
      </w:r>
    </w:p>
    <w:p>
      <w:pPr>
        <w:spacing w:after="0" w:line="118" w:lineRule="exact"/>
        <w:rPr>
          <w:rFonts w:ascii="Times New Roman" w:cs="Times New Roman" w:eastAsia="Times New Roman" w:hAnsi="Times New Roman"/>
          <w:sz w:val="20"/>
          <w:szCs w:val="20"/>
          <w:color w:val="auto"/>
        </w:rPr>
      </w:pPr>
    </w:p>
    <w:p>
      <w:pPr>
        <w:ind w:firstLine="1304"/>
        <w:spacing w:after="0" w:line="269" w:lineRule="auto"/>
        <w:tabs>
          <w:tab w:leader="none" w:pos="179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“Lender” shall, for purposes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the definition of “Indemnified Taxes”, be deemed to include any Issuing Bank and any Swing Line Lender.</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2.20 </w:t>
      </w:r>
      <w:r>
        <w:rPr>
          <w:rFonts w:ascii="Times New Roman" w:cs="Times New Roman" w:eastAsia="Times New Roman" w:hAnsi="Times New Roman"/>
          <w:sz w:val="20"/>
          <w:szCs w:val="20"/>
          <w:b w:val="1"/>
          <w:bCs w:val="1"/>
          <w:color w:val="auto"/>
        </w:rPr>
        <w:t>Obligation to Mitigate</w:t>
      </w:r>
      <w:r>
        <w:rPr>
          <w:rFonts w:ascii="Times New Roman" w:cs="Times New Roman" w:eastAsia="Times New Roman" w:hAnsi="Times New Roman"/>
          <w:sz w:val="20"/>
          <w:szCs w:val="20"/>
          <w:color w:val="auto"/>
        </w:rPr>
        <w:t xml:space="preserve">. Each Lender agrees that, as promptly as practicable after the officer of such Lender or such Issuing Bank responsible for administering its Loans or Letters of Credit, as applicable, becomes aware of the occurrence of an event or the existence of a condition that would cause such Lender or such Issuing Bank to become an Affected Lender or that would entitle such Lender or such Issuing Bank to receive payments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it will, to the extent not inconsistent with any applicable legal or regulatory restrictions, use reasonable efforts to (a) make, issue, fund or maintain its Credit Extensions, including any Affected Loans, through another office of such Lender or such Issuing Bank, or (b) take such other measures as such Lender or such Issuing Bank may deem reasonable, if as a result thereof the circumstances which would cause such Lender or such Issuing Bank to be an Affected Lender would cease to exist or the additional amounts which would otherwise be required to be paid to such Lender or such Issuing Bank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would be materially reduced and if, as determined by such Lender or such Issuing Bank in its sole discretion, the making, issuing, funding or maintaining of such Commitments or Loans through such other office or in accordance with such other measures, as the case may be, would not otherwise adversely affect such Commitments or Loans or the interests of such Lender or such Issuing Bank. A certificate as to the amount of any such expenses payable by Borrowers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(setting forth in reasonable detail the basis for requesting such amount) submitted by such Lender or such Issuing Bank to Borrower Representative (with a copy to Administrative Agent) shall be final and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-1991995</wp:posOffset>
            </wp:positionV>
            <wp:extent cx="13531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0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162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159" w:lineRule="exact"/>
        <w:rPr>
          <w:sz w:val="20"/>
          <w:szCs w:val="20"/>
          <w:color w:val="auto"/>
        </w:rPr>
      </w:pPr>
    </w:p>
    <w:p>
      <w:pPr>
        <w:ind w:firstLine="1304"/>
        <w:spacing w:after="0" w:line="269" w:lineRule="auto"/>
        <w:tabs>
          <w:tab w:leader="none" w:pos="172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herein to the contrary, if any Lender becomes a Defaulting Lender, then, until such time as such Lender is no longer a Defaulting Lender, to the extent permitted by applicable law:</w:t>
      </w:r>
    </w:p>
    <w:p>
      <w:pPr>
        <w:spacing w:after="0" w:line="118" w:lineRule="exact"/>
        <w:rPr>
          <w:rFonts w:ascii="Times New Roman" w:cs="Times New Roman" w:eastAsia="Times New Roman" w:hAnsi="Times New Roman"/>
          <w:sz w:val="20"/>
          <w:szCs w:val="20"/>
          <w:color w:val="auto"/>
        </w:rPr>
      </w:pPr>
    </w:p>
    <w:p>
      <w:pPr>
        <w:ind w:firstLine="1952"/>
        <w:spacing w:after="0" w:line="283" w:lineRule="auto"/>
        <w:tabs>
          <w:tab w:leader="none" w:pos="234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Defaulting Lender shall be deemed not to be a “Lender” for purposes of its right to approve or disapprove any amendment, modification, supplement, waiver or consent with respect to any of the Credit Documents as set forth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jc w:val="both"/>
        <w:ind w:firstLine="1952"/>
        <w:spacing w:after="0" w:line="252" w:lineRule="auto"/>
        <w:tabs>
          <w:tab w:leader="none" w:pos="2421"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or received by Administrative Agent from a Defaulting Lender pursuant to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or otherwise, shall be applied at such time or times as may be determined by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payment on a pro rata basis of any amounts owing by such Defaulting Lender to the Issuing Banks or Swing Line Lender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if so determined by Administrative Agent or requested by the Issuing Banks or Swing Line Lender, to be held as Cash Collateral for the Fronting Exposure of the Issuing Bank(s) or the Swing Line Lender, as applicable;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Representative may request (so long as no Default or Event of Default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has occurred and is continuing), to the funding of any Loan in respect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which such Defaulting Lender has failed to fund its portion thereof as required by this Agreement, as determined by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if so determined by Administrative Agent and the Borrower Representative, to be held in a non-interest bearing deposit account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released in order to satisfy obligations of such Defaulting Lender to fund Loans under this Agreement;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such Defaulting Lender or as otherwise directed by a court of competent jurisdiction;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(x) such payment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payment of the principal amount of any Loans or L/C Borrowings in respect of which such Defaulting Lender has not fully funded its appropriate share and (y) such Loans or L/C Borrowings were made at a time when the conditions set forth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2.21(a)(ii)</w:t>
      </w:r>
      <w:r>
        <w:rPr>
          <w:rFonts w:ascii="Times New Roman" w:cs="Times New Roman" w:eastAsia="Times New Roman" w:hAnsi="Times New Roman"/>
          <w:sz w:val="20"/>
          <w:szCs w:val="20"/>
          <w:color w:val="auto"/>
        </w:rPr>
        <w:t xml:space="preserve"> shall be deemed paid to and redirected by that Defaulting Lender, and each Lender irrevocably consents hereto.</w:t>
      </w:r>
    </w:p>
    <w:p>
      <w:pPr>
        <w:spacing w:after="0" w:line="151" w:lineRule="exact"/>
        <w:rPr>
          <w:sz w:val="20"/>
          <w:szCs w:val="20"/>
          <w:color w:val="auto"/>
        </w:rPr>
      </w:pPr>
    </w:p>
    <w:p>
      <w:pPr>
        <w:jc w:val="both"/>
        <w:ind w:firstLine="1952"/>
        <w:spacing w:after="0" w:line="253" w:lineRule="auto"/>
        <w:tabs>
          <w:tab w:leader="none" w:pos="2648"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such Defaulting Lender’s Commitment and outstanding Loans shall be excluded for purposes of calculating the commitment fee payable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 and</w:t>
      </w:r>
    </w:p>
    <w:p>
      <w:pPr>
        <w:spacing w:after="0" w:line="124" w:lineRule="exact"/>
        <w:rPr>
          <w:rFonts w:ascii="Times New Roman" w:cs="Times New Roman" w:eastAsia="Times New Roman" w:hAnsi="Times New Roman"/>
          <w:sz w:val="20"/>
          <w:szCs w:val="20"/>
          <w:color w:val="auto"/>
        </w:rPr>
      </w:pPr>
    </w:p>
    <w:p>
      <w:pPr>
        <w:jc w:val="both"/>
        <w:ind w:firstLine="1952"/>
        <w:spacing w:after="0" w:line="264" w:lineRule="auto"/>
        <w:tabs>
          <w:tab w:leader="none" w:pos="2470" w:val="left"/>
        </w:tabs>
        <w:numPr>
          <w:ilvl w:val="2"/>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computing the amount of the obligation of each Non-Defaulting Lender to acquire, refinance or fund participations in Letters of Credit or Swing Line Loans pursuant to </w:t>
      </w:r>
      <w:r>
        <w:rPr>
          <w:rFonts w:ascii="Times New Roman" w:cs="Times New Roman" w:eastAsia="Times New Roman" w:hAnsi="Times New Roman"/>
          <w:sz w:val="19"/>
          <w:szCs w:val="19"/>
          <w:u w:val="single" w:color="auto"/>
          <w:color w:val="auto"/>
        </w:rPr>
        <w:t>Sections 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the “Pro Rata Share” of each Non-Defaulting Lender’s Revolving Loans and L/C Obligations shall be computed without giving effect to the Participating Revolving Credit Commitment of that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Participating Revolving Credit Commitment of that Non-Defaulting Lender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(2) the sum of (A) the aggregate Outstanding Amount of the Loans of that Non-Defaulting Lender under such Participating Revolving Credit Commitments plus</w:t>
      </w:r>
    </w:p>
    <w:p>
      <w:pPr>
        <w:spacing w:after="0" w:line="2"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Non-Defaulting Lender’s Pro Rata Share of the Outstanding Amount of L/C Obligations and Swing Line Obligations at such time.</w:t>
      </w:r>
    </w:p>
    <w:p>
      <w:pPr>
        <w:spacing w:after="0" w:line="153" w:lineRule="exact"/>
        <w:rPr>
          <w:rFonts w:ascii="Times New Roman" w:cs="Times New Roman" w:eastAsia="Times New Roman" w:hAnsi="Times New Roman"/>
          <w:sz w:val="20"/>
          <w:szCs w:val="20"/>
          <w:color w:val="auto"/>
        </w:rPr>
      </w:pPr>
    </w:p>
    <w:p>
      <w:pPr>
        <w:jc w:val="both"/>
        <w:ind w:firstLine="1304"/>
        <w:spacing w:after="0" w:line="269" w:lineRule="auto"/>
        <w:tabs>
          <w:tab w:leader="none" w:pos="1778"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basis by the Lenders in accordance with their Pro Rata Share (without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xml:space="preserve">), whereupon that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8" w:lineRule="exact"/>
        <w:rPr>
          <w:sz w:val="20"/>
          <w:szCs w:val="20"/>
          <w:color w:val="auto"/>
        </w:rPr>
      </w:pPr>
    </w:p>
    <w:p>
      <w:pPr>
        <w:ind w:right="20" w:firstLine="1304"/>
        <w:spacing w:after="0" w:line="283" w:lineRule="auto"/>
        <w:tabs>
          <w:tab w:leader="none" w:pos="171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and remedies against a Defaulting Lender under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are in addition to other rights and remedies which the Credit Parties, Administrative Agent and the Lenders may have against such Defaulting Lender.</w:t>
      </w:r>
    </w:p>
    <w:p>
      <w:pPr>
        <w:spacing w:after="0" w:line="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b w:val="1"/>
          <w:bCs w:val="1"/>
          <w:color w:val="auto"/>
        </w:rPr>
        <w:t>Removal or Replacement of a Lender</w:t>
      </w:r>
      <w:r>
        <w:rPr>
          <w:rFonts w:ascii="Times New Roman" w:cs="Times New Roman" w:eastAsia="Times New Roman" w:hAnsi="Times New Roman"/>
          <w:sz w:val="20"/>
          <w:szCs w:val="20"/>
          <w:color w:val="auto"/>
        </w:rPr>
        <w:t xml:space="preserve">. Anything contained herein to the contrary notwithstanding, in the event that: (a) (i) any Lender shall give notice to Borrower Representative that such Lender is an Affected Lender or that such Lender is entitled to receive payments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thereof),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(such Lender, an “</w:t>
      </w:r>
      <w:r>
        <w:rPr>
          <w:rFonts w:ascii="Times New Roman" w:cs="Times New Roman" w:eastAsia="Times New Roman" w:hAnsi="Times New Roman"/>
          <w:sz w:val="20"/>
          <w:szCs w:val="20"/>
          <w:u w:val="single" w:color="auto"/>
          <w:color w:val="auto"/>
        </w:rPr>
        <w:t>Increased-Cost Lender</w:t>
      </w:r>
      <w:r>
        <w:rPr>
          <w:rFonts w:ascii="Times New Roman" w:cs="Times New Roman" w:eastAsia="Times New Roman" w:hAnsi="Times New Roman"/>
          <w:sz w:val="20"/>
          <w:szCs w:val="20"/>
          <w:color w:val="auto"/>
        </w:rPr>
        <w:t>”), (ii) the circumstances which have caused such Lender to be an Affected Lender or which entitle such Lender to receive such payments shall remain in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-483235</wp:posOffset>
            </wp:positionV>
            <wp:extent cx="2183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jc w:val="both"/>
        <w:ind w:firstLine="8"/>
        <w:spacing w:after="0" w:line="248" w:lineRule="auto"/>
        <w:tabs>
          <w:tab w:leader="none" w:pos="39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fail to withdraw such notice within five (5) Business Days after Borrower Representative’s request for such withdrawal; or (b)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Times New Roman" w:cs="Times New Roman" w:eastAsia="Times New Roman" w:hAnsi="Times New Roman"/>
          <w:sz w:val="20"/>
          <w:szCs w:val="20"/>
          <w:u w:val="single" w:color="auto"/>
          <w:color w:val="auto"/>
        </w:rPr>
        <w:t>Sections 10.05(b)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10.05(c)</w:t>
      </w:r>
      <w:r>
        <w:rPr>
          <w:rFonts w:ascii="Times New Roman" w:cs="Times New Roman" w:eastAsia="Times New Roman" w:hAnsi="Times New Roman"/>
          <w:sz w:val="20"/>
          <w:szCs w:val="20"/>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whose consent is required shall not have been obtained; then, in any case, with respect to each such Increased-Cost Lender, Defaulting Lender or Non-Consenting Lender (the “</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with respect to a vote of directly and adversely affected Lenders (the “</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if any, in full to one or more Eligible Assignees (each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 Terminated Lender shall pay any fees payable thereunder in connection with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on the date of such assignment, the Borrowers or the Replacement Lender shall pay to the Terminated Lender or such Issuing Bank in immediately available funds an amount equal to the sum of (A) an amount equal to the principal of, and all accrued interest on, all assigned Loans or L/C Obligations of such Terminated Lender or such Issuing Bank and (B) an amount equal to all accrued, but theretofore unpaid fees owing to such Terminated Lender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(2) on the date of such assignment, Borrowers shall pay any amounts payable to such Terminated Lender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but excluding any Repricing Premium (other than, with respect to any Lender that is replaced under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Non-Consenting Lender, each Replacement Lender shall consent, at the time of such assignment, to each matter in respect of which such Terminated Lender was a Non-Consenting Lender; (4) any Lender that acts as an Issuing Bank may not be replaced hereunder at any time when it has any Letter of Credit outstanding hereunder unless arrangements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to the extent required for an assignment to an Eligible Assignee,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Upon the payment of all amounts owing to any Terminated Lender and the termination of such Terminated Lender’s Commitments, if any, such Terminated Lender shall no longer constitute a “Lender” for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rights of such Terminated Lender to indemnification hereunder shall survive as to such Terminated Lender. Each Lender agrees that if the Borrower Representative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it being understood that such Lender being replaced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(1) execute and deliver an Assignment Agreement with respect to all, or a portion as applicable, of such Lender’s Commitment and outstanding Loans and participations in L/C Obligations and Swing Line Loans, and (2) deliver any Notes evidencing such Loans to the Borrowers or Administrative Agent (or a lost or destroyed note indemnity in lieu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on behalf of a Non-Consenting Lender or other Terminated Lender and any such documentation so executed by Administrative Agent shall be effective for purposes of documenting an assignment pursuant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Notwithstanding anything herein or in any other Credit Document to the contrary, (i) no restriction on prepayment shall affect the rights of the Borrowers under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(ii) a Lender shall not be required to make any such assignment or delegation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if, prior thereto, as a result of a waiver by such Lender or otherwise, the circumstances entitling the Borrowers to require such assignment and delegation cease to apply.</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b w:val="1"/>
          <w:bCs w:val="1"/>
          <w:color w:val="auto"/>
        </w:rPr>
        <w:t>Appointment of Borrower Representative</w:t>
      </w:r>
      <w:r>
        <w:rPr>
          <w:rFonts w:ascii="Times New Roman" w:cs="Times New Roman" w:eastAsia="Times New Roman" w:hAnsi="Times New Roman"/>
          <w:sz w:val="20"/>
          <w:szCs w:val="20"/>
          <w:color w:val="auto"/>
        </w:rPr>
        <w:t>. Each Credit Party hereby irrevocably designates and appoints the Initial Borrower as Borrower Representative, to serve as its representative and agent hereunder to act on its behalf for the purposes of issuing Notices and certificates, giving instructions with respect to the disbursement of the proceeds of the Loans selecting interest rate options, giving and receiving all other notices and consents hereunder or under any of the other Credit Documents and taking all other actions (including in respect of compliance with covenants and amendments to the Credit Documents) on behalf of any Credit Party or Credit Parties under the Credit Documents, in each case, without notice to any Borrower or any other Credit Party. The Initial Borrower hereby accepts such appointment as Borrower Representative. Each Agent, each Lender and each Issuing Bank may regard any notice or other communication pursuant to any Credit Document from Borrower Representative as a notice or communication from all Credit Parties, and may give any notice or communication required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-1231265</wp:posOffset>
            </wp:positionV>
            <wp:extent cx="2539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20"/>
          <w:szCs w:val="20"/>
          <w:color w:val="auto"/>
        </w:rPr>
        <w:t>permitted to be given to any Credit Party or Credit Parties hereunder to Borrower Representative on behalf of such Credit Party or Credit Parties. Each Credit Party agrees that each notice, election, representation and warranty, covenant, agreement and undertaking made on its behalf by Borrower Representative shall be deemed for all purposes to have been made by such Credit Party and shall be binding upon and enforceable against such Credit Party to the same extent as if the same had been made directly by such Credit Party.</w:t>
      </w:r>
    </w:p>
    <w:p>
      <w:pPr>
        <w:spacing w:after="0" w:line="11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b w:val="1"/>
          <w:bCs w:val="1"/>
          <w:color w:val="auto"/>
        </w:rPr>
        <w:t>Incremental Credit Extension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719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9580" cy="8890"/>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61" w:lineRule="auto"/>
        <w:tabs>
          <w:tab w:leader="none" w:pos="1740"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Commitments</w:t>
      </w:r>
      <w:r>
        <w:rPr>
          <w:rFonts w:ascii="Times New Roman" w:cs="Times New Roman" w:eastAsia="Times New Roman" w:hAnsi="Times New Roman"/>
          <w:sz w:val="19"/>
          <w:szCs w:val="19"/>
          <w:color w:val="auto"/>
        </w:rPr>
        <w:t>. The Borrower Representative may, on behalf of any Borrower, at any time or from time to time after the Closing Date, by notice to Administrative Agent (an “</w:t>
      </w:r>
      <w:r>
        <w:rPr>
          <w:rFonts w:ascii="Times New Roman" w:cs="Times New Roman" w:eastAsia="Times New Roman" w:hAnsi="Times New Roman"/>
          <w:sz w:val="19"/>
          <w:szCs w:val="19"/>
          <w:u w:val="single" w:color="auto"/>
          <w:color w:val="auto"/>
        </w:rPr>
        <w:t>Incremental Loan Request</w:t>
      </w:r>
      <w:r>
        <w:rPr>
          <w:rFonts w:ascii="Times New Roman" w:cs="Times New Roman" w:eastAsia="Times New Roman" w:hAnsi="Times New Roman"/>
          <w:sz w:val="19"/>
          <w:szCs w:val="19"/>
          <w:color w:val="auto"/>
        </w:rPr>
        <w:t>”), request (i) one or more new commitments which may be of the same Class as any outstanding Term Loans (a “</w:t>
      </w:r>
      <w:r>
        <w:rPr>
          <w:rFonts w:ascii="Times New Roman" w:cs="Times New Roman" w:eastAsia="Times New Roman" w:hAnsi="Times New Roman"/>
          <w:sz w:val="19"/>
          <w:szCs w:val="19"/>
          <w:u w:val="single" w:color="auto"/>
          <w:color w:val="auto"/>
        </w:rPr>
        <w:t>Term Loan Increase</w:t>
      </w:r>
      <w:r>
        <w:rPr>
          <w:rFonts w:ascii="Times New Roman" w:cs="Times New Roman" w:eastAsia="Times New Roman" w:hAnsi="Times New Roman"/>
          <w:sz w:val="19"/>
          <w:szCs w:val="19"/>
          <w:color w:val="auto"/>
        </w:rPr>
        <w:t>”) or a new Class of term loans (collectively with any Term Loan Increase, the “</w:t>
      </w:r>
      <w:r>
        <w:rPr>
          <w:rFonts w:ascii="Times New Roman" w:cs="Times New Roman" w:eastAsia="Times New Roman" w:hAnsi="Times New Roman"/>
          <w:sz w:val="19"/>
          <w:szCs w:val="19"/>
          <w:u w:val="single" w:color="auto"/>
          <w:color w:val="auto"/>
        </w:rPr>
        <w:t>Incremental Term Commitments</w:t>
      </w:r>
      <w:r>
        <w:rPr>
          <w:rFonts w:ascii="Times New Roman" w:cs="Times New Roman" w:eastAsia="Times New Roman" w:hAnsi="Times New Roman"/>
          <w:sz w:val="19"/>
          <w:szCs w:val="19"/>
          <w:color w:val="auto"/>
        </w:rPr>
        <w:t>”) and/or (ii) one or more increases in the amount of the Revolving Commitments (a “</w:t>
      </w:r>
      <w:r>
        <w:rPr>
          <w:rFonts w:ascii="Times New Roman" w:cs="Times New Roman" w:eastAsia="Times New Roman" w:hAnsi="Times New Roman"/>
          <w:sz w:val="19"/>
          <w:szCs w:val="19"/>
          <w:u w:val="single" w:color="auto"/>
          <w:color w:val="auto"/>
        </w:rPr>
        <w:t>Revolving Commitment Increase</w:t>
      </w:r>
      <w:r>
        <w:rPr>
          <w:rFonts w:ascii="Times New Roman" w:cs="Times New Roman" w:eastAsia="Times New Roman" w:hAnsi="Times New Roman"/>
          <w:sz w:val="19"/>
          <w:szCs w:val="19"/>
          <w:color w:val="auto"/>
        </w:rPr>
        <w:t>”) or a new Class of Revolving Commitments (collectively with any Revolving Commitment Increase, the “</w:t>
      </w:r>
      <w:r>
        <w:rPr>
          <w:rFonts w:ascii="Times New Roman" w:cs="Times New Roman" w:eastAsia="Times New Roman" w:hAnsi="Times New Roman"/>
          <w:sz w:val="19"/>
          <w:szCs w:val="19"/>
          <w:u w:val="single" w:color="auto"/>
          <w:color w:val="auto"/>
        </w:rPr>
        <w:t>Incremental Revolving Credit Commitments</w:t>
      </w:r>
      <w:r>
        <w:rPr>
          <w:rFonts w:ascii="Times New Roman" w:cs="Times New Roman" w:eastAsia="Times New Roman" w:hAnsi="Times New Roman"/>
          <w:sz w:val="19"/>
          <w:szCs w:val="19"/>
          <w:color w:val="auto"/>
        </w:rPr>
        <w:t>”, and, collectively with any Incremental Term Commitments, the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in an aggregate principal amount not to exceed the sum of (A) the greater of (1) $</w:t>
      </w:r>
      <w:r>
        <w:rPr>
          <w:rFonts w:ascii="Times New Roman" w:cs="Times New Roman" w:eastAsia="Times New Roman" w:hAnsi="Times New Roman"/>
          <w:sz w:val="19"/>
          <w:szCs w:val="19"/>
          <w:color w:val="FF0000"/>
          <w:strike w:val="1"/>
        </w:rPr>
        <w:t>178,800,000</w:t>
      </w:r>
      <w:r>
        <w:rPr>
          <w:rFonts w:ascii="Times New Roman" w:cs="Times New Roman" w:eastAsia="Times New Roman" w:hAnsi="Times New Roman"/>
          <w:sz w:val="19"/>
          <w:szCs w:val="19"/>
          <w:u w:val="single" w:color="auto"/>
          <w:color w:val="0000FF"/>
        </w:rPr>
        <w:t>218,900,000</w:t>
      </w:r>
      <w:r>
        <w:rPr>
          <w:rFonts w:ascii="Times New Roman" w:cs="Times New Roman" w:eastAsia="Times New Roman" w:hAnsi="Times New Roman"/>
          <w:sz w:val="19"/>
          <w:szCs w:val="19"/>
          <w:color w:val="auto"/>
        </w:rPr>
        <w:t xml:space="preserve"> and (2) 100% of Consolidated Adjusted EBITDA for the most recently completed Test Period (calculated on a Pro Forma Basis) minus any amounts previously utilized in reliance on this Fixed Incremental Amount (and not redesignated) and the amount of Incremental Equivalent Debt incurred in lieu thereof (and not redesignated) (the “</w:t>
      </w:r>
      <w:r>
        <w:rPr>
          <w:rFonts w:ascii="Times New Roman" w:cs="Times New Roman" w:eastAsia="Times New Roman" w:hAnsi="Times New Roman"/>
          <w:sz w:val="19"/>
          <w:szCs w:val="19"/>
          <w:u w:val="single" w:color="auto"/>
          <w:color w:val="auto"/>
        </w:rPr>
        <w:t>Fixed Incremental Amount</w:t>
      </w:r>
      <w:r>
        <w:rPr>
          <w:rFonts w:ascii="Times New Roman" w:cs="Times New Roman" w:eastAsia="Times New Roman" w:hAnsi="Times New Roman"/>
          <w:sz w:val="19"/>
          <w:szCs w:val="19"/>
          <w:color w:val="auto"/>
        </w:rPr>
        <w:t>”) plus (B) an unlimited amount (the “</w:t>
      </w:r>
      <w:r>
        <w:rPr>
          <w:rFonts w:ascii="Times New Roman" w:cs="Times New Roman" w:eastAsia="Times New Roman" w:hAnsi="Times New Roman"/>
          <w:sz w:val="19"/>
          <w:szCs w:val="19"/>
          <w:u w:val="single" w:color="auto"/>
          <w:color w:val="auto"/>
        </w:rPr>
        <w:t>Incremental Incurrence-Based Amount</w:t>
      </w:r>
      <w:r>
        <w:rPr>
          <w:rFonts w:ascii="Times New Roman" w:cs="Times New Roman" w:eastAsia="Times New Roman" w:hAnsi="Times New Roman"/>
          <w:sz w:val="19"/>
          <w:szCs w:val="19"/>
          <w:color w:val="auto"/>
        </w:rPr>
        <w:t>”), so long as on a Pro Forma Basis after giving effect to the incurrence of any such Incremental Loans (assuming the full amount of any such Indebtedness in the form of a revolving credit facility is drawn) (without netting the cash proceeds of any borrowing under any such Incremental Term Loans or Incremental Revolving Credit Commitment not promptly applied for the specified transaction in connection with such incurrence upon receipt thereof in calculation thereof), the Total Net Leverage Ratio does not exceed 4.50:1.00 as of the last day of the most recently completed Test Period (calculated on a Pro Forma Basis) (this clause (B), the “</w:t>
      </w:r>
      <w:r>
        <w:rPr>
          <w:rFonts w:ascii="Times New Roman" w:cs="Times New Roman" w:eastAsia="Times New Roman" w:hAnsi="Times New Roman"/>
          <w:sz w:val="19"/>
          <w:szCs w:val="19"/>
          <w:u w:val="single" w:color="auto"/>
          <w:color w:val="auto"/>
        </w:rPr>
        <w:t>Incremental Ratio Debt Basket</w:t>
      </w:r>
      <w:r>
        <w:rPr>
          <w:rFonts w:ascii="Times New Roman" w:cs="Times New Roman" w:eastAsia="Times New Roman" w:hAnsi="Times New Roman"/>
          <w:sz w:val="19"/>
          <w:szCs w:val="19"/>
          <w:color w:val="auto"/>
        </w:rPr>
        <w:t xml:space="preserve">”), plus (C) any voluntary prepayments and buybacks (limited to the actual amount of cash paid) of the Initial Term Loans and the Incremental Term Loans, voluntary prepayments of the Revolving Loans (to the extent accompanied by permanent commitment reductions thereto), voluntary prepayments and buybacks (limited to the actual amount of cash paid) of any other Term Loans, Revolving Loans or other Indebtedness, in each case, secured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Initial Term Loans (in the case of any prepayment of revolving loans, to the extent accompanied by a corresponding permanent commitment reduction) so long as the relevant prepayment was not already included in this clause (C), and payments utilizing the yank-a-bank provisions of the Credit Documents, in each case, prior to such time and other than any such voluntary prepayments (and commitment reductions) and buybacks to the extent financed with the proceeds of long term Indebtedness (other than any revolving Indebtedness) or any Specified Equity Contribution (this clause (C), the “</w:t>
      </w:r>
      <w:r>
        <w:rPr>
          <w:rFonts w:ascii="Times New Roman" w:cs="Times New Roman" w:eastAsia="Times New Roman" w:hAnsi="Times New Roman"/>
          <w:sz w:val="19"/>
          <w:szCs w:val="19"/>
          <w:u w:val="single" w:color="auto"/>
          <w:color w:val="auto"/>
        </w:rPr>
        <w:t>Prepayment Amount</w:t>
      </w:r>
      <w:r>
        <w:rPr>
          <w:rFonts w:ascii="Times New Roman" w:cs="Times New Roman" w:eastAsia="Times New Roman" w:hAnsi="Times New Roman"/>
          <w:sz w:val="19"/>
          <w:szCs w:val="19"/>
          <w:color w:val="auto"/>
        </w:rPr>
        <w:t>”) plus</w:t>
      </w:r>
    </w:p>
    <w:p>
      <w:pPr>
        <w:spacing w:after="0" w:line="18" w:lineRule="exact"/>
        <w:rPr>
          <w:rFonts w:ascii="Times New Roman" w:cs="Times New Roman" w:eastAsia="Times New Roman" w:hAnsi="Times New Roman"/>
          <w:sz w:val="19"/>
          <w:szCs w:val="19"/>
          <w:color w:val="auto"/>
        </w:rPr>
      </w:pPr>
    </w:p>
    <w:p>
      <w:pPr>
        <w:jc w:val="both"/>
        <w:ind w:firstLine="8"/>
        <w:spacing w:after="0" w:line="246" w:lineRule="auto"/>
        <w:tabs>
          <w:tab w:leader="none" w:pos="33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Incremental Term Commitments or Incremental Revolving Credit Commitments that effectively extend the maturity date of any Facility, an amount equal to the portion of such Facility that will be replaced by such Incremental Term Commitments or Incremental Revolving Credit Commitments (this clause (D), the “</w:t>
      </w:r>
      <w:r>
        <w:rPr>
          <w:rFonts w:ascii="Times New Roman" w:cs="Times New Roman" w:eastAsia="Times New Roman" w:hAnsi="Times New Roman"/>
          <w:sz w:val="20"/>
          <w:szCs w:val="20"/>
          <w:u w:val="single" w:color="auto"/>
          <w:color w:val="auto"/>
        </w:rPr>
        <w:t>Effective Extension Incremental Amount</w:t>
      </w:r>
      <w:r>
        <w:rPr>
          <w:rFonts w:ascii="Times New Roman" w:cs="Times New Roman" w:eastAsia="Times New Roman" w:hAnsi="Times New Roman"/>
          <w:sz w:val="20"/>
          <w:szCs w:val="20"/>
          <w:color w:val="auto"/>
        </w:rPr>
        <w:t>”) (the sum of (A), (B), (C) and</w:t>
      </w:r>
    </w:p>
    <w:p>
      <w:pPr>
        <w:spacing w:after="0" w:line="1" w:lineRule="exact"/>
        <w:rPr>
          <w:rFonts w:ascii="Times New Roman" w:cs="Times New Roman" w:eastAsia="Times New Roman" w:hAnsi="Times New Roman"/>
          <w:sz w:val="20"/>
          <w:szCs w:val="20"/>
          <w:color w:val="auto"/>
        </w:rPr>
      </w:pPr>
    </w:p>
    <w:p>
      <w:pPr>
        <w:jc w:val="both"/>
        <w:ind w:firstLine="8"/>
        <w:spacing w:after="0" w:line="251" w:lineRule="auto"/>
        <w:tabs>
          <w:tab w:leader="none" w:pos="34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referred to herein as the “</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xml:space="preserve">”), whereupon Administrative Agent shall promptly deliver a copy of such request to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the foregoing, (I) the Borrower Representative may elect to use the Incremental Incurrence-Based Amount prior to the Fixed Incremental Amount, the Prepayment Amount and the Effective Extension Incremental Amount, and if the Fixed Incremental Amount, the Prepayment Amount and/or the Effective Extension Incremental Amount, on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one hand, and the Incremental Incurrence-Based Amount, on the other hand, are each available and the Borrower Representative does not make an election, the Borrower Representative will be deemed to have elected to use the Incremental Incurrence-Based Amount first and (II) the Incremental Incurrence-Based Amount will be calculated without regard to any incurrence of Indebtedness under the Fixed Incremental Amount, the Prepayment Amount and/or the Effective Extension Incremental Amount concurrently with the incurrence of any amounts in reliance on the Incremental Incurrence-Based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portion of Incremental Commitments incurred other than under the Incremental Incurrence-Based Amount shall be automatically re-designated as incurred under the Incremental Incurrence-Based Amount if the Borrowers meet the applicable ratio under the Incremental Incurrence-Based Amount on a pro forma basis at any time subsequent to the incurrence of such Incremental Commitment (for purposes of clarity, with any such redesignation having the effect of increasing the Borrower’s ability to incur Indebtedness under the Fixed Incremental Amount, the Effective Extension Incremental Amount, and/or the Prepayment Amount, as applicable, as of the date of such redesignation by the amount of such Indebtedness so redesignated).</w:t>
      </w:r>
    </w:p>
    <w:p>
      <w:pPr>
        <w:spacing w:after="0" w:line="126" w:lineRule="exact"/>
        <w:rPr>
          <w:sz w:val="20"/>
          <w:szCs w:val="20"/>
          <w:color w:val="auto"/>
        </w:rPr>
      </w:pPr>
    </w:p>
    <w:p>
      <w:pPr>
        <w:jc w:val="both"/>
        <w:ind w:firstLine="1304"/>
        <w:spacing w:after="0" w:line="249" w:lineRule="auto"/>
        <w:tabs>
          <w:tab w:leader="none" w:pos="179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On the applicable effective date (each, an “</w:t>
      </w: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specified in any Incremental Amendment (including through any Term Loan Increase or Revolving Commitment Increase, as applicable), subject to the satisfaction of the terms and conditions in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and in the applicable Incremental Amendment, (i) (A) each Incremental Term Lender of such Class shall make a Loan to the Borrower(s)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and collectively with any Incremental Term Loan, an “</w:t>
      </w:r>
      <w:r>
        <w:rPr>
          <w:rFonts w:ascii="Times New Roman" w:cs="Times New Roman" w:eastAsia="Times New Roman" w:hAnsi="Times New Roman"/>
          <w:sz w:val="20"/>
          <w:szCs w:val="20"/>
          <w:u w:val="single" w:color="auto"/>
          <w:color w:val="auto"/>
        </w:rPr>
        <w:t>Incremental Loan</w:t>
      </w:r>
      <w:r>
        <w:rPr>
          <w:rFonts w:ascii="Times New Roman" w:cs="Times New Roman" w:eastAsia="Times New Roman" w:hAnsi="Times New Roman"/>
          <w:sz w:val="20"/>
          <w:szCs w:val="20"/>
          <w:color w:val="auto"/>
        </w:rPr>
        <w:t>”) in an amount equal to its Revolving Commitment Increase of such Class or Incremental Revolving Credit Commitment of such Class, as applicable, and (B) each Incremental Revolving Credit Lender of such Class shall become a Lender hereunder with respect to the Revolving Commitment Increase of such Class or the Incremental Revolving Credit Commitments of such Class, as applicable, and the Incremental Revolving Loans of such Class made pursuant thereto.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65" w:lineRule="auto"/>
        <w:tabs>
          <w:tab w:leader="none" w:pos="188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Loan Request</w:t>
      </w:r>
      <w:r>
        <w:rPr>
          <w:rFonts w:ascii="Times New Roman" w:cs="Times New Roman" w:eastAsia="Times New Roman" w:hAnsi="Times New Roman"/>
          <w:sz w:val="19"/>
          <w:szCs w:val="19"/>
          <w:color w:val="auto"/>
        </w:rPr>
        <w:t xml:space="preserve">. Each Incremental Loan Request from the Borrower Representative pursuant to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shall set forth the requested amount and proposed terms of the relevant Incremental Term Loans or Incremental Revolving Credit Commitments. Incremental Term Loans may be made, and Incremental Revolving Credit Commitments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Times New Roman" w:cs="Times New Roman" w:eastAsia="Times New Roman" w:hAnsi="Times New Roman"/>
          <w:sz w:val="19"/>
          <w:szCs w:val="19"/>
          <w:u w:val="single" w:color="auto"/>
          <w:color w:val="auto"/>
        </w:rPr>
        <w:t>Incremental Revolving Credit Lender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Incremental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as applicable, and, collectively, the “</w:t>
      </w:r>
      <w:r>
        <w:rPr>
          <w:rFonts w:ascii="Times New Roman" w:cs="Times New Roman" w:eastAsia="Times New Roman" w:hAnsi="Times New Roman"/>
          <w:sz w:val="19"/>
          <w:szCs w:val="19"/>
          <w:u w:val="single" w:color="auto"/>
          <w:color w:val="auto"/>
        </w:rPr>
        <w:t>Incremental 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Administrative Agent, the Swing Line Lender and each Issuing Bank shall have consented (not to be unreasonably withheld or delayed) to such Additional Lender’s making such Incremental Term Loans or providing such Incremental Revolving Credit Commitment, to the extent such consent, if any, would be required under </w:t>
      </w:r>
      <w:r>
        <w:rPr>
          <w:rFonts w:ascii="Times New Roman" w:cs="Times New Roman" w:eastAsia="Times New Roman" w:hAnsi="Times New Roman"/>
          <w:sz w:val="19"/>
          <w:szCs w:val="19"/>
          <w:u w:val="single" w:color="auto"/>
          <w:color w:val="auto"/>
        </w:rPr>
        <w:t>Section 10.06(c)</w:t>
      </w:r>
      <w:r>
        <w:rPr>
          <w:rFonts w:ascii="Times New Roman" w:cs="Times New Roman" w:eastAsia="Times New Roman" w:hAnsi="Times New Roman"/>
          <w:sz w:val="19"/>
          <w:szCs w:val="19"/>
          <w:color w:val="auto"/>
        </w:rPr>
        <w:t xml:space="preserve"> 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Times New Roman" w:cs="Times New Roman" w:eastAsia="Times New Roman" w:hAnsi="Times New Roman"/>
          <w:sz w:val="19"/>
          <w:szCs w:val="19"/>
          <w:u w:val="single" w:color="auto"/>
          <w:color w:val="auto"/>
        </w:rPr>
        <w:t>Section 10.06(i)</w:t>
      </w:r>
      <w:r>
        <w:rPr>
          <w:rFonts w:ascii="Times New Roman" w:cs="Times New Roman" w:eastAsia="Times New Roman" w:hAnsi="Times New Roman"/>
          <w:sz w:val="19"/>
          <w:szCs w:val="19"/>
          <w:color w:val="auto"/>
        </w:rPr>
        <w:t xml:space="preserve"> as they would otherwise be subject to with respect to any purchase by or assignment 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240"/>
          </w:cols>
          <w:pgMar w:left="320" w:top="141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such Affiliated Lender of Term Loans and (iii) Affiliated Lenders may not provide any Incremental Revolving Credit Commitment.</w:t>
      </w:r>
    </w:p>
    <w:p>
      <w:pPr>
        <w:spacing w:after="0" w:line="175" w:lineRule="exact"/>
        <w:rPr>
          <w:sz w:val="20"/>
          <w:szCs w:val="20"/>
          <w:color w:val="auto"/>
        </w:rPr>
      </w:pPr>
    </w:p>
    <w:p>
      <w:pPr>
        <w:jc w:val="both"/>
        <w:ind w:firstLine="1304"/>
        <w:spacing w:after="0" w:line="254" w:lineRule="auto"/>
        <w:tabs>
          <w:tab w:leader="none" w:pos="183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Incremental Amendment</w:t>
      </w:r>
      <w:r>
        <w:rPr>
          <w:rFonts w:ascii="Times New Roman" w:cs="Times New Roman" w:eastAsia="Times New Roman" w:hAnsi="Times New Roman"/>
          <w:sz w:val="20"/>
          <w:szCs w:val="20"/>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33"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363"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Incremental Commitments, the conditions of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shall be satisfied (it being understood that all references to “as of such Credit Date” or similar language in such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shall be deemed to refer to the Incremental Facility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proceeds of such Incremental Commitment are used to finance a Limited Condition Transaction, (x) the references in </w:t>
      </w:r>
      <w:r>
        <w:rPr>
          <w:rFonts w:ascii="Times New Roman" w:cs="Times New Roman" w:eastAsia="Times New Roman" w:hAnsi="Times New Roman"/>
          <w:sz w:val="20"/>
          <w:szCs w:val="20"/>
          <w:u w:val="single" w:color="auto"/>
          <w:color w:val="auto"/>
        </w:rPr>
        <w:t>Section 3.02(a)(ii)</w:t>
      </w:r>
      <w:r>
        <w:rPr>
          <w:rFonts w:ascii="Times New Roman" w:cs="Times New Roman" w:eastAsia="Times New Roman" w:hAnsi="Times New Roman"/>
          <w:sz w:val="20"/>
          <w:szCs w:val="20"/>
          <w:color w:val="auto"/>
        </w:rPr>
        <w:t xml:space="preserve"> to the accuracy of the representations and warranties shall refer to the accuracy of the representations and warranties that would constitute customary “specified representations” of the Credit Parties (after giving effect to the Limited Condition Transaction) and (y) the references in </w:t>
      </w:r>
      <w:r>
        <w:rPr>
          <w:rFonts w:ascii="Times New Roman" w:cs="Times New Roman" w:eastAsia="Times New Roman" w:hAnsi="Times New Roman"/>
          <w:sz w:val="20"/>
          <w:szCs w:val="20"/>
          <w:u w:val="single" w:color="auto"/>
          <w:color w:val="auto"/>
        </w:rPr>
        <w:t>Section 3.02(a)(iii)</w:t>
      </w:r>
      <w:r>
        <w:rPr>
          <w:rFonts w:ascii="Times New Roman" w:cs="Times New Roman" w:eastAsia="Times New Roman" w:hAnsi="Times New Roman"/>
          <w:sz w:val="20"/>
          <w:szCs w:val="20"/>
          <w:color w:val="auto"/>
        </w:rPr>
        <w:t xml:space="preserve"> to any Default or Event of Default shall only refer to no Event of Default at the time that the definitive agreement for such Limited Condition Transaction is entered into or the date such irrevocable notice is given and, on the date of the incurrence thereof, both immediately before and immediately after giving effect thereto, no Specified Event of Default shall have occurred and be continuing or would result immediately therefrom;</w:t>
      </w:r>
    </w:p>
    <w:p>
      <w:pPr>
        <w:spacing w:after="0" w:line="14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09"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Term Commitment shall be in an aggregate principal amount that is not less than $5,000,000 and shall be in an increment of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may be less than $5,000,000 if such amount represents all remaining availability under the Incremental Cap) and each Incremental Revolving Credit Commitment shall be in an aggregate principal amount that is not less than $5,000,000 and shall be in an increment of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 may be less than $5,000,000 if such amount represents all remaining availability under the Incremental Cap); and</w:t>
      </w:r>
    </w:p>
    <w:p>
      <w:pPr>
        <w:spacing w:after="0" w:line="124" w:lineRule="exact"/>
        <w:rPr>
          <w:rFonts w:ascii="Times New Roman" w:cs="Times New Roman" w:eastAsia="Times New Roman" w:hAnsi="Times New Roman"/>
          <w:sz w:val="20"/>
          <w:szCs w:val="20"/>
          <w:color w:val="auto"/>
        </w:rPr>
      </w:pPr>
    </w:p>
    <w:p>
      <w:pPr>
        <w:jc w:val="both"/>
        <w:ind w:left="1300" w:firstLine="652"/>
        <w:spacing w:after="0" w:line="257" w:lineRule="auto"/>
        <w:tabs>
          <w:tab w:leader="none" w:pos="244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requested by Administrative Agent, receipt by Administrative Agent of (A) customary legal opinions, board resolutions and officers’ certificates (including solvency certificates) substantially consistent with those delivered on the Closing Date (conformed as appropriate)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3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Terms</w:t>
      </w:r>
      <w:r>
        <w:rPr>
          <w:rFonts w:ascii="Times New Roman" w:cs="Times New Roman" w:eastAsia="Times New Roman" w:hAnsi="Times New Roman"/>
          <w:sz w:val="20"/>
          <w:szCs w:val="20"/>
          <w:color w:val="auto"/>
        </w:rPr>
        <w:t xml:space="preserve">. The terms, provisions and documentation of the Incremental Term Loans and Incremental Term Commitments or the Incremental Revolving Loans and Incremental Revolving Credit Commitments, as the case may be, of any Class shall be (A) as agreed between the Borrower Representative and the applicable Incremental Lenders providing such Incremental Commitments and (B) to the extent not consistent with the Term Loans or Revolving Commitments, as applicable, each existing on the Incremental Facility Closing Date, consistent with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as applicable, and otherwise (a) if materially more favorable (taken as a whole) to the Incremental Lenders , conformed (or added) in the Credit Documents pursuant to the related Incremental Amendment, (x) in the case of any Class of Incremental Term Loans and Incremental Term Commitments, for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benefit of the Term Lenders in respect of the Class being increased and (y) in the case of any Class of Incremental Revolving Loans and Incremental Revolving Credit Commitments, for the benefit of the Revolving Credit Lenders in respect of the Class being increased, (b) applicable only to periods after the Latest Maturity Date as of the Incremental Facility Closing Date or (c) reasonably satisfactory to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Term Loan Increase or a Revolving Commitment Increase, the terms, provisions and documentation (other than the Incremental Amendment evidencing such increase) of such Term Loan Increase or Revolving Commitment Increase shall be identical (other than with respect to upfront fees, OID or similar fees) to the applicable Class of Term Loans or Revolving Commitments being increased, in each case, as existing on the Incremental Facility Closing Date. In any event:</w:t>
      </w:r>
    </w:p>
    <w:p>
      <w:pPr>
        <w:spacing w:after="0" w:line="125" w:lineRule="exact"/>
        <w:rPr>
          <w:sz w:val="20"/>
          <w:szCs w:val="20"/>
          <w:color w:val="auto"/>
        </w:rPr>
      </w:pPr>
    </w:p>
    <w:p>
      <w:pPr>
        <w:ind w:left="2340" w:hanging="388"/>
        <w:spacing w:after="0"/>
        <w:tabs>
          <w:tab w:leader="none" w:pos="23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Term Loans:</w:t>
      </w:r>
    </w:p>
    <w:p>
      <w:pPr>
        <w:spacing w:after="0" w:line="171" w:lineRule="exact"/>
        <w:rPr>
          <w:rFonts w:ascii="Times New Roman" w:cs="Times New Roman" w:eastAsia="Times New Roman" w:hAnsi="Times New Roman"/>
          <w:sz w:val="20"/>
          <w:szCs w:val="20"/>
          <w:color w:val="auto"/>
        </w:rPr>
      </w:pPr>
    </w:p>
    <w:p>
      <w:pPr>
        <w:jc w:val="both"/>
        <w:ind w:left="1960" w:firstLine="640"/>
        <w:spacing w:after="0" w:line="263" w:lineRule="auto"/>
        <w:tabs>
          <w:tab w:leader="none" w:pos="3173"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Obligations under the Initial Term Loans and (II) shall be unsecured or secured by the Collateral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security with the Obligations under the Initial Term Loans,</w:t>
      </w:r>
    </w:p>
    <w:p>
      <w:pPr>
        <w:spacing w:after="0" w:line="125" w:lineRule="exact"/>
        <w:rPr>
          <w:rFonts w:ascii="Times New Roman" w:cs="Times New Roman" w:eastAsia="Times New Roman" w:hAnsi="Times New Roman"/>
          <w:sz w:val="20"/>
          <w:szCs w:val="20"/>
          <w:color w:val="auto"/>
        </w:rPr>
      </w:pPr>
    </w:p>
    <w:p>
      <w:pPr>
        <w:jc w:val="both"/>
        <w:ind w:left="1960" w:firstLine="640"/>
        <w:spacing w:after="0" w:line="251" w:lineRule="auto"/>
        <w:tabs>
          <w:tab w:leader="none" w:pos="3097"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Incremental Facility Closing Date, shall not have a final scheduled maturity date earlier than the Maturity Date of the Initial Term Loans (or earlier than 91 days after the Maturity Date of such Initial Term Loans in the case of any Incremental Term Loans that are unsecured or junior in right of payment or security to such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set forth in this clause (i)(B) shall not apply to any Incremental Term Loans (x) consisting of a customary bridge facility, so long as such customary bridge facility by its terms will automatically be converted into, or exchanged for, long-term Indebtedness that satisfies the requirements set forth in this clause (i)(B) or (y) for which the Inside Maturity Basket is utilized;</w:t>
      </w:r>
    </w:p>
    <w:p>
      <w:pPr>
        <w:spacing w:after="0" w:line="138" w:lineRule="exact"/>
        <w:rPr>
          <w:rFonts w:ascii="Times New Roman" w:cs="Times New Roman" w:eastAsia="Times New Roman" w:hAnsi="Times New Roman"/>
          <w:sz w:val="20"/>
          <w:szCs w:val="20"/>
          <w:color w:val="auto"/>
        </w:rPr>
      </w:pPr>
    </w:p>
    <w:p>
      <w:pPr>
        <w:jc w:val="both"/>
        <w:ind w:left="1960" w:firstLine="640"/>
        <w:spacing w:after="0" w:line="253" w:lineRule="auto"/>
        <w:tabs>
          <w:tab w:leader="none" w:pos="307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Incremental Facility Closing Date, shall have a Weighted Average Life to Maturity not shorter than the remaining Weighted Average Life to Maturity of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set forth in this clause (i)(C) shall not apply to any Incremental Term Loans (x) consisting of a customary bridge facility, so long as such customary bridge by its terms will automatically be converted into, or exchanged for long-term Indebtedness that satisfies the requirements set forth in this clause (i)(C) or (y) for which the Inside Maturity Basket is utilized;</w:t>
      </w:r>
    </w:p>
    <w:p>
      <w:pPr>
        <w:spacing w:after="0" w:line="124"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166"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an Applicable Margin, and subject to </w:t>
      </w:r>
      <w:r>
        <w:rPr>
          <w:rFonts w:ascii="Times New Roman" w:cs="Times New Roman" w:eastAsia="Times New Roman" w:hAnsi="Times New Roman"/>
          <w:sz w:val="20"/>
          <w:szCs w:val="20"/>
          <w:u w:val="single" w:color="auto"/>
          <w:color w:val="auto"/>
        </w:rPr>
        <w:t>clauses (e)(i)(B)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(e)(i)(C)</w:t>
      </w:r>
      <w:r>
        <w:rPr>
          <w:rFonts w:ascii="Times New Roman" w:cs="Times New Roman" w:eastAsia="Times New Roman" w:hAnsi="Times New Roman"/>
          <w:sz w:val="20"/>
          <w:szCs w:val="20"/>
          <w:color w:val="auto"/>
        </w:rPr>
        <w:t xml:space="preserve"> above, amortization determined by the Borrower Representative and the applicable Incremental Term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Applicable Margin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240"/>
          </w:cols>
          <w:pgMar w:left="320" w:top="1413" w:right="339" w:bottom="1440" w:gutter="0" w:footer="0" w:header="0"/>
        </w:sectPr>
      </w:pPr>
    </w:p>
    <w:bookmarkStart w:id="135" w:name="page136"/>
    <w:bookmarkEnd w:id="135"/>
    <w:p>
      <w:pPr>
        <w:ind w:left="840" w:right="20"/>
        <w:spacing w:after="0" w:line="283" w:lineRule="auto"/>
        <w:rPr>
          <w:sz w:val="20"/>
          <w:szCs w:val="20"/>
          <w:color w:val="auto"/>
        </w:rPr>
      </w:pPr>
      <w:r>
        <w:rPr>
          <w:rFonts w:ascii="Times New Roman" w:cs="Times New Roman" w:eastAsia="Times New Roman" w:hAnsi="Times New Roman"/>
          <w:sz w:val="20"/>
          <w:szCs w:val="20"/>
          <w:color w:val="auto"/>
        </w:rPr>
        <w:t xml:space="preserve">amortization for a Term Loan Increase shall be the Applicable Margin and amortization for the Class being increased (subject to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1960" w:hanging="480"/>
        <w:spacing w:after="0"/>
        <w:tabs>
          <w:tab w:leader="none" w:pos="196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have fees determined by the Borrower Representative and the applicable Incremental Term Loan</w:t>
      </w:r>
    </w:p>
    <w:p>
      <w:pPr>
        <w:spacing w:after="0" w:line="39" w:lineRule="exact"/>
        <w:rPr>
          <w:rFonts w:ascii="Times New Roman" w:cs="Times New Roman" w:eastAsia="Times New Roman" w:hAnsi="Times New Roman"/>
          <w:sz w:val="19"/>
          <w:szCs w:val="19"/>
          <w:color w:val="auto"/>
        </w:rPr>
      </w:pPr>
    </w:p>
    <w:p>
      <w:pPr>
        <w:ind w:left="8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arranger(s),</w:t>
      </w:r>
    </w:p>
    <w:p>
      <w:pPr>
        <w:spacing w:after="0" w:line="146" w:lineRule="exact"/>
        <w:rPr>
          <w:rFonts w:ascii="Times New Roman" w:cs="Times New Roman" w:eastAsia="Times New Roman" w:hAnsi="Times New Roman"/>
          <w:sz w:val="19"/>
          <w:szCs w:val="19"/>
          <w:color w:val="auto"/>
        </w:rPr>
      </w:pPr>
    </w:p>
    <w:p>
      <w:pPr>
        <w:ind w:left="840" w:firstLine="640"/>
        <w:spacing w:after="0" w:line="283" w:lineRule="auto"/>
        <w:tabs>
          <w:tab w:leader="none" w:pos="1937"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guaranteed by any Person that is not otherwise a Guarantor or be secured by any assets not constituting Collateral, and</w:t>
      </w:r>
    </w:p>
    <w:p>
      <w:pPr>
        <w:spacing w:after="0" w:line="101" w:lineRule="exact"/>
        <w:rPr>
          <w:rFonts w:ascii="Times New Roman" w:cs="Times New Roman" w:eastAsia="Times New Roman" w:hAnsi="Times New Roman"/>
          <w:sz w:val="20"/>
          <w:szCs w:val="20"/>
          <w:color w:val="auto"/>
        </w:rPr>
      </w:pPr>
    </w:p>
    <w:p>
      <w:pPr>
        <w:jc w:val="both"/>
        <w:ind w:left="840" w:firstLine="640"/>
        <w:spacing w:after="0" w:line="254" w:lineRule="auto"/>
        <w:tabs>
          <w:tab w:leader="none" w:pos="201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(x) any Incremental Term Loans that are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shall share ratably in any voluntary or mandatory prepayments pursuant to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unless the Lenders providing such Incremental Term Commitments elect a lesser share of such prepayments and (y) any Incremental Term Loans that are secured on a junior basis to the Initial Term Loans, or are unsecured, shall share on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any voluntary or mandatory prepayments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ind w:left="1280" w:hanging="448"/>
        <w:spacing w:after="0"/>
        <w:tabs>
          <w:tab w:leader="none" w:pos="1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Revolving Credit Commitments and Incremental Revolving Loans:</w:t>
      </w:r>
    </w:p>
    <w:p>
      <w:pPr>
        <w:spacing w:after="0" w:line="161" w:lineRule="exact"/>
        <w:rPr>
          <w:rFonts w:ascii="Times New Roman" w:cs="Times New Roman" w:eastAsia="Times New Roman" w:hAnsi="Times New Roman"/>
          <w:sz w:val="20"/>
          <w:szCs w:val="20"/>
          <w:color w:val="auto"/>
        </w:rPr>
      </w:pPr>
    </w:p>
    <w:p>
      <w:pPr>
        <w:jc w:val="both"/>
        <w:ind w:left="840" w:firstLine="640"/>
        <w:spacing w:after="0" w:line="261" w:lineRule="auto"/>
        <w:tabs>
          <w:tab w:leader="none" w:pos="197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Commitment Increase, will be subject to terms (including maturity date and interest rates but excluding upfront fees and other similar amounts) identical to those applicable to the Revolving Credit Commitments being increased,</w:t>
      </w:r>
    </w:p>
    <w:p>
      <w:pPr>
        <w:spacing w:after="0" w:line="127"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0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spacing w:after="0" w:line="141"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043"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shall have upfront fees and/or other similar fees payable to each Incremental Revolving Credit Lender in respect of each Incremental Revolving Credit Commitment separately agreed to by the Borrower Representative and each such Incremental Revolving Credit Lender providing such Incremental Revolving Credit Commitment and (2) the Revolving Loans incurred pursuant to (x) any Revolving Commitment Increase shall have the same Applicable Margin and unutilized commitment fee as the Facility to which such Revolving Commitment Increase is being added and (y) any Incremental Revolving Credit Commitment (other than a Revolving Commitment Increase) shall have an Applicable Margin (and unutilized commitment fee) determined by</w:t>
      </w: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20"/>
          </w:cols>
          <w:pgMar w:left="1440" w:top="1413" w:right="339" w:bottom="1440" w:gutter="0" w:footer="0" w:header="0"/>
        </w:sectPr>
      </w:pPr>
    </w:p>
    <w:bookmarkStart w:id="136" w:name="page137"/>
    <w:bookmarkEnd w:id="136"/>
    <w:p>
      <w:pPr>
        <w:ind w:left="1960"/>
        <w:spacing w:after="0"/>
        <w:rPr>
          <w:sz w:val="20"/>
          <w:szCs w:val="20"/>
          <w:color w:val="auto"/>
        </w:rPr>
      </w:pPr>
      <w:r>
        <w:rPr>
          <w:rFonts w:ascii="Times New Roman" w:cs="Times New Roman" w:eastAsia="Times New Roman" w:hAnsi="Times New Roman"/>
          <w:sz w:val="20"/>
          <w:szCs w:val="20"/>
          <w:color w:val="auto"/>
        </w:rPr>
        <w:t>the Borrower Representative and the applicable Incremental Revolving Credit Lender,</w:t>
      </w:r>
    </w:p>
    <w:p>
      <w:pPr>
        <w:spacing w:after="0" w:line="175" w:lineRule="exact"/>
        <w:rPr>
          <w:sz w:val="20"/>
          <w:szCs w:val="20"/>
          <w:color w:val="auto"/>
        </w:rPr>
      </w:pPr>
    </w:p>
    <w:p>
      <w:pPr>
        <w:jc w:val="both"/>
        <w:ind w:left="1960" w:firstLine="640"/>
        <w:spacing w:after="0" w:line="253" w:lineRule="auto"/>
        <w:tabs>
          <w:tab w:leader="none" w:pos="3106"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shall rank pari passu or junior in right of payment with the Obligations under the Initial Revolving Credit Commitments and (II)(x) shall be unsecured or secured by the Collateral and shall rank pari passu or junior in right of security with the Obligations under the Initial Revolving Credit Commitments and (y) in case of an Incremental Revolving Credit Commitment (other than a Revolving Commitment Increase), the maturity date of such Incremental Revolving Credit Commitment shall be no earlier than the Revolving Commitment Termination Date in respect of the Initial Revolving Credit Commitments, and</w:t>
      </w:r>
    </w:p>
    <w:p>
      <w:pPr>
        <w:spacing w:after="0" w:line="124" w:lineRule="exact"/>
        <w:rPr>
          <w:rFonts w:ascii="Times New Roman" w:cs="Times New Roman" w:eastAsia="Times New Roman" w:hAnsi="Times New Roman"/>
          <w:sz w:val="20"/>
          <w:szCs w:val="20"/>
          <w:color w:val="auto"/>
        </w:rPr>
      </w:pPr>
    </w:p>
    <w:p>
      <w:pPr>
        <w:ind w:left="1960" w:right="20" w:firstLine="640"/>
        <w:spacing w:after="0" w:line="283" w:lineRule="auto"/>
        <w:tabs>
          <w:tab w:leader="none" w:pos="3066"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guaranteed by any Person that is not otherwise a Guarantor or be secured by any assets not constituting Collateral.</w:t>
      </w:r>
    </w:p>
    <w:p>
      <w:pPr>
        <w:spacing w:after="0" w:line="92"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57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Incremental Term Loans that are (A) incurred on or prior to the date that is </w:t>
      </w:r>
      <w:r>
        <w:rPr>
          <w:rFonts w:ascii="Times New Roman" w:cs="Times New Roman" w:eastAsia="Times New Roman" w:hAnsi="Times New Roman"/>
          <w:sz w:val="20"/>
          <w:szCs w:val="20"/>
          <w:color w:val="FF0000"/>
          <w:strike w:val="1"/>
        </w:rPr>
        <w:t>six</w:t>
      </w:r>
      <w:r>
        <w:rPr>
          <w:rFonts w:ascii="Times New Roman" w:cs="Times New Roman" w:eastAsia="Times New Roman" w:hAnsi="Times New Roman"/>
          <w:sz w:val="20"/>
          <w:szCs w:val="20"/>
          <w:u w:val="single" w:color="auto"/>
          <w:color w:val="0000FF"/>
        </w:rPr>
        <w:t>twelve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6</w:t>
      </w:r>
      <w:r>
        <w:rPr>
          <w:rFonts w:ascii="Times New Roman" w:cs="Times New Roman" w:eastAsia="Times New Roman" w:hAnsi="Times New Roman"/>
          <w:sz w:val="20"/>
          <w:szCs w:val="20"/>
          <w:u w:val="single" w:color="auto"/>
          <w:color w:val="0000FF"/>
        </w:rPr>
        <w:t>12</w:t>
      </w:r>
      <w:r>
        <w:rPr>
          <w:rFonts w:ascii="Times New Roman" w:cs="Times New Roman" w:eastAsia="Times New Roman" w:hAnsi="Times New Roman"/>
          <w:sz w:val="20"/>
          <w:szCs w:val="20"/>
          <w:color w:val="000000"/>
        </w:rPr>
        <w:t>) months after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Date, (B) in the form of broadly syndicated, floating-rate, term B loans denominated in Dollars, (C) incurred in reliance on the Incremental Ratio Debt Basket and (D) </w:t>
      </w:r>
      <w:r>
        <w:rPr>
          <w:rFonts w:ascii="Times New Roman" w:cs="Times New Roman" w:eastAsia="Times New Roman" w:hAnsi="Times New Roman"/>
          <w:sz w:val="20"/>
          <w:szCs w:val="20"/>
          <w:i w:val="1"/>
          <w:iCs w:val="1"/>
          <w:color w:val="000000"/>
        </w:rPr>
        <w:t>pari passu</w:t>
      </w:r>
      <w:r>
        <w:rPr>
          <w:rFonts w:ascii="Times New Roman" w:cs="Times New Roman" w:eastAsia="Times New Roman" w:hAnsi="Times New Roman"/>
          <w:sz w:val="20"/>
          <w:szCs w:val="20"/>
          <w:color w:val="000000"/>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Times New Roman" w:cs="Times New Roman" w:eastAsia="Times New Roman" w:hAnsi="Times New Roman"/>
          <w:sz w:val="20"/>
          <w:szCs w:val="20"/>
          <w:i w:val="1"/>
          <w:iCs w:val="1"/>
          <w:color w:val="000000"/>
        </w:rPr>
        <w:t>unless</w:t>
      </w:r>
      <w:r>
        <w:rPr>
          <w:rFonts w:ascii="Times New Roman" w:cs="Times New Roman" w:eastAsia="Times New Roman" w:hAnsi="Times New Roman"/>
          <w:sz w:val="20"/>
          <w:szCs w:val="20"/>
          <w:color w:val="000000"/>
        </w:rPr>
        <w:t xml:space="preserve"> the Yield with respect to the Initial Term Loans is increased so as to cause the then applicable Yield under this Agreement on the Initial Term Loans to equal the Yield then applicable to the Incremental Term Loans </w:t>
      </w:r>
      <w:r>
        <w:rPr>
          <w:rFonts w:ascii="Times New Roman" w:cs="Times New Roman" w:eastAsia="Times New Roman" w:hAnsi="Times New Roman"/>
          <w:sz w:val="20"/>
          <w:szCs w:val="20"/>
          <w:u w:val="single" w:color="auto"/>
          <w:color w:val="000000"/>
        </w:rPr>
        <w:t>minus</w:t>
      </w:r>
      <w:r>
        <w:rPr>
          <w:rFonts w:ascii="Times New Roman" w:cs="Times New Roman" w:eastAsia="Times New Roman" w:hAnsi="Times New Roman"/>
          <w:sz w:val="20"/>
          <w:szCs w:val="20"/>
          <w:color w:val="000000"/>
        </w:rPr>
        <w:t xml:space="preserve"> 50 basis points (the “</w:t>
      </w:r>
      <w:r>
        <w:rPr>
          <w:rFonts w:ascii="Times New Roman" w:cs="Times New Roman" w:eastAsia="Times New Roman" w:hAnsi="Times New Roman"/>
          <w:sz w:val="20"/>
          <w:szCs w:val="20"/>
          <w:u w:val="single" w:color="auto"/>
          <w:color w:val="000000"/>
        </w:rPr>
        <w:t>MFN Adjustment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the MFN Adjustment shall not apply to any Incremental Term Loan that (1) is incurred to finance an acquisition or similar Investment or (2) matures later than twelve (12) months following the Maturity Date of the Initial Term Loans (this clause (iii), the “</w:t>
      </w:r>
      <w:r>
        <w:rPr>
          <w:rFonts w:ascii="Times New Roman" w:cs="Times New Roman" w:eastAsia="Times New Roman" w:hAnsi="Times New Roman"/>
          <w:sz w:val="20"/>
          <w:szCs w:val="20"/>
          <w:u w:val="single" w:color="auto"/>
          <w:color w:val="000000"/>
        </w:rPr>
        <w:t>MFN Provision</w:t>
      </w:r>
      <w:r>
        <w:rPr>
          <w:rFonts w:ascii="Times New Roman" w:cs="Times New Roman" w:eastAsia="Times New Roman" w:hAnsi="Times New Roman"/>
          <w:sz w:val="20"/>
          <w:szCs w:val="20"/>
          <w:color w:val="000000"/>
        </w:rPr>
        <w:t>”).</w:t>
      </w:r>
    </w:p>
    <w:p>
      <w:pPr>
        <w:spacing w:after="0" w:line="139"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1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Incremental Commitments shall become additional Commitments pursuant to an amendment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to this Agreement and, as appropriate, the other Credit Documents, executed by the Borrowers, each Incremental Lender providing such Incremental Commitments, Administrative Agent (to the extent the consent, if any, of Administrative Agent would be required under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xml:space="preserve">) and, for purposes of any increase to the Swing Line Sublimit or Letter of Credit Sublimit pursuant to </w:t>
      </w:r>
      <w:r>
        <w:rPr>
          <w:rFonts w:ascii="Times New Roman" w:cs="Times New Roman" w:eastAsia="Times New Roman" w:hAnsi="Times New Roman"/>
          <w:sz w:val="20"/>
          <w:szCs w:val="20"/>
          <w:u w:val="single" w:color="auto"/>
          <w:color w:val="auto"/>
        </w:rPr>
        <w:t>Section 2.24(e)(ii)(B)</w:t>
      </w:r>
      <w:r>
        <w:rPr>
          <w:rFonts w:ascii="Times New Roman" w:cs="Times New Roman" w:eastAsia="Times New Roman" w:hAnsi="Times New Roman"/>
          <w:sz w:val="20"/>
          <w:szCs w:val="20"/>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including amendments as deemed necessary by Administrative Agent in its reasonable judgment to address technical issues relating to funding and payments.</w:t>
      </w:r>
    </w:p>
    <w:p>
      <w:pPr>
        <w:spacing w:after="0" w:line="121" w:lineRule="exact"/>
        <w:rPr>
          <w:rFonts w:ascii="Times New Roman" w:cs="Times New Roman" w:eastAsia="Times New Roman" w:hAnsi="Times New Roman"/>
          <w:sz w:val="20"/>
          <w:szCs w:val="20"/>
          <w:color w:val="auto"/>
        </w:rPr>
      </w:pPr>
    </w:p>
    <w:p>
      <w:pPr>
        <w:ind w:firstLine="1304"/>
        <w:spacing w:after="0" w:line="283" w:lineRule="auto"/>
        <w:tabs>
          <w:tab w:leader="none" w:pos="175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Revolving Exposure</w:t>
      </w:r>
      <w:r>
        <w:rPr>
          <w:rFonts w:ascii="Times New Roman" w:cs="Times New Roman" w:eastAsia="Times New Roman" w:hAnsi="Times New Roman"/>
          <w:sz w:val="20"/>
          <w:szCs w:val="20"/>
          <w:color w:val="auto"/>
        </w:rPr>
        <w:t xml:space="preserve">. Upon any Incremental Facility Closing Date on which a Revolving Commitment Increase is effected pursuant to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(a) with</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respect to the applicable Class of Revolving Commitments being increased pursuant to such Revolving Commitment Increase,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Commitment Increase, (c) each Revolving Commitment Increase shall be deemed for all purposes a Revolving Commitment and each Loan made thereunder shall be deemed, for all purposes, a Revolving Loan and (d) each Incremental Revolving Credit Lender shall become a Lender with respect to the Revolving Commitment Increase and all matters relating thereto. Administrative Agent and the Lenders hereby agree that the minimum borrowing and prepayment requirements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2.12(a)</w:t>
      </w:r>
      <w:r>
        <w:rPr>
          <w:rFonts w:ascii="Times New Roman" w:cs="Times New Roman" w:eastAsia="Times New Roman" w:hAnsi="Times New Roman"/>
          <w:sz w:val="20"/>
          <w:szCs w:val="20"/>
          <w:color w:val="auto"/>
        </w:rPr>
        <w:t xml:space="preserve"> of this Agreement shall not apply to the transactions effected pursuant to the immediately preceding sentence.</w:t>
      </w:r>
    </w:p>
    <w:p>
      <w:pPr>
        <w:spacing w:after="0" w:line="183" w:lineRule="exact"/>
        <w:rPr>
          <w:sz w:val="20"/>
          <w:szCs w:val="20"/>
          <w:color w:val="auto"/>
        </w:rPr>
      </w:pPr>
    </w:p>
    <w:p>
      <w:pPr>
        <w:jc w:val="both"/>
        <w:ind w:firstLine="1304"/>
        <w:spacing w:after="0" w:line="249" w:lineRule="auto"/>
        <w:tabs>
          <w:tab w:leader="none" w:pos="173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Borrowers may, upon notice to Administrative Agent by the Borrower Representative, at any time or from time to time after the Closing Date, issue, incur or otherwise obtain Indebtedness of the Borrowers (and any Permitted Refinancing thereof) not to exceed the Incremental Cap, in each case,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and security with the Initial Term Loans or is unsecured and that is issued or made in lieu of Incremental Revolving Credit Commitments and/or Incremental Term Commitments (the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Incremental Equivalent Debt shall not be subject to any Guaranty by any Person other than a Credit Party, (ii) the obligations in respect thereof shall not be secured by any Lien on any asset of the Initial Borrower or any Restricted Subsidiary other than any asset constituting Collateral, (iii) no Event of Default shall have occurred and be continuing or would exist immediately after giving effect to such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proceeds of such Incremental Equivalent Debt are used to finance a Limited Condition Transaction, such condition shall only refer to no Event of Default at the time the definitive agreement for such Limited Condition Transaction is entered into or such irrevocable notice is given and, on the date of incurrence thereof, both immediately before and after giving effect thereto, no Specified Event of Default shall have occurred and be continuing or would result immediately therefrom, (iv) if secured, the security agreements and other collateral documents relating to such Incremental Equivalent Debt shall be substantially similar to the Collateral Documents (with such differences as are reasonably satisfactory to Administrative Agent), (v) if secured, such Incremental Equivalent Debt shall be subject to an Acceptable Intercreditor Agreement, (vi) such Incremental Equivalent Debt (other than (x) consisting of a customary bridge facility, so long as such customary bridge facility by its terms will automatically be converted into, or exchanged for, long-term Indebtedness that satisfies the requirements set forth in this clause (vi) and (y) Incremental Equivalent Debt incurred in reliance on the Inside Maturity Basket) shall have a final maturity date which is no earlier than the Maturity Date of the Initial Term Loans (or earlier than the 91st day after the Maturity Date of the Initial Term Loans for junior lien or unsecured Incremental Equivalent Debt) and a Weighted Average Life to Maturity which is equal to or greater than the Weighted Average Life to Maturity of the Initial Term Loans, (vii) such Incremental Equivalent Debt that is unsecured or junior in right of security to the Liens securing the Initial Term Loans shall share on a less than pro rata basis in connection with any mandatory prepayments or voluntary prepayment of the Initial Term Loans, (viii) any Incremental Equivalent Debt secured by the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Collateral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Initial Term Loans may participate (on not more than a pro rata basis) in any mandatory prepayments of the Term Facilities, (viii) the MFN Provision shall apply to any Incremental Equivalent Debt (as if such Incremental Equivalent Debt were a Class of Incremental Term Loans) that is (A) incurred in reliance on the Incremental Ratio Debt Basket on or prior to the date that is six (6) months after the Closing Date, (B) in the form of broadly syndicated term B loans denominated in Dollars and (C) </w:t>
      </w:r>
      <w:r>
        <w:rPr>
          <w:rFonts w:ascii="Times New Roman" w:cs="Times New Roman" w:eastAsia="Times New Roman" w:hAnsi="Times New Roman"/>
          <w:sz w:val="19"/>
          <w:szCs w:val="19"/>
          <w:i w:val="1"/>
          <w:iCs w:val="1"/>
          <w:color w:val="auto"/>
        </w:rPr>
        <w:t>pari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passu </w:t>
      </w:r>
      <w:r>
        <w:rPr>
          <w:rFonts w:ascii="Times New Roman" w:cs="Times New Roman" w:eastAsia="Times New Roman" w:hAnsi="Times New Roman"/>
          <w:sz w:val="19"/>
          <w:szCs w:val="19"/>
          <w:color w:val="auto"/>
        </w:rPr>
        <w:t>in right of payment and security with the Initial Term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MFN Adjustment shall not apply to any Incremental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Equivalent Debt that (1) is incurred to finance an acquisition or similar Investment or (2) matures later than twelve (12) months following the Maturity Date of the Initial Term Loans, and (ix) except as otherwise set forth in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such Incremental Equivalent Debt shall have terms and conditions (other than with respect to pricing, fees, rate floors and optional prepayment or redemption terms) substantially similar to, or (taken as a whole) no more favorable (as determined by the Borrower Representative in good faith) to the holders providing such Incremental Equivalent Debt, than those applicable to the Initial Term Loans (except for covenants or other provisions (a) if more favorable to the holders providing such Incremental Equivalent Debt, conformed (or added) in the Credit Documents, for the benefit of the Lenders holding Initial Term Loans, pursuant to an amendment thereto subject solely to the reasonable satisfaction of Administrative Agent or (b) applicable only to periods after the Latest Maturity Date at the time of the issuance or incurrence of such Incremental Equivalent Debt).</w:t>
      </w:r>
    </w:p>
    <w:p>
      <w:pPr>
        <w:spacing w:after="0" w:line="133" w:lineRule="exact"/>
        <w:rPr>
          <w:sz w:val="20"/>
          <w:szCs w:val="20"/>
          <w:color w:val="auto"/>
        </w:rPr>
      </w:pPr>
    </w:p>
    <w:p>
      <w:pPr>
        <w:jc w:val="both"/>
        <w:ind w:firstLine="1304"/>
        <w:spacing w:after="0" w:line="253" w:lineRule="auto"/>
        <w:tabs>
          <w:tab w:leader="none" w:pos="18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Loans made under each Term Loan Increase shall be made by the applicable Lenders participating therein pursuant to the procedures set forth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on the date of the making of such Incremental Term Loans, and notwithstanding anything to the contrary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to the contrary.</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b w:val="1"/>
          <w:bCs w:val="1"/>
          <w:color w:val="auto"/>
        </w:rPr>
        <w:t>Refinancing Amendment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4693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0" w:lineRule="auto"/>
        <w:tabs>
          <w:tab w:leader="none" w:pos="171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one or more occasions after the Closing Date, the Borrowers may obtain, from any Lender or any Additional Lender (provided that no Affiliated Lender may provide Refinancing Revolving Credit Commitments), Credit Agreement Refinancing Indebtedness in respect of all or any portion of the Term Loans and the Revolving Loans (or unused Revolving Credit Commitments) then outstanding under this Agreement, in the form of Refinancing Term Loans, Refinancing Term Commitments, Refinancing Revolving Credit Commitments or Refinancing Revolving Loans incurred under this Agreement pursuant to a Refinancing Amendment; provided that notwithstanding anything to the contrary in this Section 2.25 or otherwise, (1)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(3) below)) of Loans with respect to Refinancing Revolving Credit Commitments after the date of obtaining any Refinancing Revolving Credit Commitments shall be made on a pro rata basis with all other Revolving Credit Commitments, (2) Refinancing Revolving Credit Commitments 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Amendment, (3) the permanent repayment of Revolving Loans with respect to, and termination of, Refinancing Revolving Credit Commitments after the date of obtaining any Refinancing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Refinancing Revolving Credit Commitments and Refinancing Revolving Loans shall be governed by the same assignment and participation provisions applicable to Revolving Credit Commitments and Revolving Loans. No Lender shall be obligated to provide any Credit Agreement Refinancing Indebtedness. Any Affiliated Lender providing Refinancing Term Commitments and Refinancing Term Loans shall be subject to the same restrictions set forth in </w:t>
      </w:r>
      <w:r>
        <w:rPr>
          <w:rFonts w:ascii="Times New Roman" w:cs="Times New Roman" w:eastAsia="Times New Roman" w:hAnsi="Times New Roman"/>
          <w:sz w:val="20"/>
          <w:szCs w:val="20"/>
          <w:u w:val="single" w:color="auto"/>
          <w:color w:val="auto"/>
        </w:rPr>
        <w:t>Section 10.06(i)</w:t>
      </w:r>
      <w:r>
        <w:rPr>
          <w:rFonts w:ascii="Times New Roman" w:cs="Times New Roman" w:eastAsia="Times New Roman" w:hAnsi="Times New Roman"/>
          <w:sz w:val="20"/>
          <w:szCs w:val="20"/>
          <w:color w:val="auto"/>
        </w:rPr>
        <w:t xml:space="preserve"> as they would otherwise be subject to with respect to any purchased by or assignment to such Affiliated Lender of Initial Term Loans.</w:t>
      </w:r>
    </w:p>
    <w:p>
      <w:pPr>
        <w:spacing w:after="0" w:line="176" w:lineRule="exact"/>
        <w:rPr>
          <w:sz w:val="20"/>
          <w:szCs w:val="20"/>
          <w:color w:val="auto"/>
        </w:rPr>
      </w:pPr>
    </w:p>
    <w:p>
      <w:pPr>
        <w:ind w:firstLine="1304"/>
        <w:spacing w:after="0" w:line="283" w:lineRule="auto"/>
        <w:tabs>
          <w:tab w:leader="none" w:pos="176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issuance of Credit Agreement Refinancing Indebtedness under </w:t>
      </w:r>
      <w:r>
        <w:rPr>
          <w:rFonts w:ascii="Times New Roman" w:cs="Times New Roman" w:eastAsia="Times New Roman" w:hAnsi="Times New Roman"/>
          <w:sz w:val="20"/>
          <w:szCs w:val="20"/>
          <w:u w:val="single" w:color="auto"/>
          <w:color w:val="auto"/>
        </w:rPr>
        <w:t>Section 2.25(a)</w:t>
      </w:r>
      <w:r>
        <w:rPr>
          <w:rFonts w:ascii="Times New Roman" w:cs="Times New Roman" w:eastAsia="Times New Roman" w:hAnsi="Times New Roman"/>
          <w:sz w:val="20"/>
          <w:szCs w:val="20"/>
          <w:color w:val="auto"/>
        </w:rPr>
        <w:t xml:space="preserve"> shall be in an aggregate principal amount that is (x) not less than $1,000,000 and (y) an integral multiple of $500,000 in excess thereof.</w:t>
      </w:r>
    </w:p>
    <w:p>
      <w:pPr>
        <w:spacing w:after="0" w:line="15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2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agrees that this Agreement and the other Credit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Credit Documents consistent with the provisions and intent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(without the consent of the Required Lenders) and (iii) effect such other amendments to this Agreement and the other Credit Documents as may be necessary or appropriate, in the reasonable opinion of the Administrative Agent and the Borrowers, to effect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and the Required Lenders hereby expressly authorize the Administrative Agent to enter into any such Refinancing Amendment.</w:t>
      </w:r>
    </w:p>
    <w:p>
      <w:pPr>
        <w:spacing w:after="0" w:line="1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to the contrary.</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b w:val="1"/>
          <w:bCs w:val="1"/>
          <w:color w:val="auto"/>
        </w:rPr>
        <w:t>Extension of Term Loans; Extension of Revolving Loans and Revolving Commitments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4735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35195"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49" w:lineRule="auto"/>
        <w:tabs>
          <w:tab w:leader="none" w:pos="178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Term Loans</w:t>
      </w:r>
      <w:r>
        <w:rPr>
          <w:rFonts w:ascii="Times New Roman" w:cs="Times New Roman" w:eastAsia="Times New Roman" w:hAnsi="Times New Roman"/>
          <w:sz w:val="20"/>
          <w:szCs w:val="20"/>
          <w:color w:val="auto"/>
        </w:rPr>
        <w:t>. The Borrower Representative may at any time and from time to time request that all or a portion of the Term Loans of a given Class (an “</w:t>
      </w:r>
      <w:r>
        <w:rPr>
          <w:rFonts w:ascii="Times New Roman" w:cs="Times New Roman" w:eastAsia="Times New Roman" w:hAnsi="Times New Roman"/>
          <w:sz w:val="20"/>
          <w:szCs w:val="20"/>
          <w:u w:val="single" w:color="auto"/>
          <w:color w:val="auto"/>
        </w:rPr>
        <w:t>Existing Term Loan Tranche</w:t>
      </w:r>
      <w:r>
        <w:rPr>
          <w:rFonts w:ascii="Times New Roman" w:cs="Times New Roman" w:eastAsia="Times New Roman" w:hAnsi="Times New Roman"/>
          <w:sz w:val="20"/>
          <w:szCs w:val="20"/>
          <w:color w:val="auto"/>
        </w:rPr>
        <w:t>”) be converted or exchanged to extend the scheduled Maturity Date(s) with respect to the Term Loans of such Existing Term Loan Tranche (any such Term Loans which have been so extended, “</w:t>
      </w:r>
      <w:r>
        <w:rPr>
          <w:rFonts w:ascii="Times New Roman" w:cs="Times New Roman" w:eastAsia="Times New Roman" w:hAnsi="Times New Roman"/>
          <w:sz w:val="20"/>
          <w:szCs w:val="20"/>
          <w:u w:val="single" w:color="auto"/>
          <w:color w:val="auto"/>
        </w:rPr>
        <w:t>Extended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and to provide for other terms consistent with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Times New Roman" w:cs="Times New Roman" w:eastAsia="Times New Roman" w:hAnsi="Times New Roman"/>
          <w:sz w:val="20"/>
          <w:szCs w:val="20"/>
          <w:u w:val="single" w:color="auto"/>
          <w:color w:val="auto"/>
        </w:rPr>
        <w:t>Term Loan Extension Request</w:t>
      </w:r>
      <w:r>
        <w:rPr>
          <w:rFonts w:ascii="Times New Roman" w:cs="Times New Roman" w:eastAsia="Times New Roman" w:hAnsi="Times New Roman"/>
          <w:sz w:val="20"/>
          <w:szCs w:val="20"/>
          <w:color w:val="auto"/>
        </w:rPr>
        <w:t>”)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Loan Tranche, to the extent provided in the applicable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Representative and the Lenders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Extended Term Loans may be optionally prepaid prior to the Maturity Date of the Initial Term Loans, unless such optional prepayment is accompanied by a pro rata optional prepayment of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Maturity Date of the Existing Term Loan Tranche, (C) the Weighted Average Life to Maturity of any Extended Term Loans of a given Term Loan Extension Series at the time of establishment thereof shall be no shorter than the shorter of (x) the remaining Weighted Average Life to Maturity of the Existing Term Loan Tranche and (y) the remaining Weighted Average Life to Maturity of any then-existing Term Loans, (D) all documentation in respect of such Extension Amendment shall be consistent with the foregoing and (E) any Extended Term Loans may participate on a pro rata basis or less than a pro rata basis (if such Lenders agree to participate on a less than pro rata basis) in any voluntary repayments or prepayments of principal of Term Loans hereunder and on a pro rata basis or less than a pro rata basis (but not greater than a pro rata basis )(if such Lenders agree to participate on a less than pro rata basis), in any mandatory repayments or prepayments of Term Loans hereunder, in each case as specified in the respective Term Loan Extension Request. Any Extended Term Loans amended pursuant to any Term Loan Extension Request shall be designated a series (each, a “</w:t>
      </w:r>
      <w:r>
        <w:rPr>
          <w:rFonts w:ascii="Times New Roman" w:cs="Times New Roman" w:eastAsia="Times New Roman" w:hAnsi="Times New Roman"/>
          <w:sz w:val="20"/>
          <w:szCs w:val="20"/>
          <w:u w:val="single" w:color="auto"/>
          <w:color w:val="auto"/>
        </w:rPr>
        <w:t>Term Loan Extension Series</w:t>
      </w:r>
      <w:r>
        <w:rPr>
          <w:rFonts w:ascii="Times New Roman" w:cs="Times New Roman" w:eastAsia="Times New Roman" w:hAnsi="Times New Roman"/>
          <w:sz w:val="20"/>
          <w:szCs w:val="20"/>
          <w:color w:val="auto"/>
        </w:rPr>
        <w:t xml:space="preserve">”) of Extended Term Loans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shall be in an aggregate principal amount that is not less than $10,000,000 (it being understood that the actual principal amount thereof provided by the applicable Lenders may be lower than such minimum amount).</w:t>
      </w:r>
    </w:p>
    <w:p>
      <w:pPr>
        <w:spacing w:after="0" w:line="128" w:lineRule="exact"/>
        <w:rPr>
          <w:sz w:val="20"/>
          <w:szCs w:val="20"/>
          <w:color w:val="auto"/>
        </w:rPr>
      </w:pPr>
    </w:p>
    <w:p>
      <w:pPr>
        <w:jc w:val="both"/>
        <w:ind w:firstLine="1304"/>
        <w:spacing w:after="0" w:line="252" w:lineRule="auto"/>
        <w:tabs>
          <w:tab w:leader="none" w:pos="177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Revolving Commitments</w:t>
      </w:r>
      <w:r>
        <w:rPr>
          <w:rFonts w:ascii="Times New Roman" w:cs="Times New Roman" w:eastAsia="Times New Roman" w:hAnsi="Times New Roman"/>
          <w:sz w:val="20"/>
          <w:szCs w:val="20"/>
          <w:color w:val="auto"/>
        </w:rPr>
        <w:t>. The Borrower Representative may at any time and from time to time request that all or a portion of the Revolving Commitments of a given Class (each, an “</w:t>
      </w:r>
      <w:r>
        <w:rPr>
          <w:rFonts w:ascii="Times New Roman" w:cs="Times New Roman" w:eastAsia="Times New Roman" w:hAnsi="Times New Roman"/>
          <w:sz w:val="20"/>
          <w:szCs w:val="20"/>
          <w:u w:val="single" w:color="auto"/>
          <w:color w:val="auto"/>
        </w:rPr>
        <w:t>Existing Revolver Tranche</w:t>
      </w:r>
      <w:r>
        <w:rPr>
          <w:rFonts w:ascii="Times New Roman" w:cs="Times New Roman" w:eastAsia="Times New Roman" w:hAnsi="Times New Roman"/>
          <w:sz w:val="20"/>
          <w:szCs w:val="20"/>
          <w:color w:val="auto"/>
        </w:rPr>
        <w:t>”) be converted or exchanged to extend the Maturity Date with respect to all or a portion of any such Revolving Commitments (any such Revolving Commitments which have been so extended, “</w:t>
      </w:r>
      <w:r>
        <w:rPr>
          <w:rFonts w:ascii="Times New Roman" w:cs="Times New Roman" w:eastAsia="Times New Roman" w:hAnsi="Times New Roman"/>
          <w:sz w:val="20"/>
          <w:szCs w:val="20"/>
          <w:u w:val="single" w:color="auto"/>
          <w:color w:val="auto"/>
        </w:rPr>
        <w:t>Extended Revolving Credit Commitments</w:t>
      </w:r>
      <w:r>
        <w:rPr>
          <w:rFonts w:ascii="Times New Roman" w:cs="Times New Roman" w:eastAsia="Times New Roman" w:hAnsi="Times New Roman"/>
          <w:sz w:val="20"/>
          <w:szCs w:val="20"/>
          <w:color w:val="auto"/>
        </w:rPr>
        <w:t>” and the Revolving Loans thereunder, “</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xml:space="preserve">”) and to provide for other terms consistent with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Times New Roman" w:cs="Times New Roman" w:eastAsia="Times New Roman" w:hAnsi="Times New Roman"/>
          <w:sz w:val="20"/>
          <w:szCs w:val="20"/>
          <w:u w:val="single" w:color="auto"/>
          <w:color w:val="auto"/>
        </w:rPr>
        <w:t>Revolver Extension Request</w:t>
      </w:r>
      <w:r>
        <w:rPr>
          <w:rFonts w:ascii="Times New Roman" w:cs="Times New Roman" w:eastAsia="Times New Roman" w:hAnsi="Times New Roman"/>
          <w:sz w:val="20"/>
          <w:szCs w:val="20"/>
          <w:color w:val="auto"/>
        </w:rPr>
        <w:t>”)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 no Event of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Maturity Date of the Existing Revolver Tranche and (C) all documentation in respect of such Extension Amendment shall be consistent with the foregoing. Any Extended Revolving Credit Commitments amended pursuant to any Revolver Extension Request shall be designated a series (each, a “</w:t>
      </w:r>
      <w:r>
        <w:rPr>
          <w:rFonts w:ascii="Times New Roman" w:cs="Times New Roman" w:eastAsia="Times New Roman" w:hAnsi="Times New Roman"/>
          <w:sz w:val="20"/>
          <w:szCs w:val="20"/>
          <w:u w:val="single" w:color="auto"/>
          <w:color w:val="auto"/>
        </w:rPr>
        <w:t>Revolver Extension Series</w:t>
      </w:r>
      <w:r>
        <w:rPr>
          <w:rFonts w:ascii="Times New Roman" w:cs="Times New Roman" w:eastAsia="Times New Roman" w:hAnsi="Times New Roman"/>
          <w:sz w:val="20"/>
          <w:szCs w:val="20"/>
          <w:color w:val="auto"/>
        </w:rPr>
        <w:t xml:space="preserve">”) of Extended Revolving Credit Commitments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shall be in an aggregate principal amount that is not less than $5,000,000 (it being understood that the actual principal amount thereof provided by the applicable Lenders may be lower than such minimum amount).</w:t>
      </w:r>
    </w:p>
    <w:p>
      <w:pPr>
        <w:spacing w:after="0" w:line="133" w:lineRule="exact"/>
        <w:rPr>
          <w:sz w:val="20"/>
          <w:szCs w:val="20"/>
          <w:color w:val="auto"/>
        </w:rPr>
      </w:pPr>
    </w:p>
    <w:p>
      <w:pPr>
        <w:jc w:val="both"/>
        <w:ind w:firstLine="1304"/>
        <w:spacing w:after="0" w:line="265" w:lineRule="auto"/>
        <w:tabs>
          <w:tab w:leader="none" w:pos="183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 Request</w:t>
      </w:r>
      <w:r>
        <w:rPr>
          <w:rFonts w:ascii="Times New Roman" w:cs="Times New Roman" w:eastAsia="Times New Roman" w:hAnsi="Times New Roman"/>
          <w:sz w:val="19"/>
          <w:szCs w:val="19"/>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Times New Roman" w:cs="Times New Roman" w:eastAsia="Times New Roman" w:hAnsi="Times New Roman"/>
          <w:sz w:val="19"/>
          <w:szCs w:val="19"/>
          <w:u w:val="single" w:color="auto"/>
          <w:color w:val="auto"/>
        </w:rPr>
        <w:t>Extending Term Lender</w:t>
      </w:r>
      <w:r>
        <w:rPr>
          <w:rFonts w:ascii="Times New Roman" w:cs="Times New Roman" w:eastAsia="Times New Roman" w:hAnsi="Times New Roman"/>
          <w:sz w:val="19"/>
          <w:szCs w:val="19"/>
          <w:color w:val="auto"/>
        </w:rPr>
        <w:t>”) wishing to have all or a portion of its Term Loans under the Existing Term Loan Tranche subject to such Extension Request amended into Extended Term Loans and any Revolving Credit Lender (each, an “</w:t>
      </w:r>
      <w:r>
        <w:rPr>
          <w:rFonts w:ascii="Times New Roman" w:cs="Times New Roman" w:eastAsia="Times New Roman" w:hAnsi="Times New Roman"/>
          <w:sz w:val="19"/>
          <w:szCs w:val="19"/>
          <w:u w:val="single" w:color="auto"/>
          <w:color w:val="auto"/>
        </w:rPr>
        <w:t>Extending Revolving Credit Lender</w:t>
      </w:r>
      <w:r>
        <w:rPr>
          <w:rFonts w:ascii="Times New Roman" w:cs="Times New Roman" w:eastAsia="Times New Roman" w:hAnsi="Times New Roman"/>
          <w:sz w:val="19"/>
          <w:szCs w:val="19"/>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Times New Roman" w:cs="Times New Roman" w:eastAsia="Times New Roman" w:hAnsi="Times New Roman"/>
          <w:sz w:val="19"/>
          <w:szCs w:val="19"/>
          <w:u w:val="single" w:color="auto"/>
          <w:color w:val="auto"/>
        </w:rPr>
        <w:t>Extension Election</w:t>
      </w:r>
      <w:r>
        <w:rPr>
          <w:rFonts w:ascii="Times New Roman" w:cs="Times New Roman" w:eastAsia="Times New Roman" w:hAnsi="Times New Roman"/>
          <w:sz w:val="19"/>
          <w:szCs w:val="19"/>
          <w:color w:val="auto"/>
        </w:rPr>
        <w:t>”) on or prior to the date specified in such Extension Request of the amount of its Term Loans under the Existing Term Loan Tranche or Revolving Commitments under the Existing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52" w:lineRule="auto"/>
        <w:rPr>
          <w:sz w:val="20"/>
          <w:szCs w:val="20"/>
          <w:color w:val="auto"/>
        </w:rPr>
      </w:pPr>
      <w:r>
        <w:rPr>
          <w:rFonts w:ascii="Times New Roman" w:cs="Times New Roman" w:eastAsia="Times New Roman" w:hAnsi="Times New Roman"/>
          <w:sz w:val="20"/>
          <w:szCs w:val="20"/>
          <w:color w:val="auto"/>
        </w:rPr>
        <w:t>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122" w:lineRule="exact"/>
        <w:rPr>
          <w:sz w:val="20"/>
          <w:szCs w:val="20"/>
          <w:color w:val="auto"/>
        </w:rPr>
      </w:pPr>
    </w:p>
    <w:p>
      <w:pPr>
        <w:jc w:val="both"/>
        <w:ind w:firstLine="1304"/>
        <w:spacing w:after="0" w:line="249" w:lineRule="auto"/>
        <w:tabs>
          <w:tab w:leader="none" w:pos="184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Extended Term Loans and Extended Revolving Credit Commitments shall be established pursuant to an amendment (each, a “</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to this Agreement among the Borrowers, Administrative Agent (to the extent such consent, if any, of the Administrative Agent would be required under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 each Extending Term Lender or Extending Revolving Credit Lender, as applicable, providing an Extended Term Loan or Extended Revolving Credit Commitment, as applicable, thereunder, which shall be consistent with the provisions set forth in </w:t>
      </w:r>
      <w:r>
        <w:rPr>
          <w:rFonts w:ascii="Times New Roman" w:cs="Times New Roman" w:eastAsia="Times New Roman" w:hAnsi="Times New Roman"/>
          <w:sz w:val="20"/>
          <w:szCs w:val="20"/>
          <w:u w:val="single" w:color="auto"/>
          <w:color w:val="auto"/>
        </w:rPr>
        <w:t>Sections 2.26(a)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substantially consistent with those delivered on the Closing Date (conformed as appropriate)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(iii) modify the prepayments set forth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and the Requisite Lenders hereby expressly authorize Administrative Agent to enter into any such Extension Amendment.</w:t>
      </w:r>
    </w:p>
    <w:p>
      <w:pPr>
        <w:spacing w:after="0" w:line="137" w:lineRule="exact"/>
        <w:rPr>
          <w:rFonts w:ascii="Times New Roman" w:cs="Times New Roman" w:eastAsia="Times New Roman" w:hAnsi="Times New Roman"/>
          <w:sz w:val="20"/>
          <w:szCs w:val="20"/>
          <w:color w:val="auto"/>
        </w:rPr>
      </w:pPr>
    </w:p>
    <w:p>
      <w:pPr>
        <w:ind w:firstLine="1304"/>
        <w:spacing w:after="0" w:line="283" w:lineRule="auto"/>
        <w:tabs>
          <w:tab w:leader="none" w:pos="174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conversion or exchange of Loans pursuant to any Extension in accordance with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shall constitute a voluntary or mandatory payment or prepayment for purposes of this Agreement.</w:t>
      </w:r>
    </w:p>
    <w:p>
      <w:pPr>
        <w:spacing w:after="0" w:line="105" w:lineRule="exact"/>
        <w:rPr>
          <w:rFonts w:ascii="Times New Roman" w:cs="Times New Roman" w:eastAsia="Times New Roman" w:hAnsi="Times New Roman"/>
          <w:sz w:val="20"/>
          <w:szCs w:val="20"/>
          <w:color w:val="auto"/>
        </w:rPr>
      </w:pPr>
    </w:p>
    <w:p>
      <w:pPr>
        <w:ind w:firstLine="1304"/>
        <w:spacing w:after="0" w:line="269" w:lineRule="auto"/>
        <w:tabs>
          <w:tab w:leader="none" w:pos="18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to the contrary;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shall require any Lender to provide any Extension without such Lender’s consent.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240"/>
          </w:cols>
          <w:pgMar w:left="320" w:top="1413" w:right="339" w:bottom="1440" w:gutter="0" w:footer="0" w:header="0"/>
        </w:sectPr>
      </w:pPr>
    </w:p>
    <w:bookmarkStart w:id="143" w:name="page144"/>
    <w:bookmarkEnd w:id="143"/>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b w:val="1"/>
          <w:bCs w:val="1"/>
          <w:color w:val="auto"/>
        </w:rPr>
        <w:t>Inability to Determine Interest Rates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098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8040" cy="8255"/>
                    </a:xfrm>
                    <a:prstGeom prst="rect">
                      <a:avLst/>
                    </a:prstGeom>
                    <a:noFill/>
                  </pic:spPr>
                </pic:pic>
              </a:graphicData>
            </a:graphic>
          </wp:anchor>
        </w:drawing>
      </w:r>
    </w:p>
    <w:p>
      <w:pPr>
        <w:spacing w:after="0" w:line="159"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paragraphs (b) through (f) below, if, prior to the commencement of any Interest Period for any SOFR Borrowing:</w:t>
      </w:r>
    </w:p>
    <w:p>
      <w:pPr>
        <w:spacing w:after="0" w:line="161" w:lineRule="exact"/>
        <w:rPr>
          <w:rFonts w:ascii="Times New Roman" w:cs="Times New Roman" w:eastAsia="Times New Roman" w:hAnsi="Times New Roman"/>
          <w:sz w:val="20"/>
          <w:szCs w:val="20"/>
          <w:color w:val="auto"/>
        </w:rPr>
      </w:pPr>
    </w:p>
    <w:p>
      <w:pPr>
        <w:ind w:right="20" w:firstLine="1952"/>
        <w:spacing w:after="0" w:line="283" w:lineRule="auto"/>
        <w:tabs>
          <w:tab w:leader="none" w:pos="2344"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determined (which determination shall be conclusive and binding upon the Borrower absent manifest error) that “Term SOFR” cannot be determined pursuant to the definition thereof, or</w:t>
      </w:r>
    </w:p>
    <w:p>
      <w:pPr>
        <w:spacing w:after="0" w:line="92" w:lineRule="exact"/>
        <w:rPr>
          <w:rFonts w:ascii="Times New Roman" w:cs="Times New Roman" w:eastAsia="Times New Roman" w:hAnsi="Times New Roman"/>
          <w:sz w:val="20"/>
          <w:szCs w:val="20"/>
          <w:color w:val="auto"/>
        </w:rPr>
      </w:pPr>
    </w:p>
    <w:p>
      <w:pPr>
        <w:jc w:val="both"/>
        <w:ind w:firstLine="1952"/>
        <w:spacing w:after="0" w:line="268" w:lineRule="auto"/>
        <w:tabs>
          <w:tab w:leader="none" w:pos="2489"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notice from the Required Lenders that Term SOFR for such Interest Period will not adequately and fairly reflect the cost to such Lenders of making, funding or maintaining their SOFR Loans for such Interest Period,</w:t>
      </w:r>
    </w:p>
    <w:p>
      <w:pPr>
        <w:spacing w:after="0" w:line="1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then, in each case, the Administrative Agent shall give written notice thereof (or telephonic notice, promptly confirmed in writing) to the Borrower Representative and to the Lenders as soon as practicable thereafter.</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Upon notice thereof by the Administrative Agent to the Borrower Representative,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Representative may revoke any pending request for a borrowing of, conversion to or continuation of SOFR Loans (to the extent of the affected SOFR Loans or affected Interest Periods) or, failing that, the Borrower Representative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2.17(c). Subject to paragraphs (b) through (f) below,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20"/>
          <w:szCs w:val="20"/>
          <w:u w:val="single" w:color="auto"/>
          <w:color w:val="auto"/>
        </w:rPr>
        <w:t>clause</w:t>
      </w:r>
    </w:p>
    <w:p>
      <w:pPr>
        <w:spacing w:after="0" w:line="10" w:lineRule="exact"/>
        <w:rPr>
          <w:sz w:val="20"/>
          <w:szCs w:val="20"/>
          <w:color w:val="auto"/>
        </w:rPr>
      </w:pPr>
    </w:p>
    <w:p>
      <w:pPr>
        <w:ind w:left="360" w:hanging="352"/>
        <w:spacing w:after="0"/>
        <w:tabs>
          <w:tab w:leader="none" w:pos="360" w:val="left"/>
        </w:tabs>
        <w:numPr>
          <w:ilvl w:val="0"/>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“Base Rate” until the Administrative Agent revokes such determination.</w:t>
      </w:r>
    </w:p>
    <w:p>
      <w:pPr>
        <w:spacing w:after="0" w:line="227" w:lineRule="exact"/>
        <w:rPr>
          <w:rFonts w:ascii="Times New Roman" w:cs="Times New Roman" w:eastAsia="Times New Roman" w:hAnsi="Times New Roman"/>
          <w:sz w:val="20"/>
          <w:szCs w:val="20"/>
          <w:u w:val="single" w:color="auto"/>
          <w:color w:val="auto"/>
        </w:rPr>
      </w:pPr>
    </w:p>
    <w:p>
      <w:pPr>
        <w:ind w:left="1740" w:hanging="436"/>
        <w:spacing w:after="0"/>
        <w:tabs>
          <w:tab w:leader="none" w:pos="17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92" w:val="left"/>
        </w:tabs>
        <w:numPr>
          <w:ilvl w:val="2"/>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if a Benchmark Transition Event and its related Benchmark Replacement Date have occurred prior to any setting of the then-current Benchmark, then such Benchmark Replacement will replace such Benchmark for all purposes hereunder and under any Credit Document in respect of any Benchmark setting at or after 5:00 p.m.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125"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2"/>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swap agreement shall be deemed to be a “Credit Document” for purposes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240"/>
          </w:cols>
          <w:pgMar w:left="320" w:top="1409" w:right="339" w:bottom="1440" w:gutter="0" w:footer="0" w:header="0"/>
        </w:sectPr>
      </w:pPr>
    </w:p>
    <w:bookmarkStart w:id="144" w:name="page145"/>
    <w:bookmarkEnd w:id="144"/>
    <w:p>
      <w:pPr>
        <w:jc w:val="both"/>
        <w:ind w:firstLine="1304"/>
        <w:spacing w:after="0" w:line="258" w:lineRule="auto"/>
        <w:tabs>
          <w:tab w:leader="none" w:pos="171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1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0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Representative and the Lenders of (i) the implementation of any Benchmark Replacement and (ii) the effectiveness of any Conforming Changes in connection with the use, administration, adoption or implementation of a Benchmark Replacement. The Administrative Agent will promptly notify the Borrower Representative of (x) the removal or reinstatement of any tenor of a Benchmark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2.27(e)</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7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xml:space="preserve">.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24"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7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 Representative’s receipt of notice of the commencement of a Benchmark Unavailability Period, (i) the Borrower Representative may revoke any pending request for a SOFR Borrowing of, conversion to or continuation of SOFR Loans to be made, converted or continued during any Benchmark Unavailability Period and, failing that, the Borrower Representative will be deemed to have converted any such request into a request for a Borrowing of or conversion to Base Rate Loans and (ii) any outstanding affected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240"/>
          </w:cols>
          <w:pgMar w:left="320" w:top="1413" w:right="339" w:bottom="1440" w:gutter="0" w:footer="0" w:header="0"/>
        </w:sectPr>
      </w:pPr>
    </w:p>
    <w:bookmarkStart w:id="145" w:name="page146"/>
    <w:bookmarkEnd w:id="145"/>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Conditions Precedent</w:t>
      </w:r>
    </w:p>
    <w:p>
      <w:pPr>
        <w:spacing w:after="0" w:line="175"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b w:val="1"/>
          <w:bCs w:val="1"/>
          <w:color w:val="auto"/>
        </w:rPr>
        <w:t>Conditions to Initial Credit Extension</w:t>
      </w:r>
      <w:r>
        <w:rPr>
          <w:rFonts w:ascii="Times New Roman" w:cs="Times New Roman" w:eastAsia="Times New Roman" w:hAnsi="Times New Roman"/>
          <w:sz w:val="20"/>
          <w:szCs w:val="20"/>
          <w:color w:val="auto"/>
        </w:rPr>
        <w:t xml:space="preserve">. The obligation of each Lender to make a Credit Extension on the Closing Date is subject to the satisfaction, or waiver in accordance with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of the following conditions precedent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2225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95" w:lineRule="exact"/>
        <w:rPr>
          <w:sz w:val="20"/>
          <w:szCs w:val="20"/>
          <w:color w:val="auto"/>
        </w:rPr>
      </w:pPr>
    </w:p>
    <w:p>
      <w:pPr>
        <w:jc w:val="both"/>
        <w:ind w:left="660" w:firstLine="644"/>
        <w:spacing w:after="0" w:line="258" w:lineRule="auto"/>
        <w:tabs>
          <w:tab w:leader="none" w:pos="180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There shall have been delivered to Administrative Agent (i) from the Borrowers and each other Credit Party, an executed counterpart of this Agreement and each Credit Document to which each is a party to be entered into on the Closing Date, (ii) from PRTH an executed counterpart of the PRTH Pledge Agreement and (iii) from each other party to this Agreement, an executed counterpart of this Agreement.</w:t>
      </w:r>
    </w:p>
    <w:p>
      <w:pPr>
        <w:spacing w:after="0" w:line="118" w:lineRule="exact"/>
        <w:rPr>
          <w:rFonts w:ascii="Times New Roman" w:cs="Times New Roman" w:eastAsia="Times New Roman" w:hAnsi="Times New Roman"/>
          <w:sz w:val="20"/>
          <w:szCs w:val="20"/>
          <w:color w:val="auto"/>
        </w:rPr>
      </w:pPr>
    </w:p>
    <w:p>
      <w:pPr>
        <w:ind w:left="660" w:firstLine="644"/>
        <w:spacing w:after="0" w:line="283" w:lineRule="auto"/>
        <w:tabs>
          <w:tab w:leader="none" w:pos="181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Administrative Agent shall have received a Note or Notes duly executed by the Borrowers in favor of each Lender requesting the same at least two (2) Business Days prior to the Closing Date.</w:t>
      </w:r>
    </w:p>
    <w:p>
      <w:pPr>
        <w:spacing w:after="0" w:line="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Documents</w:t>
      </w:r>
      <w:r>
        <w:rPr>
          <w:rFonts w:ascii="Times New Roman" w:cs="Times New Roman" w:eastAsia="Times New Roman" w:hAnsi="Times New Roman"/>
          <w:sz w:val="20"/>
          <w:szCs w:val="20"/>
          <w:color w:val="auto"/>
        </w:rPr>
        <w:t>. Administrative Agent shall have received:</w:t>
      </w:r>
    </w:p>
    <w:p>
      <w:pPr>
        <w:spacing w:after="0" w:line="17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33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the president, secretary or corporate secretary on behalf of PRTH and each Credit Party dated the Closing Date, certifying (A) that attached thereto is a copy of each Organizational Document of PRTH and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PRTH or such Credit Party (together with a certification by another officer or authorized Person as to the signature and incumbency of the Person executing the certificate in this </w:t>
      </w:r>
      <w:r>
        <w:rPr>
          <w:rFonts w:ascii="Times New Roman" w:cs="Times New Roman" w:eastAsia="Times New Roman" w:hAnsi="Times New Roman"/>
          <w:sz w:val="20"/>
          <w:szCs w:val="20"/>
          <w:u w:val="single" w:color="auto"/>
          <w:color w:val="auto"/>
        </w:rPr>
        <w:t>clause (c)(i)</w:t>
      </w:r>
      <w:r>
        <w:rPr>
          <w:rFonts w:ascii="Times New Roman" w:cs="Times New Roman" w:eastAsia="Times New Roman" w:hAnsi="Times New Roman"/>
          <w:sz w:val="20"/>
          <w:szCs w:val="20"/>
          <w:color w:val="auto"/>
        </w:rPr>
        <w:t>); (C) that attached thereto is a true and complete copy of resolutions of the board of directors or similar governing body of PRTH and each Credit Party approving and authorizing the execution, delivery and performance of this Agreement and the other Credit Documents to which PRTH and such Credit Party is a party or by which it or its assets may be bound as of the Closing Date, certified as of the Closing Date by its president, secretary or corporate secretary as being in full force and effect without modification, rescission or amendment; and (D) a good standing certificate (or certificate of similar effect or purpose) from the applicable Governmental Authority of PRTH's and each Credit Party’s jurisdiction of incorporation, organization or formation; and</w:t>
      </w:r>
    </w:p>
    <w:p>
      <w:pPr>
        <w:spacing w:after="0" w:line="147"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“bring down” good standing certificate dated as of the Closing Date, as reasonably required by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75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PRTH and each Credit Party, in each case, party thereto, together with evidence satisfactory to Collateral Agent of the compliance by PRTH and each Credit Party of their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240"/>
          </w:cols>
          <w:pgMar w:left="320" w:top="140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evidencing the pledged Indebtedness endorsed in blank) and receipt of duly executed payoff and related documentation;</w:t>
      </w:r>
    </w:p>
    <w:p>
      <w:pPr>
        <w:spacing w:after="0" w:line="175" w:lineRule="exact"/>
        <w:rPr>
          <w:sz w:val="20"/>
          <w:szCs w:val="20"/>
          <w:color w:val="auto"/>
        </w:rPr>
      </w:pPr>
    </w:p>
    <w:p>
      <w:pPr>
        <w:jc w:val="both"/>
        <w:ind w:firstLine="644"/>
        <w:spacing w:after="0" w:line="251" w:lineRule="auto"/>
        <w:tabs>
          <w:tab w:leader="none" w:pos="109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Collateral Agent shall have received (i) the results of recent and customary UCC searches, tax and judgment lien searches, bankruptcy and pending lawsuit searches or equivalent reports or searches listing all effective lien notices or comparable documents with respect to PRTH and each Credit Party and that are filed in the state and county jurisdictions in which PRTH and any Credit Party is organized or maintains its principal place of business, by a Person satisfactory to Collateral Agent,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127" w:lineRule="exact"/>
        <w:rPr>
          <w:rFonts w:ascii="Times New Roman" w:cs="Times New Roman" w:eastAsia="Times New Roman" w:hAnsi="Times New Roman"/>
          <w:sz w:val="20"/>
          <w:szCs w:val="20"/>
          <w:color w:val="auto"/>
        </w:rPr>
      </w:pPr>
    </w:p>
    <w:p>
      <w:pPr>
        <w:ind w:left="1040" w:hanging="396"/>
        <w:spacing w:after="0"/>
        <w:tabs>
          <w:tab w:leader="none" w:pos="10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Lenders shall have received from Borrower Representative the Historical Financial Statements.</w:t>
      </w:r>
    </w:p>
    <w:p>
      <w:pPr>
        <w:spacing w:after="0" w:line="175" w:lineRule="exact"/>
        <w:rPr>
          <w:rFonts w:ascii="Times New Roman" w:cs="Times New Roman" w:eastAsia="Times New Roman" w:hAnsi="Times New Roman"/>
          <w:sz w:val="20"/>
          <w:szCs w:val="20"/>
          <w:color w:val="auto"/>
        </w:rPr>
      </w:pPr>
    </w:p>
    <w:p>
      <w:pPr>
        <w:jc w:val="both"/>
        <w:ind w:firstLine="644"/>
        <w:spacing w:after="0" w:line="253" w:lineRule="auto"/>
        <w:tabs>
          <w:tab w:leader="none" w:pos="110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 to Credit Parties</w:t>
      </w:r>
      <w:r>
        <w:rPr>
          <w:rFonts w:ascii="Times New Roman" w:cs="Times New Roman" w:eastAsia="Times New Roman" w:hAnsi="Times New Roman"/>
          <w:sz w:val="20"/>
          <w:szCs w:val="20"/>
          <w:color w:val="auto"/>
        </w:rPr>
        <w:t>. Administrative Agent shall have received, on behalf of itself, Collateral Agent, the Swing Line Lender, the Issuing Bank and the Lenders, a customary opinion of Jones Day, special counsel for the Credit Parties, dated as of the Closing Date and addressed to each Agent, the Swing Line Lender, the Issuing Bank and each Lender, in form and substance reasonably satisfactory to Administrative Agent and covering matters concerning PRTH and Credit Parties and the Credit Documents as Administrative Agent may reasonably request (and as PRTH and each Credit Party hereby instructs such counsel to deliver such opinions to Agent and Lenders).</w:t>
      </w:r>
    </w:p>
    <w:p>
      <w:pPr>
        <w:spacing w:after="0" w:line="138" w:lineRule="exact"/>
        <w:rPr>
          <w:rFonts w:ascii="Times New Roman" w:cs="Times New Roman" w:eastAsia="Times New Roman" w:hAnsi="Times New Roman"/>
          <w:sz w:val="20"/>
          <w:szCs w:val="20"/>
          <w:color w:val="auto"/>
        </w:rPr>
      </w:pPr>
    </w:p>
    <w:p>
      <w:pPr>
        <w:jc w:val="both"/>
        <w:ind w:firstLine="644"/>
        <w:spacing w:after="0" w:line="251" w:lineRule="auto"/>
        <w:tabs>
          <w:tab w:leader="none" w:pos="113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The Lead Arrangers,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on or prior to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invoice for all such reimbursed fees and expenses shall be received by the Borrower Representative at least two (2) Business Days prior to the Closing Date.</w:t>
      </w:r>
    </w:p>
    <w:p>
      <w:pPr>
        <w:spacing w:after="0" w:line="136" w:lineRule="exact"/>
        <w:rPr>
          <w:rFonts w:ascii="Times New Roman" w:cs="Times New Roman" w:eastAsia="Times New Roman" w:hAnsi="Times New Roman"/>
          <w:sz w:val="20"/>
          <w:szCs w:val="20"/>
          <w:color w:val="auto"/>
        </w:rPr>
      </w:pPr>
    </w:p>
    <w:p>
      <w:pPr>
        <w:ind w:firstLine="644"/>
        <w:spacing w:after="0" w:line="283" w:lineRule="auto"/>
        <w:tabs>
          <w:tab w:leader="none" w:pos="104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Administrative Agent shall have received a Solvency Certificate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xml:space="preserve"> dated as of the Closing Date and signed by an Authorized Officer of the Initial Borrower.</w:t>
      </w:r>
    </w:p>
    <w:p>
      <w:pPr>
        <w:spacing w:after="0" w:line="92" w:lineRule="exact"/>
        <w:rPr>
          <w:rFonts w:ascii="Times New Roman" w:cs="Times New Roman" w:eastAsia="Times New Roman" w:hAnsi="Times New Roman"/>
          <w:sz w:val="20"/>
          <w:szCs w:val="20"/>
          <w:color w:val="auto"/>
        </w:rPr>
      </w:pPr>
    </w:p>
    <w:p>
      <w:pPr>
        <w:jc w:val="both"/>
        <w:ind w:firstLine="644"/>
        <w:spacing w:after="0" w:line="261" w:lineRule="auto"/>
        <w:tabs>
          <w:tab w:leader="none" w:pos="103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Each Credit Party shall have delivered to Administrative Agent an originally executed Closing Date Certificate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dated the Closing Date and signed by such Credit Party, as applicable, and in form, scope and substance reasonably satisfactory to Administrative Agent, together with all attachments thereto.</w:t>
      </w:r>
    </w:p>
    <w:p>
      <w:pPr>
        <w:spacing w:after="0" w:line="127" w:lineRule="exact"/>
        <w:rPr>
          <w:rFonts w:ascii="Times New Roman" w:cs="Times New Roman" w:eastAsia="Times New Roman" w:hAnsi="Times New Roman"/>
          <w:sz w:val="20"/>
          <w:szCs w:val="20"/>
          <w:color w:val="auto"/>
        </w:rPr>
      </w:pPr>
    </w:p>
    <w:p>
      <w:pPr>
        <w:jc w:val="both"/>
        <w:ind w:firstLine="644"/>
        <w:spacing w:after="0" w:line="258" w:lineRule="auto"/>
        <w:tabs>
          <w:tab w:leader="none" w:pos="115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Administrative Agent shall have received, at least three (3) Business Days prior to the Closing Date, (i) all documentation and other information concerning the Initial Borrower and the Guarantors as has been reasonably requested by the Administrative Agent or a Lender in writing at least ten (10) Business Days prior to the Closing Date that it reasonably determines is required by regulatory authorities under applicable “know your</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580"/>
          </w:cols>
          <w:pgMar w:left="980" w:top="1413" w:right="339" w:bottom="1440" w:gutter="0" w:footer="0" w:header="0"/>
        </w:sectPr>
      </w:pPr>
    </w:p>
    <w:bookmarkStart w:id="147" w:name="page148"/>
    <w:bookmarkEnd w:id="147"/>
    <w:p>
      <w:pPr>
        <w:ind w:left="660"/>
        <w:spacing w:after="0" w:line="283" w:lineRule="auto"/>
        <w:rPr>
          <w:sz w:val="20"/>
          <w:szCs w:val="20"/>
          <w:color w:val="auto"/>
        </w:rPr>
      </w:pPr>
      <w:r>
        <w:rPr>
          <w:rFonts w:ascii="Times New Roman" w:cs="Times New Roman" w:eastAsia="Times New Roman" w:hAnsi="Times New Roman"/>
          <w:sz w:val="20"/>
          <w:szCs w:val="20"/>
          <w:color w:val="auto"/>
        </w:rPr>
        <w:t>customer” and Anti-Terrorism Laws, including the PATRIOT Act and (ii) a Beneficial Ownership Certification in relation to the Initial Borrower, to the extent requested by Administrative Agent.</w:t>
      </w:r>
    </w:p>
    <w:p>
      <w:pPr>
        <w:spacing w:after="0" w:line="92" w:lineRule="exact"/>
        <w:rPr>
          <w:sz w:val="20"/>
          <w:szCs w:val="20"/>
          <w:color w:val="auto"/>
        </w:rPr>
      </w:pPr>
    </w:p>
    <w:p>
      <w:pPr>
        <w:ind w:left="660" w:firstLine="644"/>
        <w:spacing w:after="0" w:line="283" w:lineRule="auto"/>
        <w:tabs>
          <w:tab w:leader="none" w:pos="177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Prior to or substantially concurrently with the initial borrowing on the Closing Date, the Closing Date Refinancing shall have been consummated.</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12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b w:val="1"/>
          <w:bCs w:val="1"/>
          <w:color w:val="auto"/>
        </w:rPr>
        <w:t>Conditions to Each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091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1304"/>
        <w:spacing w:after="0" w:line="268" w:lineRule="auto"/>
        <w:tabs>
          <w:tab w:leader="none" w:pos="17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xml:space="preserve">. The obligation of each Lender and each Issuing Bank to make any Credit Extension (other than in connection with an Incremental Amendment which shall be governed by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on any Credit Date is subject to the satisfaction, or waiver in accordance with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of the following conditions precedent:</w:t>
      </w:r>
    </w:p>
    <w:p>
      <w:pPr>
        <w:spacing w:after="0" w:line="107"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32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417"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and</w:t>
      </w:r>
    </w:p>
    <w:p>
      <w:pPr>
        <w:spacing w:after="0" w:line="141" w:lineRule="exact"/>
        <w:rPr>
          <w:rFonts w:ascii="Times New Roman" w:cs="Times New Roman" w:eastAsia="Times New Roman" w:hAnsi="Times New Roman"/>
          <w:sz w:val="20"/>
          <w:szCs w:val="20"/>
          <w:color w:val="auto"/>
        </w:rPr>
      </w:pPr>
    </w:p>
    <w:p>
      <w:pPr>
        <w:ind w:left="1300" w:firstLine="652"/>
        <w:spacing w:after="0" w:line="269" w:lineRule="auto"/>
        <w:tabs>
          <w:tab w:leader="none" w:pos="2477"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such Credit Date, no event shall have occurred and be continuing or would immediately result from the consummation of the applicable Credit Extension that would constitute a Default or an Event of Default.</w:t>
      </w:r>
    </w:p>
    <w:p>
      <w:pPr>
        <w:spacing w:after="0" w:line="118"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2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Times New Roman" w:cs="Times New Roman" w:eastAsia="Times New Roman" w:hAnsi="Times New Roman"/>
          <w:sz w:val="20"/>
          <w:szCs w:val="20"/>
          <w:u w:val="single" w:color="auto"/>
          <w:color w:val="auto"/>
        </w:rPr>
        <w:t>Section 3.02(a)(ii)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each such notice shall be promptly confirmed in writing by delivery of the applicable Notice to Administrative Agent on or before the applicable date of borrowing or continuation/conversion. Neither Administrative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61" w:lineRule="auto"/>
        <w:rPr>
          <w:sz w:val="20"/>
          <w:szCs w:val="20"/>
          <w:color w:val="auto"/>
        </w:rPr>
      </w:pPr>
      <w:r>
        <w:rPr>
          <w:rFonts w:ascii="Times New Roman" w:cs="Times New Roman" w:eastAsia="Times New Roman" w:hAnsi="Times New Roman"/>
          <w:sz w:val="20"/>
          <w:szCs w:val="20"/>
          <w:color w:val="auto"/>
        </w:rPr>
        <w:t>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123"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order to induce the Agents, Lenders and Issuing Bank(s) to enter into this Agreement and to make each Credit Extension to be made thereby, each Credit Party represents and warrants to each Agent, Lender and Issuing Bank, on the Closing Date and on each Credit Date, that:</w:t>
      </w:r>
    </w:p>
    <w:p>
      <w:pPr>
        <w:spacing w:after="0" w:line="1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b w:val="1"/>
          <w:bCs w:val="1"/>
          <w:color w:val="auto"/>
        </w:rPr>
        <w:t>Organization; Requisite Power and Authority; Qualification</w:t>
      </w:r>
      <w:r>
        <w:rPr>
          <w:rFonts w:ascii="Times New Roman" w:cs="Times New Roman" w:eastAsia="Times New Roman" w:hAnsi="Times New Roman"/>
          <w:sz w:val="20"/>
          <w:szCs w:val="20"/>
          <w:color w:val="auto"/>
        </w:rPr>
        <w:t xml:space="preserve">. Each Credit Party and each Restricted Subsidiary (a) is duly organized, validly existing and in good standing under the laws of its jurisdiction of organization as identified in </w:t>
      </w:r>
      <w:r>
        <w:rPr>
          <w:rFonts w:ascii="Times New Roman" w:cs="Times New Roman" w:eastAsia="Times New Roman" w:hAnsi="Times New Roman"/>
          <w:sz w:val="20"/>
          <w:szCs w:val="20"/>
          <w:u w:val="single" w:color="auto"/>
          <w:color w:val="auto"/>
        </w:rPr>
        <w:t>Schedule 4.01</w:t>
      </w:r>
      <w:r>
        <w:rPr>
          <w:rFonts w:ascii="Times New Roman" w:cs="Times New Roman" w:eastAsia="Times New Roman" w:hAnsi="Times New Roman"/>
          <w:sz w:val="20"/>
          <w:szCs w:val="20"/>
          <w:color w:val="auto"/>
        </w:rPr>
        <w:t xml:space="preserve">, (b) has all requisite power and authority (i) to own and operate its properties, (ii) to carry on its business as now conducted and as proposed to be conducted, (iii) to execute, deliver and perform its obligations under the Credit Documents to which it is a party and (iv) to carry out the transactions contemplated thereby, and (c) is qualified to do business and is in good standing in every jurisdiction where its assets are located and wherever necessary to carry out its business and operations, except, in the case of clauses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(other than with respect to the Credit Parties),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(other than sub-clause (iii) thereof, with respect to the Credit Parties)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as could not be reasonably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-1089025</wp:posOffset>
            </wp:positionV>
            <wp:extent cx="33864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1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4.02 </w:t>
      </w:r>
      <w:r>
        <w:rPr>
          <w:rFonts w:ascii="Times New Roman" w:cs="Times New Roman" w:eastAsia="Times New Roman" w:hAnsi="Times New Roman"/>
          <w:sz w:val="20"/>
          <w:szCs w:val="20"/>
          <w:b w:val="1"/>
          <w:bCs w:val="1"/>
          <w:color w:val="auto"/>
        </w:rPr>
        <w:t>Capital Stock and Ownership</w:t>
      </w:r>
      <w:r>
        <w:rPr>
          <w:rFonts w:ascii="Times New Roman" w:cs="Times New Roman" w:eastAsia="Times New Roman" w:hAnsi="Times New Roman"/>
          <w:sz w:val="20"/>
          <w:szCs w:val="20"/>
          <w:color w:val="auto"/>
        </w:rPr>
        <w:t xml:space="preserve">. The Capital Stock of the Initial Borrower and all of the Restricted Subsidiaries of the Initial Borrower has been duly authorized and validly issued and is fully paid and non-assessable to the extent such concepts are applicable. Except as set forth on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 xml:space="preserve">, as of the Closing Date,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 xml:space="preserve"> correctly sets forth (i) the ownership interest of each Credit Party in its respective Subsidiaries and Permitted Joint Ventures as of the Closing Date, (ii) the respective jurisdictions of incorporation or organization of the Initial Borrower and each of the Restricted Subsidiaries, as of the Closing Date, and (iii) the number or percentage of outstanding voting and non-voting shares of Capital Stock, and the holders of such Capital Stock, in the Initial Borrower and each of the Restricted Subsidiaries as of the Closing Date and the number of shares covered by all outstanding options, warrants, rights of conversion or purchase and similar rights as of the Closing Date. All Capital Stock of the Initial Borrower is owned directly by PRTH.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-1687830</wp:posOffset>
            </wp:positionV>
            <wp:extent cx="1748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155" cy="8255"/>
                    </a:xfrm>
                    <a:prstGeom prst="rect">
                      <a:avLst/>
                    </a:prstGeom>
                    <a:noFill/>
                  </pic:spPr>
                </pic:pic>
              </a:graphicData>
            </a:graphic>
          </wp:anchor>
        </w:drawing>
      </w:r>
    </w:p>
    <w:p>
      <w:pPr>
        <w:spacing w:after="0" w:line="1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4.03 </w:t>
      </w:r>
      <w:r>
        <w:rPr>
          <w:rFonts w:ascii="Times New Roman" w:cs="Times New Roman" w:eastAsia="Times New Roman" w:hAnsi="Times New Roman"/>
          <w:sz w:val="20"/>
          <w:szCs w:val="20"/>
          <w:b w:val="1"/>
          <w:bCs w:val="1"/>
          <w:color w:val="auto"/>
        </w:rPr>
        <w:t>Due Authorization</w:t>
      </w:r>
      <w:r>
        <w:rPr>
          <w:rFonts w:ascii="Times New Roman" w:cs="Times New Roman" w:eastAsia="Times New Roman" w:hAnsi="Times New Roman"/>
          <w:sz w:val="20"/>
          <w:szCs w:val="20"/>
          <w:color w:val="auto"/>
        </w:rPr>
        <w:t>. The execution, delivery and performance of the Credit Documents have been duly authorized by all necessary action on the part of each Credit Party that is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1195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5705" cy="8890"/>
                    </a:xfrm>
                    <a:prstGeom prst="rect">
                      <a:avLst/>
                    </a:prstGeom>
                    <a:noFill/>
                  </pic:spPr>
                </pic:pic>
              </a:graphicData>
            </a:graphic>
          </wp:anchor>
        </w:drawing>
      </w:r>
    </w:p>
    <w:p>
      <w:pPr>
        <w:spacing w:after="0" w:line="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4.04 </w:t>
      </w:r>
      <w:r>
        <w:rPr>
          <w:rFonts w:ascii="Times New Roman" w:cs="Times New Roman" w:eastAsia="Times New Roman" w:hAnsi="Times New Roman"/>
          <w:sz w:val="20"/>
          <w:szCs w:val="20"/>
          <w:b w:val="1"/>
          <w:bCs w:val="1"/>
          <w:color w:val="auto"/>
        </w:rPr>
        <w:t>No Conflict</w:t>
      </w:r>
      <w:r>
        <w:rPr>
          <w:rFonts w:ascii="Times New Roman" w:cs="Times New Roman" w:eastAsia="Times New Roman" w:hAnsi="Times New Roman"/>
          <w:sz w:val="20"/>
          <w:szCs w:val="20"/>
          <w:color w:val="auto"/>
        </w:rPr>
        <w:t>. The execution, delivery and performance by the Credit Parties of the Credit Documents to which they 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except, in the case of clauses (a)(i) and (a)(iii), to the extent that such violation could not reasonably be expected to have a Material Adverse Effect; (b) conflict with, result in a breach of or constitute (with due notice or lapse of time or both) a default under any Contractual Obligation of any Credit Party except to the extent that such conflict, breach or default of such Contractual Obligation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-944245</wp:posOffset>
            </wp:positionV>
            <wp:extent cx="742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3" w:lineRule="auto"/>
        <w:rPr>
          <w:sz w:val="20"/>
          <w:szCs w:val="20"/>
          <w:color w:val="auto"/>
        </w:rPr>
      </w:pPr>
      <w:r>
        <w:rPr>
          <w:rFonts w:ascii="Times New Roman" w:cs="Times New Roman" w:eastAsia="Times New Roman" w:hAnsi="Times New Roman"/>
          <w:sz w:val="20"/>
          <w:szCs w:val="20"/>
          <w:color w:val="auto"/>
        </w:rPr>
        <w:t>not reasonably be expected to have a Material Adverse Effect; (c) result in or require the creation or imposition of any Lien upon any of the properties of any Credit Party (other than any Liens created under any of the Credit Documents or Permitted Liens); or (d) except for such approvals or consents as have been made or obtained, require any approval of stockholders, members or partners or any approval or consent of any non-governmental Person under any Contractual Obligation of any Credit Party, except for approvals or consents the failure of which to obtain could not reasonably be expected to have a Material Adverse Effect.</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4.05 </w:t>
      </w:r>
      <w:r>
        <w:rPr>
          <w:rFonts w:ascii="Times New Roman" w:cs="Times New Roman" w:eastAsia="Times New Roman" w:hAnsi="Times New Roman"/>
          <w:sz w:val="20"/>
          <w:szCs w:val="20"/>
          <w:b w:val="1"/>
          <w:bCs w:val="1"/>
          <w:color w:val="auto"/>
        </w:rPr>
        <w:t>Governmental Consents</w:t>
      </w:r>
      <w:r>
        <w:rPr>
          <w:rFonts w:ascii="Times New Roman" w:cs="Times New Roman" w:eastAsia="Times New Roman" w:hAnsi="Times New Roman"/>
          <w:sz w:val="20"/>
          <w:szCs w:val="20"/>
          <w:color w:val="auto"/>
        </w:rPr>
        <w:t>. The execution, delivery and performance by Credit Parties of the Credit Documents to 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the Collateral to be made, or otherwise delivered to Collateral Agent for filing and/or recordation or (c) as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-635000</wp:posOffset>
            </wp:positionV>
            <wp:extent cx="1437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4.06 </w:t>
      </w:r>
      <w:r>
        <w:rPr>
          <w:rFonts w:ascii="Times New Roman" w:cs="Times New Roman" w:eastAsia="Times New Roman" w:hAnsi="Times New Roman"/>
          <w:sz w:val="20"/>
          <w:szCs w:val="20"/>
          <w:b w:val="1"/>
          <w:bCs w:val="1"/>
          <w:color w:val="auto"/>
        </w:rPr>
        <w:t>Binding Obligation</w:t>
      </w:r>
      <w:r>
        <w:rPr>
          <w:rFonts w:ascii="Times New Roman" w:cs="Times New Roman" w:eastAsia="Times New Roman" w:hAnsi="Times New Roman"/>
          <w:sz w:val="20"/>
          <w:szCs w:val="20"/>
          <w:color w:val="auto"/>
        </w:rPr>
        <w:t>. Each Credit Document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1163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9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4.07</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2528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59" w:lineRule="exact"/>
        <w:rPr>
          <w:sz w:val="20"/>
          <w:szCs w:val="20"/>
          <w:color w:val="auto"/>
        </w:rPr>
      </w:pPr>
    </w:p>
    <w:p>
      <w:pPr>
        <w:jc w:val="both"/>
        <w:ind w:firstLine="656"/>
        <w:spacing w:after="0" w:line="253" w:lineRule="auto"/>
        <w:tabs>
          <w:tab w:leader="none" w:pos="118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PRTH’s warrants outstanding as of the Closing Date (immediately prior to giving effect to the Transactions) as liabilities.</w:t>
      </w:r>
    </w:p>
    <w:p>
      <w:pPr>
        <w:spacing w:after="0" w:line="124"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pro forma financial statements delivered pursuant to Section 3.01(f) have been prepared based on the Historical Financial Statements and have been prepared in good faith, based on assumptions believed by the Initial Borrower to be reasonable as of the date of delivery thereof and reflect on a Pro Forma Basis in all material respects the consummation of the transactions contemplated by the Credit Documents to occur on or prior to the Closing Date.</w:t>
      </w:r>
    </w:p>
    <w:p>
      <w:pPr>
        <w:spacing w:after="0" w:line="1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4.08 </w:t>
      </w:r>
      <w:r>
        <w:rPr>
          <w:rFonts w:ascii="Times New Roman" w:cs="Times New Roman" w:eastAsia="Times New Roman" w:hAnsi="Times New Roman"/>
          <w:sz w:val="20"/>
          <w:szCs w:val="20"/>
          <w:b w:val="1"/>
          <w:bCs w:val="1"/>
          <w:color w:val="auto"/>
        </w:rPr>
        <w:t>Projections</w:t>
      </w:r>
      <w:r>
        <w:rPr>
          <w:rFonts w:ascii="Times New Roman" w:cs="Times New Roman" w:eastAsia="Times New Roman" w:hAnsi="Times New Roman"/>
          <w:sz w:val="20"/>
          <w:szCs w:val="20"/>
          <w:color w:val="auto"/>
        </w:rPr>
        <w:t>. On and as of the Closing Date, pro forma projections of the Initial Borrower and its Restricted Subsidiaries for fiscal year 2024 through and including fiscal year 2028 provided for herein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were prepared in good faith based upon assumptions believed to be reasonable at the time made by the management of the Initial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 the Projections are not to be viewed as facts or a guaranty of performance and are subject to significant uncertainties and contingencies many of which are beyond the control of the Initial Borrower and the other Credit Parties and (ii) no assurance can be given that such projections will be realized, and that actual results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756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1240"/>
          </w:cols>
          <w:pgMar w:left="320" w:top="141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period or periods covered by any such projections may differ from the projected results (and such differences may be material).</w:t>
      </w:r>
    </w:p>
    <w:p>
      <w:pPr>
        <w:spacing w:after="0" w:line="17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4.09 </w:t>
      </w:r>
      <w:r>
        <w:rPr>
          <w:rFonts w:ascii="Times New Roman" w:cs="Times New Roman" w:eastAsia="Times New Roman" w:hAnsi="Times New Roman"/>
          <w:sz w:val="20"/>
          <w:szCs w:val="20"/>
          <w:b w:val="1"/>
          <w:bCs w:val="1"/>
          <w:color w:val="auto"/>
        </w:rPr>
        <w:t>No Material Adverse Effect</w:t>
      </w:r>
      <w:r>
        <w:rPr>
          <w:rFonts w:ascii="Times New Roman" w:cs="Times New Roman" w:eastAsia="Times New Roman" w:hAnsi="Times New Roman"/>
          <w:sz w:val="20"/>
          <w:szCs w:val="20"/>
          <w:color w:val="auto"/>
        </w:rPr>
        <w:t>. Since December 31, 2023, no event, circumstance or change has occurred that has caused or evidences, either in any case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1661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4.10</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pacing w:after="0" w:line="16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b w:val="1"/>
          <w:bCs w:val="1"/>
          <w:color w:val="auto"/>
        </w:rPr>
        <w:t>Adverse Proceedings, Etc</w:t>
      </w:r>
      <w:r>
        <w:rPr>
          <w:rFonts w:ascii="Times New Roman" w:cs="Times New Roman" w:eastAsia="Times New Roman" w:hAnsi="Times New Roman"/>
          <w:sz w:val="19"/>
          <w:szCs w:val="19"/>
          <w:color w:val="auto"/>
        </w:rPr>
        <w:t>. There are no Adverse Proceedings that could reasonably be expected to have a Material Adverse Effect. No Credit Party nor any of its Restricted Subsidiaries is subject to or in default with respect to any final judgments, writs, injunctions, decrees, orders, rules or regulations of any Governmental Authority 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-367030</wp:posOffset>
            </wp:positionV>
            <wp:extent cx="15062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b w:val="1"/>
          <w:bCs w:val="1"/>
          <w:color w:val="auto"/>
        </w:rPr>
        <w:t>Payment of Taxes</w:t>
      </w:r>
      <w:r>
        <w:rPr>
          <w:rFonts w:ascii="Times New Roman" w:cs="Times New Roman" w:eastAsia="Times New Roman" w:hAnsi="Times New Roman"/>
          <w:sz w:val="20"/>
          <w:szCs w:val="20"/>
          <w:color w:val="auto"/>
        </w:rPr>
        <w:t xml:space="preserve">. All applicable federal income tax returns and all other tax returns and reports of each Credit Party and its Subsidiaries 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such reserves or other appropriate provisions, if any, as shall be required in conformity with GAAP shall have been made or provided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-1089025</wp:posOffset>
            </wp:positionV>
            <wp:extent cx="10871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11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b w:val="1"/>
          <w:bCs w:val="1"/>
          <w:color w:val="auto"/>
        </w:rPr>
        <w:t>Properties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813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355"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1" w:lineRule="auto"/>
        <w:tabs>
          <w:tab w:leader="none" w:pos="1781"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w:t>
      </w:r>
      <w:r>
        <w:rPr>
          <w:rFonts w:ascii="Times New Roman" w:cs="Times New Roman" w:eastAsia="Times New Roman" w:hAnsi="Times New Roman"/>
          <w:sz w:val="20"/>
          <w:szCs w:val="20"/>
          <w:color w:val="auto"/>
        </w:rPr>
        <w:t xml:space="preserve">. Each Credit Party and its Restricted Subsidiaries have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in each case, except where the failure to have good and legal title, a valid leasehold interest, a valid license or other rights or good title could not reasonably be expected to have a Material Adverse Effect and for assets disposed of since the date of such financial statements in the ordinary course of business or as otherwise permitted under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Except as permitted by this Agreement, all such properties and assets are free and clear of Liens.</w:t>
      </w:r>
    </w:p>
    <w:p>
      <w:pPr>
        <w:spacing w:after="0" w:line="138" w:lineRule="exact"/>
        <w:rPr>
          <w:rFonts w:ascii="Times New Roman" w:cs="Times New Roman" w:eastAsia="Times New Roman" w:hAnsi="Times New Roman"/>
          <w:sz w:val="20"/>
          <w:szCs w:val="20"/>
          <w:color w:val="auto"/>
        </w:rPr>
      </w:pPr>
    </w:p>
    <w:p>
      <w:pPr>
        <w:ind w:firstLine="1304"/>
        <w:spacing w:after="0" w:line="269" w:lineRule="auto"/>
        <w:tabs>
          <w:tab w:leader="none" w:pos="180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xml:space="preserve">. As of the Closing Date, </w:t>
      </w: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xml:space="preserve"> contains a true, accurate and complete list of all domestic Real Estate Assets leased or owned by the Credit Parties.</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b w:val="1"/>
          <w:bCs w:val="1"/>
          <w:color w:val="auto"/>
        </w:rPr>
        <w:t>Environmental Matters</w:t>
      </w:r>
      <w:r>
        <w:rPr>
          <w:rFonts w:ascii="Times New Roman" w:cs="Times New Roman" w:eastAsia="Times New Roman" w:hAnsi="Times New Roman"/>
          <w:sz w:val="20"/>
          <w:szCs w:val="20"/>
          <w:color w:val="auto"/>
        </w:rPr>
        <w:t>. No Credit Party nor any of its Restricted Subsidiaries nor any of their respective Real Estate Assets or operations are (i) in violation of any Environmental Law, (ii) conducting, funding or required to conduct or be responsible for any investigation, remediation, corrective action or monitoring of any Release of any Hazardous Material or (iii) subject to any outstanding Environmental Claim or written order, consent decree or settlement agreement with any Person relating to any Environmental Law, any Environmental Claim, or any Hazardous Materials Activity that, in each case, would reasonably be expected to have a Material Adverse Effect. To each Credit Party’s and its Restricted Subsidiaries’ knowledge, there are and have been no conditions, occurrences or Hazardous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13982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53" w:lineRule="auto"/>
        <w:rPr>
          <w:sz w:val="20"/>
          <w:szCs w:val="20"/>
          <w:color w:val="auto"/>
        </w:rPr>
      </w:pPr>
      <w:r>
        <w:rPr>
          <w:rFonts w:ascii="Times New Roman" w:cs="Times New Roman" w:eastAsia="Times New Roman" w:hAnsi="Times New Roman"/>
          <w:sz w:val="20"/>
          <w:szCs w:val="20"/>
          <w:color w:val="auto"/>
        </w:rPr>
        <w:t>Materials Activities which would reasonably be expected to form the basis of an Environmental Claim against any Credit Party or any of its Restricted Subsidiaries that has not been cured or remedied, and that could reasonably be expected to have a Material Adverse Effect. To each Credit Party’s and its Restricted Subsidiaries knowledge, no event or condition has occurred or is occurring with respect to any Credit Party or any of its Restricted Subsidiaries relating to any Environmental Law, Release of Hazardous Materials, or any Hazardous Materials Activity in each case, in violation of Environmental Laws, which would reasonably be expected to have a Material Adverse Effect.</w:t>
      </w:r>
    </w:p>
    <w:p>
      <w:pPr>
        <w:spacing w:after="0" w:line="13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xml:space="preserve">. The Borrowers will (or will direct a Credit Party to) use the proceeds of the Loans and Letters of Credit only for the purposes set forth in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9677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xml:space="preserve">. Except as otherwise contemplated hereby or under any other Credit Documents, the provisions of the Collateral Documents and any other documents and instruments delivered pursuant to the terms and conditions hereof or in any other Credit Document, together with such filings and other actions required to be taken hereby or by the applicable Collateral Documents (including the delivery to Administrative Agent of any Indebtedness or equity interests pledged pursuant to the Pledge and Security Interest required to be delivered pursuant to the applicable Collateral Documents), are effective to create in favor of Administrative Agent for the benefit of the Secured Parties, except as otherwise provided hereunder, including subject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 legal, valid, enforceable and perfected First Priority Lien on all right, title and interest of the respective Credit Parties in the Collateral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-944245</wp:posOffset>
            </wp:positionV>
            <wp:extent cx="13030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4.17 </w:t>
      </w:r>
      <w:r>
        <w:rPr>
          <w:rFonts w:ascii="Times New Roman" w:cs="Times New Roman" w:eastAsia="Times New Roman" w:hAnsi="Times New Roman"/>
          <w:sz w:val="20"/>
          <w:szCs w:val="20"/>
          <w:b w:val="1"/>
          <w:bCs w:val="1"/>
          <w:color w:val="auto"/>
        </w:rPr>
        <w:t>Governmental Regulation</w:t>
      </w:r>
      <w:r>
        <w:rPr>
          <w:rFonts w:ascii="Times New Roman" w:cs="Times New Roman" w:eastAsia="Times New Roman" w:hAnsi="Times New Roman"/>
          <w:sz w:val="20"/>
          <w:szCs w:val="20"/>
          <w:color w:val="auto"/>
        </w:rPr>
        <w:t>. No Credit Party or any of its Restricted Subsidiaries is or is required to be registered as an “investment company” as such term is defined in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16040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7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4.18 </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No Credit Party or any of its Restricted Subsidiaries is engaged principally, or as one of its important activities, in the business of extending credit for the purpose of purchasing or carrying any Margin Stock. No part of the proceeds of the Loans or drawings under any Letter of Credit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-635000</wp:posOffset>
            </wp:positionV>
            <wp:extent cx="964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4565" cy="8890"/>
                    </a:xfrm>
                    <a:prstGeom prst="rect">
                      <a:avLst/>
                    </a:prstGeom>
                    <a:noFill/>
                  </pic:spPr>
                </pic:pic>
              </a:graphicData>
            </a:graphic>
          </wp:anchor>
        </w:drawing>
      </w:r>
    </w:p>
    <w:p>
      <w:pPr>
        <w:spacing w:after="0" w:line="1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4.19 </w:t>
      </w:r>
      <w:r>
        <w:rPr>
          <w:rFonts w:ascii="Times New Roman" w:cs="Times New Roman" w:eastAsia="Times New Roman" w:hAnsi="Times New Roman"/>
          <w:sz w:val="19"/>
          <w:szCs w:val="19"/>
          <w:b w:val="1"/>
          <w:bCs w:val="1"/>
          <w:color w:val="auto"/>
        </w:rPr>
        <w:t>Employee Matters</w:t>
      </w:r>
      <w:r>
        <w:rPr>
          <w:rFonts w:ascii="Times New Roman" w:cs="Times New Roman" w:eastAsia="Times New Roman" w:hAnsi="Times New Roman"/>
          <w:sz w:val="19"/>
          <w:szCs w:val="19"/>
          <w:color w:val="auto"/>
        </w:rPr>
        <w:t>. No Borrower or any of the Restricted Subsidiaries is engaged in any unfair labor practice that could reasonably be expected to have a Material Adverse Effect. There is (a) no unfair labor practice complaint pending against any Borrower or any of the Restricted Subsidiaries, or to the knowledge of each Borrower, threatened in writing against any of them before the National Labor Relations Board and no grievance or arbitration proceeding arising out of or under any collective bargaining agreement that is so pending against any Borrower or any of its Restricted Subsidiaries or to the knowledge of each Borrower, threatened in writing against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-631190</wp:posOffset>
            </wp:positionV>
            <wp:extent cx="11817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81735" cy="8890"/>
                    </a:xfrm>
                    <a:prstGeom prst="rect">
                      <a:avLst/>
                    </a:prstGeom>
                    <a:noFill/>
                  </pic:spPr>
                </pic:pic>
              </a:graphicData>
            </a:graphic>
          </wp:anchor>
        </w:drawing>
      </w:r>
    </w:p>
    <w:p>
      <w:pPr>
        <w:jc w:val="both"/>
        <w:ind w:firstLine="8"/>
        <w:spacing w:after="0" w:line="251" w:lineRule="auto"/>
        <w:tabs>
          <w:tab w:leader="none" w:pos="31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strike or work stoppage in existence or threatened involving any Borrower or any of its Restricted Subsidiaries, and (c) to the knowledge of each Borrower, no union representation question existing with respect to the employees of any Borrower or any of its Restricted Subsidiaries and, to the knowledge of each Credit Party, no union organization activity that is taking place, except with respect to any matter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as could not reasonably be expected to have a Material Adverse Effect.</w:t>
      </w:r>
    </w:p>
    <w:p>
      <w:pPr>
        <w:spacing w:after="0" w:line="13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4.20 </w:t>
      </w:r>
      <w:r>
        <w:rPr>
          <w:rFonts w:ascii="Times New Roman" w:cs="Times New Roman" w:eastAsia="Times New Roman" w:hAnsi="Times New Roman"/>
          <w:sz w:val="20"/>
          <w:szCs w:val="20"/>
          <w:b w:val="1"/>
          <w:bCs w:val="1"/>
          <w:color w:val="auto"/>
        </w:rPr>
        <w:t>Employee Benefit Plans</w:t>
      </w:r>
      <w:r>
        <w:rPr>
          <w:rFonts w:ascii="Times New Roman" w:cs="Times New Roman" w:eastAsia="Times New Roman" w:hAnsi="Times New Roman"/>
          <w:sz w:val="20"/>
          <w:szCs w:val="20"/>
          <w:color w:val="auto"/>
        </w:rPr>
        <w:t>. Except as could not reasonably be expected to result in a Material Adverse Effect, (a) each Borrower, each of its Restricted Subsidiaries and each of their respective ERISA Affiliates are in compliance with all applicable provisions and requirements of ERISA and the Internal Revenue Code and the regulations and published interpretations thereunder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1524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49" w:lineRule="auto"/>
        <w:rPr>
          <w:sz w:val="20"/>
          <w:szCs w:val="20"/>
          <w:color w:val="auto"/>
        </w:rPr>
      </w:pPr>
      <w:r>
        <w:rPr>
          <w:rFonts w:ascii="Times New Roman" w:cs="Times New Roman" w:eastAsia="Times New Roman" w:hAnsi="Times New Roman"/>
          <w:sz w:val="20"/>
          <w:szCs w:val="20"/>
          <w:color w:val="auto"/>
        </w:rPr>
        <w:t>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any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any Borrower, any of its Restricted Subsidiaries or any of their respective ERISA Affiliates, (f) the present value of the aggregate benefit liabilities under each Pension Plan sponsored, maintained or contributed to by any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each Borrower, its Restricted Subsidiaries and their respective ERISA Affiliates for a complete withdrawal from such Multiemployer Plan (within the meaning of Section 4203 of ERISA), when aggregated with such potential liability for a complete withdrawal from all Multiemployer Plans, is zero, and (h) each Borrower, each of its Restricted Subsidiaries and each of their ERISA Affiliates, where applicable, have complied with the requirements of Section 515 of ERISA with respect to each Multiemployer Plan and are not in “default” (as defined in Section 4219(c)(5) of ERISA) with respect to payments to a Multiemployer Plan.</w:t>
      </w:r>
    </w:p>
    <w:p>
      <w:pPr>
        <w:spacing w:after="0" w:line="14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4.21 </w:t>
      </w:r>
      <w:r>
        <w:rPr>
          <w:rFonts w:ascii="Times New Roman" w:cs="Times New Roman" w:eastAsia="Times New Roman" w:hAnsi="Times New Roman"/>
          <w:sz w:val="20"/>
          <w:szCs w:val="20"/>
          <w:b w:val="1"/>
          <w:bCs w:val="1"/>
          <w:color w:val="auto"/>
        </w:rPr>
        <w:t>Solvency</w:t>
      </w:r>
      <w:r>
        <w:rPr>
          <w:rFonts w:ascii="Times New Roman" w:cs="Times New Roman" w:eastAsia="Times New Roman" w:hAnsi="Times New Roman"/>
          <w:sz w:val="20"/>
          <w:szCs w:val="20"/>
          <w:color w:val="auto"/>
        </w:rPr>
        <w:t>. The Credit Parties, on a consolidated basis, are and, upon the incurrence of any Credit Extension by any Borrower on any date on which this representation and warranty is made, will be,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6172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4.22 </w:t>
      </w:r>
      <w:r>
        <w:rPr>
          <w:rFonts w:ascii="Times New Roman" w:cs="Times New Roman" w:eastAsia="Times New Roman" w:hAnsi="Times New Roman"/>
          <w:sz w:val="20"/>
          <w:szCs w:val="20"/>
          <w:b w:val="1"/>
          <w:bCs w:val="1"/>
          <w:color w:val="auto"/>
        </w:rPr>
        <w:t>Compliance with Statutes, Etc.</w:t>
      </w:r>
      <w:r>
        <w:rPr>
          <w:rFonts w:ascii="Times New Roman" w:cs="Times New Roman" w:eastAsia="Times New Roman" w:hAnsi="Times New Roman"/>
          <w:sz w:val="20"/>
          <w:szCs w:val="20"/>
          <w:color w:val="auto"/>
        </w:rPr>
        <w:t>. Each Credit Party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Environmental Permits with respect to any such Real Estate Asset or the operations of such Credit Party or any of its Restricted Subsidiaries), except such non-compliance that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18103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4.23 </w:t>
      </w:r>
      <w:r>
        <w:rPr>
          <w:rFonts w:ascii="Times New Roman" w:cs="Times New Roman" w:eastAsia="Times New Roman" w:hAnsi="Times New Roman"/>
          <w:sz w:val="19"/>
          <w:szCs w:val="19"/>
          <w:b w:val="1"/>
          <w:bCs w:val="1"/>
          <w:color w:val="auto"/>
        </w:rPr>
        <w:t>Disclosure</w:t>
      </w:r>
      <w:r>
        <w:rPr>
          <w:rFonts w:ascii="Times New Roman" w:cs="Times New Roman" w:eastAsia="Times New Roman" w:hAnsi="Times New Roman"/>
          <w:sz w:val="19"/>
          <w:szCs w:val="19"/>
          <w:color w:val="auto"/>
        </w:rPr>
        <w:t>. No representation or warranty of any Credit Party contained in any Credit Document or in any other 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(after giving effect to all supplements and updates thereto), contains (as of the date so furnished) any untrue statement of a material fact or omits to state a material fact (known to a Senior Officer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-1251585</wp:posOffset>
            </wp:positionV>
            <wp:extent cx="698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20"/>
          <w:szCs w:val="20"/>
          <w:color w:val="auto"/>
        </w:rPr>
        <w:t>recognized by Lenders that (i) such projections as to future events are not to be viewed as facts or a guaranty of performance and are subject to significant uncertainties and contingencies many of which are beyond the control of the Initial Borrower and the other Credit Parties and</w:t>
      </w:r>
    </w:p>
    <w:p>
      <w:pPr>
        <w:ind w:firstLine="8"/>
        <w:spacing w:after="0" w:line="260" w:lineRule="auto"/>
        <w:tabs>
          <w:tab w:leader="none" w:pos="29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assurance can be given that such projections will be realized, and that actual results during the period or periods covered by any such projections may differ from the projected results (and such differences may be material).</w:t>
      </w:r>
    </w:p>
    <w:p>
      <w:pPr>
        <w:spacing w:after="0" w:line="11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4.25 </w:t>
      </w:r>
      <w:r>
        <w:rPr>
          <w:rFonts w:ascii="Times New Roman" w:cs="Times New Roman" w:eastAsia="Times New Roman" w:hAnsi="Times New Roman"/>
          <w:sz w:val="20"/>
          <w:szCs w:val="20"/>
          <w:b w:val="1"/>
          <w:bCs w:val="1"/>
          <w:color w:val="auto"/>
        </w:rPr>
        <w:t>Patents, Trademarks, Copyrights, Licenses, Etc.</w:t>
      </w:r>
      <w:r>
        <w:rPr>
          <w:rFonts w:ascii="Times New Roman" w:cs="Times New Roman" w:eastAsia="Times New Roman" w:hAnsi="Times New Roman"/>
          <w:sz w:val="20"/>
          <w:szCs w:val="20"/>
          <w:color w:val="auto"/>
        </w:rPr>
        <w:t>. Except as could not reasonably be expected to have a Material Adverse Effect (i) each Credit Party owns or possesses the right to use all patents, patent rights, technology, trademarks, service marks, trade names, copyrights, trade secrets, domain names, software, database rights, Merchant Account databases and other intellectual property rights used in the business of such Credit Party and (ii) each Borrower has the necessary staffing with sufficient expertise to service, update, maintain, and operate such Merchant Account databases.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-635000</wp:posOffset>
            </wp:positionV>
            <wp:extent cx="2762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62250" cy="8255"/>
                    </a:xfrm>
                    <a:prstGeom prst="rect">
                      <a:avLst/>
                    </a:prstGeom>
                    <a:noFill/>
                  </pic:spPr>
                </pic:pic>
              </a:graphicData>
            </a:graphic>
          </wp:anchor>
        </w:drawing>
      </w:r>
    </w:p>
    <w:p>
      <w:pPr>
        <w:spacing w:after="0" w:line="11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4.26</w:t>
      </w:r>
      <w:r>
        <w:rPr>
          <w:sz w:val="20"/>
          <w:szCs w:val="20"/>
          <w:color w:val="auto"/>
        </w:rPr>
        <w:tab/>
      </w:r>
      <w:r>
        <w:rPr>
          <w:rFonts w:ascii="Times New Roman" w:cs="Times New Roman" w:eastAsia="Times New Roman" w:hAnsi="Times New Roman"/>
          <w:sz w:val="19"/>
          <w:szCs w:val="19"/>
          <w:b w:val="1"/>
          <w:bCs w:val="1"/>
          <w:color w:val="auto"/>
        </w:rPr>
        <w:t>Sanctions; Anti-Corruption; and Anti-Terrorism Law</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30086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49" w:lineRule="auto"/>
        <w:tabs>
          <w:tab w:leader="none" w:pos="178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past five (5) years, each Credit Party and each of its Subsidiaries is and has been in compliance with all applicable Sanctions or all applicable laws of any jurisdiction to which such Credit Party is subject relating to anti-money laundering and counter-terrorism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including, without limitation, the PATRIOT Act, Executive Order No. 13224 on Terrorist Financing, effective September 24, 2001 (the “</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the laws and regulations administered by OFAC, the Currency and Foreign Transactions Reporting Act (also known as the “</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31 U.S.C. §§ 5311-5330), the Money Laundering Control Act (18 U.S.C. §§1956-1957 and 1960) and the International Emergency Economic Powers Act (50 U.S.C. §§1701-1707). No Credit Party, none of its Subsidiaries and, to the knowledge of a Senior Officer of Borrower Representative, none of the officers, directors, Affiliates, employees or agents of a Credit Party or its Subsidiaries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applicable Anti-Terrorism Law.</w:t>
      </w:r>
    </w:p>
    <w:p>
      <w:pPr>
        <w:spacing w:after="0" w:line="14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0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past five (5) years, neither any Credit Party or any of its Subsidiaries nor, to the knowledge of a Senior Officer of the Borrower Representative, any director, officer, or employee of the foregoing (nor, to the knowledge of a Senior Officer of the Borrower Representative, any Affiliate, agent or other Person acting on behalf of any Credit Party or any respective Subsidiary when acting in such capacity) has paid, offered, promised to pay or authorized the payment of, directly or, knowingly, indirectly, any money or anything of value (i) to any Foreign Official or other Person or entity acting in an official capacity for the purpose of influencing any act or decision of such Foreign Official or other Person or entity or of such Foreign Official’s Governmental Authority or securing any improper advantage, for the purpose of obtaining or retaining business for or with, or directing business to, any Person, in each case, in violation of any applicable Anti-Corruption Law including but not limited to the FCPA, or (ii) for the purpose of funding, financing or facilitating any activities or business of or with any Sanctioned Person or in any Sanctioned Country, in each case, in violation of applicable Sanctions, or in any other manner that would result in a violation of applicable Sanctions or Anti-Terrorism Laws by any Person (including any Person participating in the Loans, Letters of Credit or any other extension of credit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1240"/>
          </w:cols>
          <w:pgMar w:left="32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hereunder, whether as Administrative Agent, Lead Arranger, Issuing Bank, Lender, underwriter, advisor, investor, or otherwise).</w:t>
      </w:r>
    </w:p>
    <w:p>
      <w:pPr>
        <w:spacing w:after="0" w:line="17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Affirmative Covenants.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Initial Borrower covenants and agrees that so long as any Commitment is in effect and until the Payment in Full of all of the Obligations, the Initial Borrower shall perform, and shall cause (other than in the case of the covenants set forth in </w:t>
      </w:r>
      <w:r>
        <w:rPr>
          <w:rFonts w:ascii="Times New Roman" w:cs="Times New Roman" w:eastAsia="Times New Roman" w:hAnsi="Times New Roman"/>
          <w:sz w:val="20"/>
          <w:szCs w:val="20"/>
          <w:u w:val="single" w:color="auto"/>
          <w:color w:val="auto"/>
        </w:rPr>
        <w:t>Sections 5.01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each of its Restricted Subsidiaries to perform, all covenants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20"/>
          <w:szCs w:val="20"/>
          <w:b w:val="1"/>
          <w:bCs w:val="1"/>
          <w:color w:val="auto"/>
        </w:rPr>
        <w:t>Financial Statements and Other Reports</w:t>
      </w:r>
      <w:r>
        <w:rPr>
          <w:rFonts w:ascii="Times New Roman" w:cs="Times New Roman" w:eastAsia="Times New Roman" w:hAnsi="Times New Roman"/>
          <w:sz w:val="20"/>
          <w:szCs w:val="20"/>
          <w:color w:val="auto"/>
        </w:rPr>
        <w:t>. Unless otherwise provided below, Borrower Representative will deliver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484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Lenders:</w:t>
      </w:r>
    </w:p>
    <w:p>
      <w:pPr>
        <w:spacing w:after="0" w:line="146" w:lineRule="exact"/>
        <w:rPr>
          <w:sz w:val="20"/>
          <w:szCs w:val="20"/>
          <w:color w:val="auto"/>
        </w:rPr>
      </w:pPr>
    </w:p>
    <w:p>
      <w:pPr>
        <w:ind w:left="2360" w:hanging="408"/>
        <w:spacing w:after="0"/>
        <w:tabs>
          <w:tab w:leader="none" w:pos="23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6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and in any event within 45 days after the end of each of the first three Fiscal Quarters of each Fiscal Year, commencing with the Fiscal Quarter ending June 30, 2024, the consolidated balance sheets of the Initial Borrower and its Subsidiaries as at the end of such Fiscal Quarter and the related consolidated statements of operations and cash flows of the Initial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with respect thereto;</w:t>
      </w:r>
    </w:p>
    <w:p>
      <w:pPr>
        <w:spacing w:after="0" w:line="138"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76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Financial Statements</w:t>
      </w:r>
      <w:r>
        <w:rPr>
          <w:rFonts w:ascii="Times New Roman" w:cs="Times New Roman" w:eastAsia="Times New Roman" w:hAnsi="Times New Roman"/>
          <w:sz w:val="19"/>
          <w:szCs w:val="19"/>
          <w:color w:val="auto"/>
        </w:rPr>
        <w:t>. As soon as available, and in any event within 90 days after the end of each Fiscal Year (commencing with the Fiscal Year ending December 31, 2024), (i) the consolidated balance sheets of the Initial Borrower and its Subsidiaries as at the end of such Fiscal Year and the related consolidated statements of income and Cash flows of the Initial Borrower and its Subsidiaries for such Fiscal Year setting forth, in each case, in comparative form the corresponding figures for the previous Fiscal Year, in reasonable detail, together with a Financial Officer Certification with respect thereto; and (ii) with respect to such consolidated financial statements a report thereon of independent certified public accountants of recognized national standing selected by the Initial Borrower and reasonably satisfactory to Administrative Agent (it being agreed that Ernst &amp; Young LLP is reasonably satisfactory to Administrative Agent), which report shall be unqualified as to “going concern” and scope of audit (other than any qualification or exception that is solely with respect to, or resulting solely from, (A) an upcoming maturity date within one year from the date of such report of any of the Indebtedness or (B) any potential inability to satisfy a financial maintenance covenant on a future date or in a future period), and shall state that such consolidated financial statements fairly present, in all material respects, the consolidated financial position of the Initial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34"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5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of the Initial Borrower and its Subsidiaries pursuant to </w:t>
      </w:r>
      <w:r>
        <w:rPr>
          <w:rFonts w:ascii="Times New Roman" w:cs="Times New Roman" w:eastAsia="Times New Roman" w:hAnsi="Times New Roman"/>
          <w:sz w:val="20"/>
          <w:szCs w:val="20"/>
          <w:u w:val="single" w:color="auto"/>
          <w:color w:val="auto"/>
        </w:rPr>
        <w:t>Sections 5.01(b)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5.01(c)</w:t>
      </w:r>
      <w:r>
        <w:rPr>
          <w:rFonts w:ascii="Times New Roman" w:cs="Times New Roman" w:eastAsia="Times New Roman" w:hAnsi="Times New Roman"/>
          <w:sz w:val="20"/>
          <w:szCs w:val="20"/>
          <w:color w:val="auto"/>
        </w:rPr>
        <w:t>, a duly executed and completed Compliance Certificate (i) certifying on behalf of the Initial Borrower that no Senior Officer of any Credit Party has actual knowledge that a Default or Event of Default has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occurred and is continuing or, if such known Default or Event of Default has occurred and is continuing, specifying the nature and extent thereof and any corrective action taken or proposed to be taken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Compliance Certificate demonstrates an Event of Default due to failure to comply with the Financial Covenant that has not been cured prior to such time, the Borrower Representative may deliver, to the extent and within the time period permitted by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 xml:space="preserve">, prior to, after or together with such Compliance Certificate, Notice of Intent to Cure such Event of Default, (ii) setting forth computations of the Total Net Leverage Ratio, (iii) setting forth, in the case of each Compliance Certificate delivered concurrently with any delivery of financial statements under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above, the Borrower Representative’s calculation of Consolidated Excess Cash Flow starting with the 2025 Fiscal Year, (iv) to the extent applicable, setting forth computations in reasonable detail reasonably satisfactory to Administrative Agent demonstrating Pro Forma Compliance (including any Pro Forma Basis calculations and adjustments in reasonable detail), (v) that identifies each Subsidiary as a Restricted Subsidiary (and identifying any Designated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(x) the adjustments necessary to eliminate the accounts of Unrestricted Subsidiaries (if any) from such consolidated financial statements and (y) the accounts of Designated Restricted Subsidiaries;</w:t>
      </w:r>
    </w:p>
    <w:p>
      <w:pPr>
        <w:spacing w:after="0" w:line="151" w:lineRule="exact"/>
        <w:rPr>
          <w:sz w:val="20"/>
          <w:szCs w:val="20"/>
          <w:color w:val="auto"/>
        </w:rPr>
      </w:pPr>
    </w:p>
    <w:p>
      <w:pPr>
        <w:ind w:left="1060" w:hanging="416"/>
        <w:spacing w:after="0"/>
        <w:tabs>
          <w:tab w:leader="none" w:pos="10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44"/>
        <w:spacing w:after="0" w:line="251" w:lineRule="auto"/>
        <w:tabs>
          <w:tab w:leader="none" w:pos="109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or Material Adverse Effect</w:t>
      </w:r>
      <w:r>
        <w:rPr>
          <w:rFonts w:ascii="Times New Roman" w:cs="Times New Roman" w:eastAsia="Times New Roman" w:hAnsi="Times New Roman"/>
          <w:sz w:val="20"/>
          <w:szCs w:val="20"/>
          <w:color w:val="auto"/>
        </w:rPr>
        <w:t xml:space="preserve">. Promptly upon any Senior Officer of any Credit Party obtaining actual knowledge (i) of any condition or event that constitutes a Default or an Event of Default or that written notice has been given to any Credit Party with respect thereto; (ii) that any Person has given any written notice to any Credit Party or any of its Restricted Subsidiaries or taken any other action with respect to any event or condition set forth in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 xml:space="preserve"> or (iii)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w:t>
      </w:r>
    </w:p>
    <w:p>
      <w:pPr>
        <w:spacing w:after="0" w:line="141" w:lineRule="exact"/>
        <w:rPr>
          <w:rFonts w:ascii="Times New Roman" w:cs="Times New Roman" w:eastAsia="Times New Roman" w:hAnsi="Times New Roman"/>
          <w:sz w:val="20"/>
          <w:szCs w:val="20"/>
          <w:color w:val="auto"/>
        </w:rPr>
      </w:pPr>
    </w:p>
    <w:p>
      <w:pPr>
        <w:jc w:val="both"/>
        <w:ind w:firstLine="644"/>
        <w:spacing w:after="0" w:line="253" w:lineRule="auto"/>
        <w:tabs>
          <w:tab w:leader="none" w:pos="11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24" w:lineRule="exact"/>
        <w:rPr>
          <w:rFonts w:ascii="Times New Roman" w:cs="Times New Roman" w:eastAsia="Times New Roman" w:hAnsi="Times New Roman"/>
          <w:sz w:val="20"/>
          <w:szCs w:val="20"/>
          <w:color w:val="auto"/>
        </w:rPr>
      </w:pPr>
    </w:p>
    <w:p>
      <w:pPr>
        <w:jc w:val="both"/>
        <w:ind w:firstLine="644"/>
        <w:spacing w:after="0" w:line="268" w:lineRule="auto"/>
        <w:tabs>
          <w:tab w:leader="none" w:pos="113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Promptly upon a Senior Officer of any Credit Party becoming aware of the occurrence of or forthcoming occurrence of one or more ERISA Events that could be reasonably expected to have a Material Adverse Effect, a written notice specifying the nature</w:t>
      </w:r>
    </w:p>
    <w:p>
      <w:pPr>
        <w:spacing w:after="0" w:line="36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580"/>
          </w:cols>
          <w:pgMar w:left="980" w:top="1413" w:right="339" w:bottom="1440" w:gutter="0" w:footer="0" w:header="0"/>
        </w:sectPr>
      </w:pPr>
    </w:p>
    <w:bookmarkStart w:id="156" w:name="page157"/>
    <w:bookmarkEnd w:id="156"/>
    <w:p>
      <w:pPr>
        <w:jc w:val="both"/>
        <w:ind w:left="4"/>
        <w:spacing w:after="0" w:line="251" w:lineRule="auto"/>
        <w:rPr>
          <w:sz w:val="20"/>
          <w:szCs w:val="20"/>
          <w:color w:val="auto"/>
        </w:rPr>
      </w:pPr>
      <w:r>
        <w:rPr>
          <w:rFonts w:ascii="Times New Roman" w:cs="Times New Roman" w:eastAsia="Times New Roman" w:hAnsi="Times New Roman"/>
          <w:sz w:val="20"/>
          <w:szCs w:val="20"/>
          <w:color w:val="auto"/>
        </w:rPr>
        <w:t>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41" w:lineRule="exact"/>
        <w:rPr>
          <w:sz w:val="20"/>
          <w:szCs w:val="20"/>
          <w:color w:val="auto"/>
        </w:rPr>
      </w:pPr>
    </w:p>
    <w:p>
      <w:pPr>
        <w:jc w:val="both"/>
        <w:ind w:left="4" w:firstLine="644"/>
        <w:spacing w:after="0" w:line="254" w:lineRule="auto"/>
        <w:tabs>
          <w:tab w:leader="none" w:pos="106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Plan</w:t>
      </w:r>
      <w:r>
        <w:rPr>
          <w:rFonts w:ascii="Times New Roman" w:cs="Times New Roman" w:eastAsia="Times New Roman" w:hAnsi="Times New Roman"/>
          <w:sz w:val="20"/>
          <w:szCs w:val="20"/>
          <w:color w:val="auto"/>
        </w:rPr>
        <w:t>. As soon as practicable and in any event within 90 days after the end of each Fiscal Year (commencing with the end of the 2024 Fiscal Year), a consolidated plan and financial forecast for such Fiscal Year (a “</w:t>
      </w:r>
      <w:r>
        <w:rPr>
          <w:rFonts w:ascii="Times New Roman" w:cs="Times New Roman" w:eastAsia="Times New Roman" w:hAnsi="Times New Roman"/>
          <w:sz w:val="20"/>
          <w:szCs w:val="20"/>
          <w:u w:val="single" w:color="auto"/>
          <w:color w:val="auto"/>
        </w:rPr>
        <w:t>Financial Plan</w:t>
      </w:r>
      <w:r>
        <w:rPr>
          <w:rFonts w:ascii="Times New Roman" w:cs="Times New Roman" w:eastAsia="Times New Roman" w:hAnsi="Times New Roman"/>
          <w:sz w:val="20"/>
          <w:szCs w:val="20"/>
          <w:color w:val="auto"/>
        </w:rPr>
        <w:t>”), including</w:t>
      </w:r>
    </w:p>
    <w:p>
      <w:pPr>
        <w:spacing w:after="0" w:line="1" w:lineRule="exact"/>
        <w:rPr>
          <w:rFonts w:ascii="Times New Roman" w:cs="Times New Roman" w:eastAsia="Times New Roman" w:hAnsi="Times New Roman"/>
          <w:sz w:val="20"/>
          <w:szCs w:val="20"/>
          <w:color w:val="auto"/>
        </w:rPr>
      </w:pPr>
    </w:p>
    <w:p>
      <w:pPr>
        <w:jc w:val="both"/>
        <w:ind w:left="4" w:hanging="4"/>
        <w:spacing w:after="0" w:line="253" w:lineRule="auto"/>
        <w:tabs>
          <w:tab w:leader="none" w:pos="24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forecasted consolidated balance sheet and forecasted consolidated statements of income and Cash flows of the Initial Borrower and its Restricted Subsidiaries for each such Fiscal Year and (ii) forecasted consolidated statements of income and Cash flows of the Initial Borrower and its Restricted Subsidiaries for each Fiscal Quarter of each such Fiscal Year;</w:t>
      </w:r>
    </w:p>
    <w:p>
      <w:pPr>
        <w:spacing w:after="0" w:line="134"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68" w:lineRule="auto"/>
        <w:tabs>
          <w:tab w:leader="none" w:pos="118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The Borrower Representative will furnish to the Administrative Agent prompt written notice of any change in the information provided in the Beneficial Ownership Certification that would result in a change to the list of beneficial owners identified in parts (c) or (d) of such certification;</w:t>
      </w:r>
    </w:p>
    <w:p>
      <w:pPr>
        <w:spacing w:after="0" w:line="107"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43"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Borrower Representative will furnish to Collateral Agent not less than five (5) Business Days (or such lesser time as agreed to by the Administrative Agent in its sole discretion) prior written notice of any proposed change (other than any disposition permitted under Section 5.02) (i) in any Credit Party’s legal name, (ii) in any Credit Party’s jurisdiction of organization or legal structure or (iii) in the location of any Credit Party’s chief executive office. Borrower Representative also agrees to promptly notify Collateral Agent if any material portion of the Collateral is damaged or destroyed;</w:t>
      </w:r>
    </w:p>
    <w:p>
      <w:pPr>
        <w:spacing w:after="0" w:line="137"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61"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Collateral Verification</w:t>
      </w:r>
      <w:r>
        <w:rPr>
          <w:rFonts w:ascii="Times New Roman" w:cs="Times New Roman" w:eastAsia="Times New Roman" w:hAnsi="Times New Roman"/>
          <w:sz w:val="20"/>
          <w:szCs w:val="20"/>
          <w:color w:val="auto"/>
        </w:rPr>
        <w:t xml:space="preserve">. Each year, at the time of delivery of annual financial statements with respect to the preceding Fiscal Year pursuant to Section 5.01(c) (commencing with the delivery of the annual financial statements for the Fiscal Year ending December 31, 2024), at the time of delivery of annual financial statements with respect to the preceding Fiscal Year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Borrower Representative shall deliver to Collateral Agent an Officer’s Certificate confirming that there has been no change in the information set forth in the schedules to the Pledge and Security Agreement since the Closing Date or the date of the most recent certificate delivered pursuant to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and/or identifying such changes;</w:t>
      </w:r>
    </w:p>
    <w:p>
      <w:pPr>
        <w:spacing w:after="0" w:line="124"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4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(A) Promptly upon their becoming available, copies of (i) all material reports, notices and proxy statements sent or made available generally by PRTH to the holders of its common equity securities acting in such capacity, and (ii) all press releases and other statements made available generally by any Credit Party or any of its Subsidiaries to the public concerning material developments in the business of any Credit Party or any of its</w:t>
      </w:r>
    </w:p>
    <w:p>
      <w:pPr>
        <w:spacing w:after="0" w:line="37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584"/>
          </w:cols>
          <w:pgMar w:left="976" w:top="1413" w:right="339" w:bottom="1440" w:gutter="0" w:footer="0" w:header="0"/>
        </w:sectPr>
      </w:pPr>
    </w:p>
    <w:bookmarkStart w:id="157" w:name="page158"/>
    <w:bookmarkEnd w:id="157"/>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Subsidiaries, and (B) promptly upon request, (i) such other information and data with respect to any Credit Party or any of its Subsidiaries as from time to time may be reasonably requested by Administrative Agent or any Lender through the Administrative Agent (subject to the limitations in the last sentence of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and (ii) information and documentation reasonably requested by the Administrative Agent or any Lender as required by applicable “know your customer” requirements under the PATRIOT Act or other applicable Anti-Terrorism Laws.</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(o) may be satisfied with respect to financial information of the Initial Borrower and its Subsidiaries by furnishing (I) the applicable financial statement of PRTH (or any direct or indirect parent of PRTH) or (II) PRTH’s (or any direct or indirect parent thereof), as applicable, Form 10-K, 10-Q or (solely with respect to Section 5.01(o)) 8-K, as applicable,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 to the extent such information relates to a parent of the Initial Borrower,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the Initial Borrower and its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such materials are accompanied by a report and opinion of Ernst &amp; Young LLP or any other independent certified public accounting firm of nationally recognized standing reasonably satisfactory to the Administrative Agent (such consent not to be unreasonably withheld or delayed), which report shall be unqualified as to “going concern” and scope of audit (other than any qualification or exception that is solely with respect to, or resulting solely from, (A) an upcoming maturity date within one year from the date of such report of any Indebtedness or (B) any potential inability to satisfy a financial maintenance covenant on a future date or in a future period), and shall state that such consolidated financial statements fairly present, in all material respects, the consolidated financial position of PRTH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5.02 </w:t>
      </w:r>
      <w:r>
        <w:rPr>
          <w:rFonts w:ascii="Times New Roman" w:cs="Times New Roman" w:eastAsia="Times New Roman" w:hAnsi="Times New Roman"/>
          <w:sz w:val="20"/>
          <w:szCs w:val="20"/>
          <w:b w:val="1"/>
          <w:bCs w:val="1"/>
          <w:color w:val="auto"/>
        </w:rPr>
        <w:t>Existence</w:t>
      </w:r>
      <w:r>
        <w:rPr>
          <w:rFonts w:ascii="Times New Roman" w:cs="Times New Roman" w:eastAsia="Times New Roman" w:hAnsi="Times New Roman"/>
          <w:sz w:val="20"/>
          <w:szCs w:val="20"/>
          <w:color w:val="auto"/>
        </w:rPr>
        <w:t xml:space="preserve">. Except as otherwise permitted under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each Borrower will, and will cause each of its Restricted Subsidiaries to, at all times (a) maintain and preserve its existence and (b) take all reasonable actions to preserve and keep in full force and effect all rights and franchises, licenses and permits material to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Restricted Subsidiary shall be required to preserve any such existence, right or franchise, licenses and permits if the failure to do so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-635000</wp:posOffset>
            </wp:positionV>
            <wp:extent cx="712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5.03 </w:t>
      </w:r>
      <w:r>
        <w:rPr>
          <w:rFonts w:ascii="Times New Roman" w:cs="Times New Roman" w:eastAsia="Times New Roman" w:hAnsi="Times New Roman"/>
          <w:sz w:val="20"/>
          <w:szCs w:val="20"/>
          <w:b w:val="1"/>
          <w:bCs w:val="1"/>
          <w:color w:val="auto"/>
        </w:rPr>
        <w:t>Payment of Taxes and Claims</w:t>
      </w:r>
      <w:r>
        <w:rPr>
          <w:rFonts w:ascii="Times New Roman" w:cs="Times New Roman" w:eastAsia="Times New Roman" w:hAnsi="Times New Roman"/>
          <w:sz w:val="20"/>
          <w:szCs w:val="20"/>
          <w:color w:val="auto"/>
        </w:rPr>
        <w:t xml:space="preserve">. Each Borrower will, and will cause each of its Subsidiaries to, pay all applicable federal 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Tax or claim need be paid if either (a) the failure to pay the same could not reasonably be expected to have a Material Adverse Effect or (b) such Tax or claim is being contested in good faith by appropriate proceedings promptly instituted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1815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1240"/>
          </w:cols>
          <w:pgMar w:left="320" w:top="1413" w:right="339" w:bottom="1440" w:gutter="0" w:footer="0" w:header="0"/>
        </w:sectPr>
      </w:pPr>
    </w:p>
    <w:bookmarkStart w:id="158" w:name="page159"/>
    <w:bookmarkEnd w:id="15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diligently conducted, so long as adequate reserves or other appropriate provision, as shall be required in conformity with GAAP shall have been made therefor.</w:t>
      </w:r>
    </w:p>
    <w:p>
      <w:pPr>
        <w:spacing w:after="0" w:line="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5.04 </w:t>
      </w:r>
      <w:r>
        <w:rPr>
          <w:rFonts w:ascii="Times New Roman" w:cs="Times New Roman" w:eastAsia="Times New Roman" w:hAnsi="Times New Roman"/>
          <w:sz w:val="20"/>
          <w:szCs w:val="20"/>
          <w:b w:val="1"/>
          <w:bCs w:val="1"/>
          <w:color w:val="auto"/>
        </w:rPr>
        <w:t>Maintenance of Properties</w:t>
      </w:r>
      <w:r>
        <w:rPr>
          <w:rFonts w:ascii="Times New Roman" w:cs="Times New Roman" w:eastAsia="Times New Roman" w:hAnsi="Times New Roman"/>
          <w:sz w:val="20"/>
          <w:szCs w:val="20"/>
          <w:color w:val="auto"/>
        </w:rPr>
        <w:t xml:space="preserve">. Except to the extent the failure to do so could not reasonably be expected to have a Material Adverse Effect, each Borrower will, and will cause each of its Restricted Subsidiaries to, maintain or cause to be maintained in good repair, working order and condition, ordinary wear and tear excepted, all material properties used or useful in the business of any Borrower and its Restricted Subsidiaries and from time to time will make or cause to be made all appropriate repairs, renewals and replacements thereof that are usual and customary for similarly situated businesses;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nothing herein shall be deemed to restrict any Borrower or any of its Restricted Subsidiaries from carrying out alterations and improvements to, or changing the use of, any assets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-944245</wp:posOffset>
            </wp:positionV>
            <wp:extent cx="16065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06550" cy="8890"/>
                    </a:xfrm>
                    <a:prstGeom prst="rect">
                      <a:avLst/>
                    </a:prstGeom>
                    <a:noFill/>
                  </pic:spPr>
                </pic:pic>
              </a:graphicData>
            </a:graphic>
          </wp:anchor>
        </w:drawing>
      </w:r>
    </w:p>
    <w:p>
      <w:pPr>
        <w:spacing w:after="0" w:line="9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5.05</w:t>
      </w:r>
      <w:r>
        <w:rPr>
          <w:sz w:val="20"/>
          <w:szCs w:val="20"/>
          <w:color w:val="auto"/>
        </w:rPr>
        <w:tab/>
      </w:r>
      <w:r>
        <w:rPr>
          <w:rFonts w:ascii="Times New Roman" w:cs="Times New Roman" w:eastAsia="Times New Roman" w:hAnsi="Times New Roman"/>
          <w:sz w:val="19"/>
          <w:szCs w:val="19"/>
          <w:b w:val="1"/>
          <w:bCs w:val="1"/>
          <w:color w:val="auto"/>
        </w:rPr>
        <w:t>Insurance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629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159" w:lineRule="exact"/>
        <w:rPr>
          <w:sz w:val="20"/>
          <w:szCs w:val="20"/>
          <w:color w:val="auto"/>
        </w:rPr>
      </w:pPr>
    </w:p>
    <w:p>
      <w:pPr>
        <w:jc w:val="both"/>
        <w:ind w:firstLine="656"/>
        <w:spacing w:after="0" w:line="250" w:lineRule="auto"/>
        <w:tabs>
          <w:tab w:leader="none" w:pos="116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will maintain or cause to be maintained, with financially sound and reputable insurers (or may be self-insured), business interruption insurance, casualty insurance, public liability insurance, and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spacing w:after="0" w:line="13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with respect to each Flood Hazard Property subject to a Mortgage in favor of the Collateral Agent for the benefit of the Secured Parties that is located in a community that participates in the National Flood Insurance Program, the applicable Credit Party (a) shall obtain and maintain with financially sound and reputable insurance companies such flood insurance in compliance with all applicable rules and regulations promulgated under the Flood Insurance Laws and (b) promptly upon request of the Administrative Agent or any Lender, shall deliver to the Administrative Agent or such Lender, as applicable, evidence of such compliance in form and substance reasonably acceptable to the Administrative Agent or such Lender, including, without limitation, evidence of annual renewals of such flood insurance.</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5.06 </w:t>
      </w:r>
      <w:r>
        <w:rPr>
          <w:rFonts w:ascii="Times New Roman" w:cs="Times New Roman" w:eastAsia="Times New Roman" w:hAnsi="Times New Roman"/>
          <w:sz w:val="20"/>
          <w:szCs w:val="20"/>
          <w:b w:val="1"/>
          <w:bCs w:val="1"/>
          <w:color w:val="auto"/>
        </w:rPr>
        <w:t>Inspections</w:t>
      </w:r>
      <w:r>
        <w:rPr>
          <w:rFonts w:ascii="Times New Roman" w:cs="Times New Roman" w:eastAsia="Times New Roman" w:hAnsi="Times New Roman"/>
          <w:sz w:val="20"/>
          <w:szCs w:val="20"/>
          <w:color w:val="auto"/>
        </w:rPr>
        <w:t xml:space="preserve">. Each Borrower will, and will cause each of its Restricted Subsidiaries to, permit any authorized representatives designated by Administrative Agent (on behalf of the other Agents and the Lenders) to visit and inspect any of the properties of any Borrower and any of its respective Restricted Subsidiaries, to inspect, copy and take extracts from its and their financial and accounting records and other books and records, to inspect any Collateral, and to discuss its and their affairs, finances and accounts with its and their officers, in each case, (a) so long as no Event of Default has occurred and is continuing, upon prior reasonable notice and at such reasonable times during normal business hours so as not to interfere with the normal business and operations of the Credit Parties, and on not more than two occasions per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Borrowers shall not be obligated to pay for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-935990</wp:posOffset>
            </wp:positionV>
            <wp:extent cx="7499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 Any examination or inspection by the Administrative Agent under this Section 5.06 shall be carried out solely for purposes relating to this Agreement and the other Credit Documents and any copies, excerpts or other information obtained as a result thereof shall be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5.07</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u w:val="single" w:color="auto"/>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5.08 </w:t>
      </w:r>
      <w:r>
        <w:rPr>
          <w:rFonts w:ascii="Times New Roman" w:cs="Times New Roman" w:eastAsia="Times New Roman" w:hAnsi="Times New Roman"/>
          <w:sz w:val="20"/>
          <w:szCs w:val="20"/>
          <w:b w:val="1"/>
          <w:bCs w:val="1"/>
          <w:color w:val="auto"/>
        </w:rPr>
        <w:t>Compliance with Laws</w:t>
      </w:r>
      <w:r>
        <w:rPr>
          <w:rFonts w:ascii="Times New Roman" w:cs="Times New Roman" w:eastAsia="Times New Roman" w:hAnsi="Times New Roman"/>
          <w:sz w:val="20"/>
          <w:szCs w:val="20"/>
          <w:color w:val="auto"/>
        </w:rPr>
        <w:t>. Each Borrower will comply, and shall cause each of its Restricted Subsidiaries and use commercially reasonable efforts to cause all other Persons, if any, on or occupying any Real Estate Assets owned or leased by a Credit Party to materially comply, with the requirements of all applicable laws, rules, regulations and orders of any Governmental Authority (including all Environmental Laws), noncompliance with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13544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5.09</w:t>
      </w:r>
      <w:r>
        <w:rPr>
          <w:sz w:val="20"/>
          <w:szCs w:val="20"/>
          <w:color w:val="auto"/>
        </w:rPr>
        <w:tab/>
      </w:r>
      <w:r>
        <w:rPr>
          <w:rFonts w:ascii="Times New Roman" w:cs="Times New Roman" w:eastAsia="Times New Roman" w:hAnsi="Times New Roman"/>
          <w:sz w:val="19"/>
          <w:szCs w:val="19"/>
          <w:b w:val="1"/>
          <w:bCs w:val="1"/>
          <w:color w:val="auto"/>
        </w:rPr>
        <w:t>Designation of Subsidiaries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584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4960" cy="8255"/>
                    </a:xfrm>
                    <a:prstGeom prst="rect">
                      <a:avLst/>
                    </a:prstGeom>
                    <a:noFill/>
                  </pic:spPr>
                </pic:pic>
              </a:graphicData>
            </a:graphic>
          </wp:anchor>
        </w:drawing>
      </w:r>
    </w:p>
    <w:p>
      <w:pPr>
        <w:spacing w:after="0" w:line="146" w:lineRule="exact"/>
        <w:rPr>
          <w:sz w:val="20"/>
          <w:szCs w:val="20"/>
          <w:color w:val="auto"/>
        </w:rPr>
      </w:pPr>
    </w:p>
    <w:p>
      <w:pPr>
        <w:jc w:val="both"/>
        <w:ind w:firstLine="656"/>
        <w:spacing w:after="0" w:line="268" w:lineRule="auto"/>
        <w:tabs>
          <w:tab w:leader="none" w:pos="109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Representative may at any time after the Closing Date, by written notice to the Administrative Agent, designate any Restricted Subsidiary as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prior to and after giving effect to such designation or re-designation:</w:t>
      </w:r>
    </w:p>
    <w:p>
      <w:pPr>
        <w:spacing w:after="0" w:line="107" w:lineRule="exact"/>
        <w:rPr>
          <w:rFonts w:ascii="Times New Roman" w:cs="Times New Roman" w:eastAsia="Times New Roman" w:hAnsi="Times New Roman"/>
          <w:sz w:val="20"/>
          <w:szCs w:val="20"/>
          <w:color w:val="auto"/>
        </w:rPr>
      </w:pPr>
    </w:p>
    <w:p>
      <w:pPr>
        <w:ind w:firstLine="1952"/>
        <w:spacing w:after="0" w:line="283" w:lineRule="auto"/>
        <w:tabs>
          <w:tab w:leader="none" w:pos="242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have occurred and be continuing or exist or would immediately result from such designation after giving Pro Forma Effect thereto,</w:t>
      </w:r>
    </w:p>
    <w:p>
      <w:pPr>
        <w:spacing w:after="0" w:line="92"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0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no Subsidiary designated as an Unrestricted Subsidiary pursuant hereto may be designated as a “Restricted Subsidiary” under the terms of any other material Indebtedness of the Initial Borrower or its Restricted Subsidiaries outstanding at such time and (y) such designation shall be deemed to be an Investment on the date of such designation in an amount equal to the fair market value of the net assets of such Subsidiary attributable to the Initial Borrower’s (or its applicable Restricted Subsidiary’s) interest in the Capital Stock of such Subsidiary (as reasonably determined by the Initial Borrower) and such designation shall be permitted only to the extent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on the date of such designation, and</w:t>
      </w:r>
    </w:p>
    <w:p>
      <w:pPr>
        <w:spacing w:after="0" w:line="138" w:lineRule="exact"/>
        <w:rPr>
          <w:rFonts w:ascii="Times New Roman" w:cs="Times New Roman" w:eastAsia="Times New Roman" w:hAnsi="Times New Roman"/>
          <w:sz w:val="20"/>
          <w:szCs w:val="20"/>
          <w:color w:val="auto"/>
        </w:rPr>
      </w:pPr>
    </w:p>
    <w:p>
      <w:pPr>
        <w:ind w:firstLine="1952"/>
        <w:spacing w:after="0" w:line="269" w:lineRule="auto"/>
        <w:tabs>
          <w:tab w:leader="none" w:pos="2517"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Restricted Subsidiary may be designated (or continue as) an Unrestricted Subsidiary, if such Subsidiary owns, or has an exclusive license in, any Material Intellectual Property.</w:t>
      </w:r>
    </w:p>
    <w:p>
      <w:pPr>
        <w:spacing w:after="0" w:line="118"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may, by written notice to Administrative Agent, re-designate any Unrestricted Subsidiary as a Restricted Subsidiary, and thereafter, such Subsidiary shall no longer constitute an Unrestricted Subsidiary, but only if no Event of Default would immediately result from such re-designation. The re-designation of any Unrestricted Subsidiary as a Restricted Subsidiary shall constitute the incurrence by such Restricted Subsidiary at the time of such re-designation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It is understood and agreed that (A) no Unrestricted Subsidiary designated as a Restricted Subsidiary may thereafter be re-designated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283" w:lineRule="auto"/>
        <w:rPr>
          <w:sz w:val="20"/>
          <w:szCs w:val="20"/>
          <w:color w:val="auto"/>
        </w:rPr>
      </w:pPr>
      <w:r>
        <w:rPr>
          <w:rFonts w:ascii="Times New Roman" w:cs="Times New Roman" w:eastAsia="Times New Roman" w:hAnsi="Times New Roman"/>
          <w:sz w:val="20"/>
          <w:szCs w:val="20"/>
          <w:color w:val="auto"/>
        </w:rPr>
        <w:t>an Unrestricted Subsidiary and (B) at no time shall any Borrower (or any successor entity thereto) be designated as an Unrestricted Subsidiary.</w:t>
      </w:r>
    </w:p>
    <w:p>
      <w:pPr>
        <w:spacing w:after="0" w:line="92" w:lineRule="exact"/>
        <w:rPr>
          <w:sz w:val="20"/>
          <w:szCs w:val="20"/>
          <w:color w:val="auto"/>
        </w:rPr>
      </w:pPr>
    </w:p>
    <w:p>
      <w:pPr>
        <w:jc w:val="both"/>
        <w:ind w:right="20" w:firstLine="656"/>
        <w:spacing w:after="0" w:line="261" w:lineRule="auto"/>
        <w:tabs>
          <w:tab w:leader="none" w:pos="111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may at any time and from time to time, by written notice to Administrative Agent, (i) designate any Restricted Subsidiary as a Designated Restricted Subsidiary, or (ii) revoke any designation of a Restricted Subsidiary that has been previously designated as a Designated Restricted Subsidiary.</w:t>
      </w:r>
    </w:p>
    <w:p>
      <w:pPr>
        <w:spacing w:after="0" w:line="1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b w:val="1"/>
          <w:bCs w:val="1"/>
          <w:color w:val="auto"/>
        </w:rPr>
        <w:t>Additional Guarantors</w:t>
      </w:r>
      <w:r>
        <w:rPr>
          <w:rFonts w:ascii="Times New Roman" w:cs="Times New Roman" w:eastAsia="Times New Roman" w:hAnsi="Times New Roman"/>
          <w:sz w:val="19"/>
          <w:szCs w:val="19"/>
          <w:color w:val="auto"/>
        </w:rPr>
        <w:t xml:space="preserve">. Upon the re-designation of any Unrestricted Subsidiary as a Restricted Subsidiary or the formation or acquisition by any Credit Party or any of its Restricted Subsidiaries of any new direct or indirect Subsidiary (in each case, other than an Excluded Subsidiary) or upon any Subsidiary ceasing to be an Excluded Subsidiary, the Initial Borrower shall, in each case, at the Borrowers’ expense, promptly, within ninety (90) days, or such longer period as determined in writing by Administrative Agent in its sole discretion from time to time, after such formation, acquisition, cessation or re-designation, cause such Subsidiary to become a Guarantor hereunder and a Grantor under the Pledge and Security Agreement by executing and delivering to Administrative Agent and Collateral Agent a Counterpart Agreement, and in furtherance of the foregoing, take all such actions and execute and deliver, or cause to be executed and delivered, supplements to any applicable Subordination Agreement, pledges, assignments, joinders to any intercreditor agreements, any amendments, joinders and/or supplements to the Collateral Documents and any other documents, instruments, agreements, and certificates as are similar to those described in </w:t>
      </w:r>
      <w:r>
        <w:rPr>
          <w:rFonts w:ascii="Times New Roman" w:cs="Times New Roman" w:eastAsia="Times New Roman" w:hAnsi="Times New Roman"/>
          <w:sz w:val="19"/>
          <w:szCs w:val="19"/>
          <w:u w:val="single" w:color="auto"/>
          <w:color w:val="auto"/>
        </w:rPr>
        <w:t>Sections 3.01(d)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w:t>
      </w: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(but only to the extent reasonably required by Administrative Agent and subject to such additional time periods as Administrative Agent may consent to) or as otherwise reasonably requested by any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the avoidance of doubt, (x) the pledge of the Capital Stock of any Domestic Holding Company or Foreign Subsidiary shall be limited to 65% of the voting Capital Stock and 100% of the non-voting Capital Stock in each such Domestic Holding Company or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-1831340</wp:posOffset>
            </wp:positionV>
            <wp:extent cx="13766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jc w:val="both"/>
        <w:ind w:firstLine="8"/>
        <w:spacing w:after="0" w:line="249" w:lineRule="auto"/>
        <w:tabs>
          <w:tab w:leader="none" w:pos="31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Excluded Subsidiary shall be required to become a Guarantor, and (z) no security interest shall be required in Excluded Assets. Additionally, after such formation, acquisition, cessation or re-designation, the Borrower Representative shall promptly send to Administrative Agent written notice setting forth with respect to such Person (i) the date on which such Person became a Subsidiary of a Credit Party, and (ii) all of the data required to be set forth in </w:t>
      </w:r>
      <w:r>
        <w:rPr>
          <w:rFonts w:ascii="Times New Roman" w:cs="Times New Roman" w:eastAsia="Times New Roman" w:hAnsi="Times New Roman"/>
          <w:sz w:val="20"/>
          <w:szCs w:val="20"/>
          <w:u w:val="single" w:color="auto"/>
          <w:color w:val="auto"/>
        </w:rPr>
        <w:t>Schedules 4.01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with respect to such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written notice shall be deemed to supplement </w:t>
      </w:r>
      <w:r>
        <w:rPr>
          <w:rFonts w:ascii="Times New Roman" w:cs="Times New Roman" w:eastAsia="Times New Roman" w:hAnsi="Times New Roman"/>
          <w:sz w:val="20"/>
          <w:szCs w:val="20"/>
          <w:u w:val="single" w:color="auto"/>
          <w:color w:val="auto"/>
        </w:rPr>
        <w:t>Schedule 4.01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for all purposes hereof.</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b w:val="1"/>
          <w:bCs w:val="1"/>
          <w:color w:val="auto"/>
        </w:rPr>
        <w:t>Additional Real Estate Assets</w:t>
      </w:r>
      <w:r>
        <w:rPr>
          <w:rFonts w:ascii="Times New Roman" w:cs="Times New Roman" w:eastAsia="Times New Roman" w:hAnsi="Times New Roman"/>
          <w:sz w:val="20"/>
          <w:szCs w:val="20"/>
          <w:color w:val="auto"/>
        </w:rPr>
        <w:t>. In the event that any Credit Party acquires a fee owned Real Estate Asset after the Closing Date (or becomes a Credit Party after the Closing Date and such new Credit Party owns in fee Real Estate Assets), then, within 90 days of such acquisition (subject to such additional time periods as Administrative Agent may consent to in its sole discretion from time to time), in each case, with respect to any fee owned Real Estate Asset with a fair market value of $10,000,000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-483235</wp:posOffset>
            </wp:positionV>
            <wp:extent cx="1759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59585" cy="8890"/>
                    </a:xfrm>
                    <a:prstGeom prst="rect">
                      <a:avLst/>
                    </a:prstGeom>
                    <a:noFill/>
                  </pic:spPr>
                </pic:pic>
              </a:graphicData>
            </a:graphic>
          </wp:anchor>
        </w:drawing>
      </w:r>
    </w:p>
    <w:p>
      <w:pPr>
        <w:spacing w:after="0" w:line="114" w:lineRule="exact"/>
        <w:rPr>
          <w:sz w:val="20"/>
          <w:szCs w:val="20"/>
          <w:color w:val="auto"/>
        </w:rPr>
      </w:pPr>
    </w:p>
    <w:p>
      <w:pPr>
        <w:ind w:left="1720" w:hanging="416"/>
        <w:spacing w:after="0"/>
        <w:tabs>
          <w:tab w:leader="none" w:pos="17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Credit Party shall deliver to Collateral Agent:</w:t>
      </w:r>
    </w:p>
    <w:p>
      <w:pPr>
        <w:spacing w:after="0" w:line="175" w:lineRule="exact"/>
        <w:rPr>
          <w:rFonts w:ascii="Times New Roman" w:cs="Times New Roman" w:eastAsia="Times New Roman" w:hAnsi="Times New Roman"/>
          <w:sz w:val="20"/>
          <w:szCs w:val="20"/>
          <w:color w:val="auto"/>
        </w:rPr>
      </w:pPr>
    </w:p>
    <w:p>
      <w:pPr>
        <w:ind w:left="2360" w:hanging="408"/>
        <w:spacing w:after="0"/>
        <w:tabs>
          <w:tab w:leader="none" w:pos="236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executed and notarized Mortgages, in proper form for recording in all appropriate places in all applicable</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jurisdictions;</w:t>
      </w:r>
    </w:p>
    <w:p>
      <w:pPr>
        <w:spacing w:after="0" w:line="153"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19"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counsel (which counsel shall be reasonably satisfactory to Collateral Agent) in each jurisdiction in which such property is located with respect to the enforceability of the Mortgages to be recorded in such jurisdiction and such other matters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1240"/>
          </w:cols>
          <w:pgMar w:left="320" w:top="1413" w:right="339"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20"/>
          <w:szCs w:val="20"/>
          <w:color w:val="auto"/>
        </w:rPr>
        <w:t>as Collateral Agent may reasonably request, in each case, in form and substance reasonably satisfactory to Collateral Agent;</w:t>
      </w:r>
    </w:p>
    <w:p>
      <w:pPr>
        <w:spacing w:after="0" w:line="175" w:lineRule="exact"/>
        <w:rPr>
          <w:sz w:val="20"/>
          <w:szCs w:val="20"/>
          <w:color w:val="auto"/>
        </w:rPr>
      </w:pPr>
    </w:p>
    <w:p>
      <w:pPr>
        <w:jc w:val="both"/>
        <w:ind w:left="1300" w:firstLine="652"/>
        <w:spacing w:after="0" w:line="250" w:lineRule="auto"/>
        <w:tabs>
          <w:tab w:leader="none" w:pos="268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 ALTA (or similar form acceptable to Collateral Agent) mortgagee title insurance policy or unconditional commitment therefor issued by one or more title companies reasonably satisfactory to Collateral Agent with respect to such property (each, a “</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insuring the Lien of each such Mortgage as a First Priority Lien on the title to such Real Estate Asset described therein in an amount not less than the fair market value of such property, together with such endorsements as the Collateral Agent may reasonably request and which are available at commercially reasonable rates in the jurisdiction where the applicable Real Estate Asset is located, a title report issued by a title company with respect thereto, dated not more than thirty (30) days prior to the acquisition of such property and copies of all recorded documents listed as exceptions to title or otherwise referred to therein, each in form and substance reasonably satisfactory to Collateral Agent and (B) evidence reasonably satisfactory to Collateral Agent that such Credit Party has paid to the title company or to the appropriate Governmental Authorities all expenses and premiums of the title company and all other sums required in connection with the issuance of each Title Policy (including so-called “gap” insurance) and all recording and stamp taxes (including intangible taxes and any other mortgage recording taxes) payable in connection with recording each Mortgage for such property in the appropriate real estate records;</w:t>
      </w:r>
    </w:p>
    <w:p>
      <w:pPr>
        <w:spacing w:after="0" w:line="125" w:lineRule="exact"/>
        <w:rPr>
          <w:rFonts w:ascii="Times New Roman" w:cs="Times New Roman" w:eastAsia="Times New Roman" w:hAnsi="Times New Roman"/>
          <w:sz w:val="20"/>
          <w:szCs w:val="20"/>
          <w:color w:val="auto"/>
        </w:rPr>
      </w:pPr>
    </w:p>
    <w:p>
      <w:pPr>
        <w:jc w:val="both"/>
        <w:ind w:left="1300" w:firstLine="652"/>
        <w:spacing w:after="0" w:line="257" w:lineRule="auto"/>
        <w:tabs>
          <w:tab w:leader="none" w:pos="249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flood insurance with respect to each Flood Hazard Property that is located in a community that participates in the National Flood Insurance Program (after Collateral Agent shall have ordered “life-of-loan” flood determinations for each such Real Estate Asset and to the extent applicable, the Borrower shall have duly executed a notice about special flood hazard area status and flood disaster assistance), in each case, in compliance with the Flood Insurance Laws and in accordance with Section 5.05(b) hereof, in form and substance satisfactory to Collateral Agent;</w:t>
      </w:r>
    </w:p>
    <w:p>
      <w:pPr>
        <w:spacing w:after="0" w:line="118"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438"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ALTA survey of such Real Estate Asset, certified to Collateral Agent and dated not more than thirty (30) days prior to the acquisition of such property; and</w:t>
      </w:r>
    </w:p>
    <w:p>
      <w:pPr>
        <w:spacing w:after="0" w:line="92" w:lineRule="exact"/>
        <w:rPr>
          <w:rFonts w:ascii="Times New Roman" w:cs="Times New Roman" w:eastAsia="Times New Roman" w:hAnsi="Times New Roman"/>
          <w:sz w:val="20"/>
          <w:szCs w:val="20"/>
          <w:color w:val="auto"/>
        </w:rPr>
      </w:pPr>
    </w:p>
    <w:p>
      <w:pPr>
        <w:jc w:val="both"/>
        <w:ind w:left="1300" w:firstLine="652"/>
        <w:spacing w:after="0" w:line="268" w:lineRule="auto"/>
        <w:tabs>
          <w:tab w:leader="none" w:pos="244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requested by any Agent, an ASTM-compliant Phase I Environmental Site Assessment Report, in form, scope and substance reasonably satisfactory to Administrative Agent, relating to such Real Estate Assets; and</w:t>
      </w:r>
    </w:p>
    <w:p>
      <w:pPr>
        <w:spacing w:after="0" w:line="107"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5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lien on and security interest in such Real Estate Assets referred to above (other than as provided in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above), and (ii) Administrative Agent, at the request of Requisite Lenders, from time to time, such appraisals as are required by law or regulation of Real Estate Assets with respect to which Collateral Agent has been granted a Lien (if FIRREA appraisals are required to be prepared in respect of any Real Estate Asset to be subject to a Mortgage, the Borrower shall promptly ensure that the Administrative Agent obtains appraisals that satisfy and comply with the applicable requirements of the Real Estate Appraisal Reform Amendments of FIRREA).</w:t>
      </w:r>
    </w:p>
    <w:p>
      <w:pPr>
        <w:spacing w:after="0" w:line="137"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b w:val="1"/>
          <w:bCs w:val="1"/>
          <w:color w:val="auto"/>
        </w:rPr>
        <w:t>Corporate Ratings</w:t>
      </w:r>
      <w:r>
        <w:rPr>
          <w:rFonts w:ascii="Times New Roman" w:cs="Times New Roman" w:eastAsia="Times New Roman" w:hAnsi="Times New Roman"/>
          <w:sz w:val="20"/>
          <w:szCs w:val="20"/>
          <w:color w:val="auto"/>
        </w:rPr>
        <w:t>. Use commercially reasonable efforts to obtain and maintain in effect Corporate Ratings from each of S&amp;P and Moody’s (it being understood and agreed that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11868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1240"/>
          </w:cols>
          <w:pgMar w:left="320" w:top="141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shall PRTH, Borrower Representative or any other Credit Party be required to maintain Corporate Ratings of a certain level).</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xml:space="preserve">. At any time or from time to time upon the reasonable request of Administrative Agent, each Borrower will, and will cause each Restricted Subsidiary to, at the Borrowers’ expense, promptly execute, acknowledge and deliver such further documents and do such other acts and things as Administrative Agent or Collateral Agent may reasonably request in order to effect fully the purposes of the Credit Documents, including (i) providing Lenders with any information reasonably requested pursuant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xml:space="preserve"> (ii) correcting any material defect or error in the execution, acknowledgment, filing or recordation of any Credit Document, and (iii) executing, acknowledging, delivering, recording, re-recording, filing, re-filing, registering and re-registering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each Borrower shall, and shall cause each Credit Party to, take such actions as Administrative Agent or Collateral Agent may reasonably request from time to time to ensure that the Obligations are guaranteed by the Guarantors and are secured by substantially all of the assets not constituting Excluded Assets of each Credit Party (except as limited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-1542415</wp:posOffset>
            </wp:positionV>
            <wp:extent cx="1207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b w:val="1"/>
          <w:bCs w:val="1"/>
          <w:color w:val="auto"/>
        </w:rPr>
        <w:t>Post-Closing Matters</w:t>
      </w:r>
      <w:r>
        <w:rPr>
          <w:rFonts w:ascii="Times New Roman" w:cs="Times New Roman" w:eastAsia="Times New Roman" w:hAnsi="Times New Roman"/>
          <w:sz w:val="20"/>
          <w:szCs w:val="20"/>
          <w:color w:val="auto"/>
        </w:rPr>
        <w:t xml:space="preserve">(a) . The Borrowers shall, and shall cause each Restricted Subsidiary to, satisfy the requirements set forth on </w:t>
      </w: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 xml:space="preserve"> on or before the date specified thereon for such requirement or such later date(s) as may be agreed by Administrative Agent in its sole discretion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12852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5.16 </w:t>
      </w:r>
      <w:r>
        <w:rPr>
          <w:rFonts w:ascii="Times New Roman" w:cs="Times New Roman" w:eastAsia="Times New Roman" w:hAnsi="Times New Roman"/>
          <w:sz w:val="19"/>
          <w:szCs w:val="19"/>
          <w:b w:val="1"/>
          <w:bCs w:val="1"/>
          <w:color w:val="auto"/>
        </w:rPr>
        <w:t>Books and Records</w:t>
      </w:r>
      <w:r>
        <w:rPr>
          <w:rFonts w:ascii="Times New Roman" w:cs="Times New Roman" w:eastAsia="Times New Roman" w:hAnsi="Times New Roman"/>
          <w:sz w:val="19"/>
          <w:szCs w:val="19"/>
          <w:color w:val="auto"/>
        </w:rPr>
        <w:t>. (a) Maintain proper books of record and account, with entries that are full, true and correct in all material respects and which reflect all financial transactions and matters involving the assets and business of the Borrowers or any Restricted Subsidiary, as the case may be, in each case, that enables the Initial Borrower to produce financial statements in accordance with GAAP;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-323850</wp:posOffset>
            </wp:positionV>
            <wp:extent cx="12617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jc w:val="both"/>
        <w:ind w:firstLine="8"/>
        <w:spacing w:after="0" w:line="251" w:lineRule="auto"/>
        <w:tabs>
          <w:tab w:leader="none" w:pos="31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3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b w:val="1"/>
          <w:bCs w:val="1"/>
          <w:color w:val="auto"/>
        </w:rPr>
        <w:t>Underwriting Guidelines</w:t>
      </w:r>
      <w:r>
        <w:rPr>
          <w:rFonts w:ascii="Times New Roman" w:cs="Times New Roman" w:eastAsia="Times New Roman" w:hAnsi="Times New Roman"/>
          <w:sz w:val="20"/>
          <w:szCs w:val="20"/>
          <w:color w:val="auto"/>
        </w:rPr>
        <w:t>. Each Borrower and its Subsidiaries shall at all times comply with the Underwriting Guidelines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14795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b w:val="1"/>
          <w:bCs w:val="1"/>
          <w:color w:val="auto"/>
        </w:rPr>
        <w:t>Use of Proceeds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967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67740" cy="8890"/>
                    </a:xfrm>
                    <a:prstGeom prst="rect">
                      <a:avLst/>
                    </a:prstGeom>
                    <a:noFill/>
                  </pic:spPr>
                </pic:pic>
              </a:graphicData>
            </a:graphic>
          </wp:anchor>
        </w:drawing>
      </w:r>
    </w:p>
    <w:p>
      <w:pPr>
        <w:spacing w:after="0" w:line="159" w:lineRule="exact"/>
        <w:rPr>
          <w:sz w:val="20"/>
          <w:szCs w:val="20"/>
          <w:color w:val="auto"/>
        </w:rPr>
      </w:pPr>
    </w:p>
    <w:p>
      <w:pPr>
        <w:ind w:right="20" w:firstLine="1304"/>
        <w:spacing w:after="0" w:line="283" w:lineRule="auto"/>
        <w:tabs>
          <w:tab w:leader="none" w:pos="172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use the proceeds of any borrowing on the Closing Date, whether directly or indirectly, in a manner consistent with the uses set forth in the recitals to this Agreement.</w:t>
      </w:r>
    </w:p>
    <w:p>
      <w:pPr>
        <w:spacing w:after="0" w:line="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1240"/>
          </w:cols>
          <w:pgMar w:left="320" w:top="141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color w:val="auto"/>
        </w:rPr>
        <w:t>Permitted Acquisitions, other Permitted Investments and Restricted Payments) not in contravention of any law or of any Credit Document.</w:t>
      </w:r>
    </w:p>
    <w:p>
      <w:pPr>
        <w:spacing w:after="0" w:line="175" w:lineRule="exact"/>
        <w:rPr>
          <w:sz w:val="20"/>
          <w:szCs w:val="20"/>
          <w:color w:val="auto"/>
        </w:rPr>
      </w:pPr>
    </w:p>
    <w:p>
      <w:pPr>
        <w:ind w:firstLine="1304"/>
        <w:spacing w:after="0" w:line="269" w:lineRule="auto"/>
        <w:tabs>
          <w:tab w:leader="none" w:pos="181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Incremental Term Loans shall be used by the applicable Borrower for general corporate purposes (including, Permitted Acquisitions) not in contravention of any law or of any Credit Document.</w:t>
      </w:r>
    </w:p>
    <w:p>
      <w:pPr>
        <w:spacing w:after="0" w:line="118" w:lineRule="exact"/>
        <w:rPr>
          <w:rFonts w:ascii="Times New Roman" w:cs="Times New Roman" w:eastAsia="Times New Roman" w:hAnsi="Times New Roman"/>
          <w:sz w:val="20"/>
          <w:szCs w:val="20"/>
          <w:color w:val="auto"/>
        </w:rPr>
      </w:pPr>
    </w:p>
    <w:p>
      <w:pPr>
        <w:ind w:firstLine="1304"/>
        <w:spacing w:after="0" w:line="269" w:lineRule="auto"/>
        <w:tabs>
          <w:tab w:leader="none" w:pos="18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shall be used solely to support payment obligations incurred by the applicable Borrower and its Restricted Subsidiaries not in contravention of any Credit Documents.</w:t>
      </w:r>
    </w:p>
    <w:p>
      <w:pPr>
        <w:spacing w:after="0" w:line="1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shall, directly or, knowingly, indirectly, use the proceeds of any Loan or Letter of Credit in violation of any and all applicable laws, rules, regulations and orders of any Governmental Authority, including applicable Sanctions, the PATRIOT Act, the FCPA or any other applicable Anti-Corruption Laws or Anti-Terrorism Laws.</w:t>
      </w:r>
    </w:p>
    <w:p>
      <w:pPr>
        <w:spacing w:after="0" w:line="12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w:t>
      </w:r>
      <w:r>
        <w:rPr>
          <w:rFonts w:ascii="Times New Roman" w:cs="Times New Roman" w:eastAsia="Times New Roman" w:hAnsi="Times New Roman"/>
          <w:sz w:val="20"/>
          <w:szCs w:val="20"/>
          <w:color w:val="FF0000"/>
          <w:strike w:val="1"/>
        </w:rPr>
        <w:t>2024-1 Incremental</w:t>
      </w:r>
      <w:r>
        <w:rPr>
          <w:rFonts w:ascii="Times New Roman" w:cs="Times New Roman" w:eastAsia="Times New Roman" w:hAnsi="Times New Roman"/>
          <w:sz w:val="20"/>
          <w:szCs w:val="20"/>
          <w:u w:val="single" w:color="auto"/>
          <w:color w:val="0000FF"/>
        </w:rPr>
        <w:t>Initial</w:t>
      </w:r>
      <w:r>
        <w:rPr>
          <w:rFonts w:ascii="Times New Roman" w:cs="Times New Roman" w:eastAsia="Times New Roman" w:hAnsi="Times New Roman"/>
          <w:sz w:val="20"/>
          <w:szCs w:val="20"/>
          <w:color w:val="auto"/>
        </w:rPr>
        <w:t xml:space="preserve"> Term Loans </w:t>
      </w:r>
      <w:r>
        <w:rPr>
          <w:rFonts w:ascii="Times New Roman" w:cs="Times New Roman" w:eastAsia="Times New Roman" w:hAnsi="Times New Roman"/>
          <w:sz w:val="20"/>
          <w:szCs w:val="20"/>
          <w:u w:val="single" w:color="auto"/>
          <w:color w:val="0000FF"/>
        </w:rPr>
        <w:t>incurred on the Amendment No. 2 Effective Date</w:t>
      </w:r>
      <w:r>
        <w:rPr>
          <w:rFonts w:ascii="Times New Roman" w:cs="Times New Roman" w:eastAsia="Times New Roman" w:hAnsi="Times New Roman"/>
          <w:sz w:val="20"/>
          <w:szCs w:val="20"/>
          <w:color w:val="auto"/>
        </w:rPr>
        <w:t xml:space="preserve"> shall be used by the </w:t>
      </w:r>
      <w:r>
        <w:rPr>
          <w:rFonts w:ascii="Times New Roman" w:cs="Times New Roman" w:eastAsia="Times New Roman" w:hAnsi="Times New Roman"/>
          <w:sz w:val="20"/>
          <w:szCs w:val="20"/>
          <w:color w:val="FF0000"/>
          <w:strike w:val="1"/>
        </w:rPr>
        <w:t>applicable Borrower to redeem 100% of the issued and outstanding Capital Stock under the Preferred Stock Facility and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pay</w:t>
      </w:r>
      <w:r>
        <w:rPr>
          <w:rFonts w:ascii="Times New Roman" w:cs="Times New Roman" w:eastAsia="Times New Roman" w:hAnsi="Times New Roman"/>
          <w:sz w:val="20"/>
          <w:szCs w:val="20"/>
          <w:u w:val="single" w:color="auto"/>
          <w:color w:val="0000FF"/>
          <w:strike w:val="1"/>
        </w:rPr>
        <w:t>Borrowers to (i) repay in full the Refinanced Term Loans and to pay all accrued and unpaid interest in respect of such Refinanced Term</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Loans, (ii) finance ongoing working capital and general corporate purposes (including Permitted Acquisitions) not in contravention of any law or of any Credit Document and (iii) pay</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fees and expenses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incurred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in connection with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such redemption 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Amendment No</w:t>
      </w:r>
      <w:r>
        <w:rPr>
          <w:rFonts w:ascii="Times New Roman" w:cs="Times New Roman" w:eastAsia="Times New Roman" w:hAnsi="Times New Roman"/>
          <w:sz w:val="20"/>
          <w:szCs w:val="20"/>
          <w:color w:val="FF0000"/>
          <w:strike w:val="1"/>
        </w:rPr>
        <w:t>. 1</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2</w:t>
      </w:r>
      <w:r>
        <w:rPr>
          <w:rFonts w:ascii="Times New Roman" w:cs="Times New Roman" w:eastAsia="Times New Roman" w:hAnsi="Times New Roman"/>
          <w:sz w:val="20"/>
          <w:szCs w:val="20"/>
          <w:color w:val="000000"/>
          <w:strike w:val="1"/>
        </w:rPr>
        <w:t>.</w:t>
      </w:r>
    </w:p>
    <w:p>
      <w:pPr>
        <w:spacing w:after="0" w:line="13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5.21 </w:t>
      </w:r>
      <w:r>
        <w:rPr>
          <w:rFonts w:ascii="Times New Roman" w:cs="Times New Roman" w:eastAsia="Times New Roman" w:hAnsi="Times New Roman"/>
          <w:sz w:val="20"/>
          <w:szCs w:val="20"/>
          <w:b w:val="1"/>
          <w:bCs w:val="1"/>
          <w:color w:val="auto"/>
        </w:rPr>
        <w:t>Accounting Policies</w:t>
      </w:r>
      <w:r>
        <w:rPr>
          <w:rFonts w:ascii="Times New Roman" w:cs="Times New Roman" w:eastAsia="Times New Roman" w:hAnsi="Times New Roman"/>
          <w:sz w:val="20"/>
          <w:szCs w:val="20"/>
          <w:color w:val="auto"/>
        </w:rPr>
        <w:t xml:space="preserve">. Each Borrower shall, and shall cause its Restricted Subsidiaries to, maintain in effect its accounting policies or reporting practices without any significant change, except (a) as required by GAAP, (b) in order to comply with rules promulgated by the Securities and Exchange Commission, (c) upon the recommendation of its auditors or (d) as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-354965</wp:posOffset>
            </wp:positionV>
            <wp:extent cx="12293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5.22 </w:t>
      </w:r>
      <w:r>
        <w:rPr>
          <w:rFonts w:ascii="Times New Roman" w:cs="Times New Roman" w:eastAsia="Times New Roman" w:hAnsi="Times New Roman"/>
          <w:sz w:val="20"/>
          <w:szCs w:val="20"/>
          <w:b w:val="1"/>
          <w:bCs w:val="1"/>
          <w:color w:val="auto"/>
        </w:rPr>
        <w:t>Transactions with Shareholders and Affiliates</w:t>
      </w:r>
      <w:r>
        <w:rPr>
          <w:rFonts w:ascii="Times New Roman" w:cs="Times New Roman" w:eastAsia="Times New Roman" w:hAnsi="Times New Roman"/>
          <w:sz w:val="20"/>
          <w:szCs w:val="20"/>
          <w:color w:val="auto"/>
        </w:rPr>
        <w:t xml:space="preserve">. Each Borrower shall, and shall cause its Restricted Subsidiaries to, directly or indirectly, enter into or permit to exist any transaction (including the purchase, sale, lease or exchange of any property or the rendering of any service) with any Affiliate of any Credit Party only if the terms of such transaction are not, taken as a whole, less favorable in any material respect to such Borrower or that Restricted Subsidiary, as the case may be, than those that might be obtained at the time in a comparable arm’s length transaction from a Person who is not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restrictions shall not apply to (a) any transaction between or among Credit Parties and Restricted Subsidiaries otherwise permitted by the Credit Documents;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and its Restricted Subsidiaries; (d) Restricted Payments and Restricted Debt Payments permitted by </w:t>
      </w:r>
      <w:r>
        <w:rPr>
          <w:rFonts w:ascii="Times New Roman" w:cs="Times New Roman" w:eastAsia="Times New Roman" w:hAnsi="Times New Roman"/>
          <w:sz w:val="20"/>
          <w:szCs w:val="20"/>
          <w:u w:val="single" w:color="auto"/>
          <w:color w:val="auto"/>
        </w:rPr>
        <w:t>Section 6.05(a) or (b)</w:t>
      </w:r>
      <w:r>
        <w:rPr>
          <w:rFonts w:ascii="Times New Roman" w:cs="Times New Roman" w:eastAsia="Times New Roman" w:hAnsi="Times New Roman"/>
          <w:sz w:val="20"/>
          <w:szCs w:val="20"/>
          <w:color w:val="auto"/>
        </w:rPr>
        <w:t xml:space="preserve">, (e) Investments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(f) Permitted Stock Issuances; (g) the existence of, and the performance by any Credit Party of its obligations under the terms of, any Organizational Document or security holders agreement (including any purchase agreement related thereto) to which it is a party on the Closing Date and set forth on </w:t>
      </w:r>
      <w:r>
        <w:rPr>
          <w:rFonts w:ascii="Times New Roman" w:cs="Times New Roman" w:eastAsia="Times New Roman" w:hAnsi="Times New Roman"/>
          <w:sz w:val="20"/>
          <w:szCs w:val="20"/>
          <w:u w:val="single" w:color="auto"/>
          <w:color w:val="auto"/>
        </w:rPr>
        <w:t>Schedule 5.22</w:t>
      </w:r>
      <w:r>
        <w:rPr>
          <w:rFonts w:ascii="Times New Roman" w:cs="Times New Roman" w:eastAsia="Times New Roman" w:hAnsi="Times New Roman"/>
          <w:sz w:val="20"/>
          <w:szCs w:val="20"/>
          <w:color w:val="auto"/>
        </w:rPr>
        <w:t xml:space="preserve">; (h) payments under the TCP Director Agreement;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(i) guarantees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and (j) transactions pursuant to any 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Residual Financings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-1991995</wp:posOffset>
            </wp:positionV>
            <wp:extent cx="26098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985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-183515</wp:posOffset>
            </wp:positionV>
            <wp:extent cx="24142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14270" cy="8890"/>
                    </a:xfrm>
                    <a:prstGeom prst="rect">
                      <a:avLst/>
                    </a:prstGeom>
                    <a:noFill/>
                  </pic:spPr>
                </pic:pic>
              </a:graphicData>
            </a:graphic>
          </wp:anchor>
        </w:drawing>
      </w:r>
    </w:p>
    <w:p>
      <w:pPr>
        <w:spacing w:after="0" w:line="10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5.23 </w:t>
      </w:r>
      <w:r>
        <w:rPr>
          <w:rFonts w:ascii="Times New Roman" w:cs="Times New Roman" w:eastAsia="Times New Roman" w:hAnsi="Times New Roman"/>
          <w:sz w:val="20"/>
          <w:szCs w:val="20"/>
          <w:b w:val="1"/>
          <w:bCs w:val="1"/>
          <w:color w:val="auto"/>
        </w:rPr>
        <w:t>Conduct of Business</w:t>
      </w:r>
      <w:r>
        <w:rPr>
          <w:rFonts w:ascii="Times New Roman" w:cs="Times New Roman" w:eastAsia="Times New Roman" w:hAnsi="Times New Roman"/>
          <w:sz w:val="20"/>
          <w:szCs w:val="20"/>
          <w:color w:val="auto"/>
        </w:rPr>
        <w:t xml:space="preserve">. Notwithstanding anything to the contrary in this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each Borrower shall, and shall cause its Restricted Subsidiaries to, only engage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12661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1240"/>
          </w:cols>
          <w:pgMar w:left="320" w:top="1413" w:right="339" w:bottom="1440" w:gutter="0" w:footer="0" w:header="0"/>
        </w:sectPr>
      </w:pPr>
    </w:p>
    <w:bookmarkStart w:id="164" w:name="page165"/>
    <w:bookmarkEnd w:id="164"/>
    <w:p>
      <w:pPr>
        <w:spacing w:after="0" w:line="283" w:lineRule="auto"/>
        <w:rPr>
          <w:sz w:val="20"/>
          <w:szCs w:val="20"/>
          <w:color w:val="auto"/>
        </w:rPr>
      </w:pPr>
      <w:r>
        <w:rPr>
          <w:rFonts w:ascii="Times New Roman" w:cs="Times New Roman" w:eastAsia="Times New Roman" w:hAnsi="Times New Roman"/>
          <w:sz w:val="20"/>
          <w:szCs w:val="20"/>
          <w:color w:val="auto"/>
        </w:rPr>
        <w:t>businesses engaged in by such Person on the Closing Date and businesses reasonably related, ancillary, incidental or complimentary thereto or reasonable extensions of any of the foregoing.</w:t>
      </w:r>
    </w:p>
    <w:p>
      <w:pPr>
        <w:spacing w:after="0" w:line="8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5.24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Each Borrower shall, and shall cause its Restricted Subsidiaries to, keep its Fiscal Year-end as December 31, unless required by applicable law or to change the Fiscal Year of a Restricted Subsidiary to conform its Fiscal Year to that of PRTH.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773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6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19"/>
          <w:szCs w:val="19"/>
          <w:b w:val="1"/>
          <w:bCs w:val="1"/>
          <w:color w:val="auto"/>
        </w:rPr>
        <w:t>Anti-Corruption Laws; Anti-Terrorism Laws; Sanctions,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3409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159" w:lineRule="exact"/>
        <w:rPr>
          <w:sz w:val="20"/>
          <w:szCs w:val="20"/>
          <w:color w:val="auto"/>
        </w:rPr>
      </w:pPr>
    </w:p>
    <w:p>
      <w:pPr>
        <w:jc w:val="both"/>
        <w:ind w:firstLine="940"/>
        <w:spacing w:after="0" w:line="251" w:lineRule="auto"/>
        <w:tabs>
          <w:tab w:leader="none" w:pos="122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Borrower, the other Credit Parties, their respective Subsidiaries or, to the knowledge of the Credit Parties, any director, officer, employee, Affiliate or agent acting on behalf, and at the direction, of any of the foregoing, shall not (i) use any corporate funds (including the proceeds of any Loans or any Letter of Credit) for any unlawful contribution, gift, entertainment or other unlawful expense relating to political activity in violation of applicable Anti-Corruption Laws, (ii) offer, pay, give, promise to pay, authorize the payment of, or take any action in furtherance of the payment of anything of value directly or, knowingly, indirectly to a Foreign Official or any other Person acting in an official capacity with the intent to improperly influence the recipient’s official act, or otherwise to obtain or retain business or to secure an improper business advantage, in each case, in violation of applicable Anti-Corruption Laws, or (iii) by act or omission, violate any applicable Anti-Corruption Law.</w:t>
      </w:r>
    </w:p>
    <w:p>
      <w:pPr>
        <w:spacing w:after="0" w:line="14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7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Borrower, the other Credit Parties, their respective Subsidiaries or, to the knowledge of the Credit Parties, any director, officer, employee, Affiliate or agent acting on behalf, and at the direction, of any of the foregoing, shall not, directly or, knowingly, indirectly, use the proceeds of the Loans or Letter of Credit or lend, contribute or otherwise make available such proceeds to any Subsidiary, Affiliate, joint venture partner or other Person for the purpose of financing or facilitating any activity that would violate any applicable Anti-Terrorism Laws.</w:t>
      </w:r>
    </w:p>
    <w:p>
      <w:pPr>
        <w:spacing w:after="0" w:line="13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1"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Borrower, the other Credit Parties, their respective Subsidiaries or, to the knowledge of the Credit Parties, any director, officer, employee, Affiliate or agent acting on behalf, and at the direction, of any of the foregoing, shall not conduct its business in such a manner so as to, directly or, knowingly,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in each case, in violation of applicable Sanctions, or in any manner that would result in the violation of Sanctions applicable to it.</w:t>
      </w:r>
    </w:p>
    <w:p>
      <w:pPr>
        <w:spacing w:after="0" w:line="1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Negative Covenants</w:t>
      </w:r>
    </w:p>
    <w:p>
      <w:pPr>
        <w:spacing w:after="0" w:line="17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Borrower covenants and agrees that, so long as any Commitment is in effect and until the Payment in Full of all Obligations, such Borrower shall perform, and shall cause each of its Restricted Subsidiaries to perform, all covenants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6.01 </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No Borrower shall, nor shall it permit any of its Restricted Subsidiaries to, directly or indirectly, create, incur, assume or guaranty, or otherwise become or remain directly or indirectly liable with respect to any Indebtedness,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847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47725" cy="8890"/>
                    </a:xfrm>
                    <a:prstGeom prst="rect">
                      <a:avLst/>
                    </a:prstGeom>
                    <a:noFill/>
                  </pic:spPr>
                </pic:pic>
              </a:graphicData>
            </a:graphic>
          </wp:anchor>
        </w:drawing>
      </w:r>
    </w:p>
    <w:p>
      <w:pPr>
        <w:spacing w:after="0" w:line="68" w:lineRule="exact"/>
        <w:rPr>
          <w:sz w:val="20"/>
          <w:szCs w:val="20"/>
          <w:color w:val="auto"/>
        </w:rPr>
      </w:pPr>
    </w:p>
    <w:p>
      <w:pPr>
        <w:ind w:left="660" w:firstLine="644"/>
        <w:spacing w:after="0" w:line="283" w:lineRule="auto"/>
        <w:tabs>
          <w:tab w:leader="none" w:pos="181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(including Term Loans and Revolving Loans incurred, refinanced or extended pursuant to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2.26</w:t>
      </w:r>
      <w:r>
        <w:rPr>
          <w:rFonts w:ascii="Times New Roman" w:cs="Times New Roman" w:eastAsia="Times New Roman" w:hAnsi="Times New Roman"/>
          <w:sz w:val="20"/>
          <w:szCs w:val="20"/>
          <w:color w:val="auto"/>
        </w:rPr>
        <w:t>, as applicable);</w:t>
      </w:r>
    </w:p>
    <w:p>
      <w:pPr>
        <w:spacing w:after="0" w:line="9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4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any Credit Party owed to any other Credit Parties, (B) any Restricted Subsidiary that is not a Credit Party owed to any other Restricted Subsidiary that is not a Credit Party, (C) any Credit Party owed to any Restricted Subsidiary that is not a Credit Party;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 and (D) any Restricted Subsidiary that is not a Credit Party owed to a Credit Party in each case, to the extent constituting an Investment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4"/>
        <w:spacing w:after="0" w:line="258" w:lineRule="auto"/>
        <w:tabs>
          <w:tab w:leader="none" w:pos="111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any Borrower or any Restricted Subsidiary in connection with a virtual credit card program established by such Borrower or Restricted Subsidiary with any bank, financial institution or other lender that provides such program in an aggregate outstanding principal amount not to exceed the greater of (i)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(ii) 15% of Consolidated Adjusted EBITDA for the most recently ended Test Period (calculated on a Pro Forma Basis);</w:t>
      </w:r>
    </w:p>
    <w:p>
      <w:pPr>
        <w:spacing w:after="0" w:line="118" w:lineRule="exact"/>
        <w:rPr>
          <w:rFonts w:ascii="Times New Roman" w:cs="Times New Roman" w:eastAsia="Times New Roman" w:hAnsi="Times New Roman"/>
          <w:sz w:val="20"/>
          <w:szCs w:val="20"/>
          <w:color w:val="auto"/>
        </w:rPr>
      </w:pPr>
    </w:p>
    <w:p>
      <w:pPr>
        <w:jc w:val="both"/>
        <w:ind w:firstLine="644"/>
        <w:spacing w:after="0" w:line="253" w:lineRule="auto"/>
        <w:tabs>
          <w:tab w:leader="none" w:pos="112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or from guaranties or letters of credit, surety bonds or performance bonds securing the performance of such Credit Party or any such Restricted Subsidiary pursuant to such agreements, in each case, in connection with Permitted Acquisitions, other Permitted Investments or Asset Sales to the extent permitted hereunder;</w:t>
      </w:r>
    </w:p>
    <w:p>
      <w:pPr>
        <w:spacing w:after="0" w:line="138" w:lineRule="exact"/>
        <w:rPr>
          <w:rFonts w:ascii="Times New Roman" w:cs="Times New Roman" w:eastAsia="Times New Roman" w:hAnsi="Times New Roman"/>
          <w:sz w:val="20"/>
          <w:szCs w:val="20"/>
          <w:color w:val="auto"/>
        </w:rPr>
      </w:pPr>
    </w:p>
    <w:p>
      <w:pPr>
        <w:jc w:val="both"/>
        <w:ind w:firstLine="644"/>
        <w:spacing w:after="0" w:line="251" w:lineRule="auto"/>
        <w:tabs>
          <w:tab w:leader="none" w:pos="116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spacing w:after="0" w:line="138" w:lineRule="exact"/>
        <w:rPr>
          <w:rFonts w:ascii="Times New Roman" w:cs="Times New Roman" w:eastAsia="Times New Roman" w:hAnsi="Times New Roman"/>
          <w:sz w:val="20"/>
          <w:szCs w:val="20"/>
          <w:color w:val="auto"/>
        </w:rPr>
      </w:pPr>
    </w:p>
    <w:p>
      <w:pPr>
        <w:jc w:val="both"/>
        <w:ind w:firstLine="644"/>
        <w:spacing w:after="0" w:line="261" w:lineRule="auto"/>
        <w:tabs>
          <w:tab w:leader="none" w:pos="106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Borrower and/or any Restricted Subsidiary in respect of netting services, overdraft protections and similar arrangements, in each case, entered into in the ordinary course of business in connection with Cash management and Deposit Accounts;</w:t>
      </w:r>
    </w:p>
    <w:p>
      <w:pPr>
        <w:spacing w:after="0" w:line="127" w:lineRule="exact"/>
        <w:rPr>
          <w:rFonts w:ascii="Times New Roman" w:cs="Times New Roman" w:eastAsia="Times New Roman" w:hAnsi="Times New Roman"/>
          <w:sz w:val="20"/>
          <w:szCs w:val="20"/>
          <w:color w:val="auto"/>
        </w:rPr>
      </w:pPr>
    </w:p>
    <w:p>
      <w:pPr>
        <w:ind w:firstLine="644"/>
        <w:spacing w:after="0" w:line="269" w:lineRule="auto"/>
        <w:tabs>
          <w:tab w:leader="none" w:pos="108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guaranties in the ordinary course of business of the obligations of suppliers, customers, franchisees and licensees of any Credit Party and its Restricted Subsidiaries;</w:t>
      </w:r>
    </w:p>
    <w:p>
      <w:pPr>
        <w:spacing w:after="0" w:line="118" w:lineRule="exact"/>
        <w:rPr>
          <w:rFonts w:ascii="Times New Roman" w:cs="Times New Roman" w:eastAsia="Times New Roman" w:hAnsi="Times New Roman"/>
          <w:sz w:val="20"/>
          <w:szCs w:val="20"/>
          <w:color w:val="auto"/>
        </w:rPr>
      </w:pPr>
    </w:p>
    <w:p>
      <w:pPr>
        <w:jc w:val="both"/>
        <w:ind w:firstLine="644"/>
        <w:spacing w:after="0" w:line="258" w:lineRule="auto"/>
        <w:tabs>
          <w:tab w:leader="none" w:pos="113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by a Credit Party or Restricted Subsidiary of Indebtedness of a Credit Party or Restricted Subsidiary with respect, in each case, to Indebtedness otherwise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other obligations of Credit Parties or Restricted Subsidiaries to the extent not prohibited by any Credit Document; provided that (x) any guaranty by a Restricted Subsidiary of Indebtedness of a Credit Party shall be subject to any limitations on</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580"/>
          </w:cols>
          <w:pgMar w:left="980" w:top="1413" w:right="339" w:bottom="1440" w:gutter="0" w:footer="0" w:header="0"/>
        </w:sectPr>
      </w:pPr>
    </w:p>
    <w:bookmarkStart w:id="166" w:name="page167"/>
    <w:bookmarkEnd w:id="166"/>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the incurrence of Indebtedness by such Restricted Subsidiary in this Section 6.01 and (y) to the extent constituting an Investment, such Investment is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firstLine="644"/>
        <w:spacing w:after="0" w:line="283" w:lineRule="auto"/>
        <w:tabs>
          <w:tab w:leader="none" w:pos="103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Closing Date and, to the extent in excess of $2,500,000, described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any Permitted Refinancing thereof;</w:t>
      </w:r>
    </w:p>
    <w:p>
      <w:pPr>
        <w:spacing w:after="0" w:line="92" w:lineRule="exact"/>
        <w:rPr>
          <w:rFonts w:ascii="Times New Roman" w:cs="Times New Roman" w:eastAsia="Times New Roman" w:hAnsi="Times New Roman"/>
          <w:sz w:val="20"/>
          <w:szCs w:val="20"/>
          <w:color w:val="auto"/>
        </w:rPr>
      </w:pPr>
    </w:p>
    <w:p>
      <w:pPr>
        <w:jc w:val="both"/>
        <w:ind w:firstLine="644"/>
        <w:spacing w:after="0" w:line="258" w:lineRule="auto"/>
        <w:tabs>
          <w:tab w:leader="none" w:pos="111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an aggregate principal amount outstanding (together with any Permitted Refinancing thereof) not to exceed at any time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 of Consolidated Adjusted EBITDA for the most recently ended Test Period (calculated on a Pro Forma Basis) with respect to (x) Capital Leases and (y) purchase money Indebtedness to finance the purchase, construction, repair or improvement of fixed or capital or other tangible assets;</w:t>
      </w:r>
    </w:p>
    <w:p>
      <w:pPr>
        <w:spacing w:after="0" w:line="131" w:lineRule="exact"/>
        <w:rPr>
          <w:rFonts w:ascii="Times New Roman" w:cs="Times New Roman" w:eastAsia="Times New Roman" w:hAnsi="Times New Roman"/>
          <w:sz w:val="20"/>
          <w:szCs w:val="20"/>
          <w:color w:val="auto"/>
        </w:rPr>
      </w:pPr>
    </w:p>
    <w:p>
      <w:pPr>
        <w:ind w:right="20" w:firstLine="644"/>
        <w:spacing w:after="0" w:line="269" w:lineRule="auto"/>
        <w:tabs>
          <w:tab w:leader="none" w:pos="114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Borrower and/or any Restricted Subsidiary under Interest Rate Agreements not entered into for speculative purposes and guaranties thereof;</w:t>
      </w:r>
    </w:p>
    <w:p>
      <w:pPr>
        <w:spacing w:after="0" w:line="118" w:lineRule="exact"/>
        <w:rPr>
          <w:rFonts w:ascii="Times New Roman" w:cs="Times New Roman" w:eastAsia="Times New Roman" w:hAnsi="Times New Roman"/>
          <w:sz w:val="20"/>
          <w:szCs w:val="20"/>
          <w:color w:val="auto"/>
        </w:rPr>
      </w:pPr>
    </w:p>
    <w:p>
      <w:pPr>
        <w:ind w:right="20" w:firstLine="644"/>
        <w:spacing w:after="0" w:line="283" w:lineRule="auto"/>
        <w:tabs>
          <w:tab w:leader="none" w:pos="11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92" w:lineRule="exact"/>
        <w:rPr>
          <w:rFonts w:ascii="Times New Roman" w:cs="Times New Roman" w:eastAsia="Times New Roman" w:hAnsi="Times New Roman"/>
          <w:sz w:val="20"/>
          <w:szCs w:val="20"/>
          <w:color w:val="auto"/>
        </w:rPr>
      </w:pPr>
    </w:p>
    <w:p>
      <w:pPr>
        <w:ind w:firstLine="644"/>
        <w:spacing w:after="0" w:line="283" w:lineRule="auto"/>
        <w:tabs>
          <w:tab w:leader="none" w:pos="128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“earn-outs” or other Indebtedness incurred by any Borrower and/or any Restricted Subsidiary consisting of the deferred purchase price of property acquired in any Permitted Acquisition or other Permitted Investment;</w:t>
      </w:r>
    </w:p>
    <w:p>
      <w:pPr>
        <w:spacing w:after="0" w:line="92" w:lineRule="exact"/>
        <w:rPr>
          <w:rFonts w:ascii="Times New Roman" w:cs="Times New Roman" w:eastAsia="Times New Roman" w:hAnsi="Times New Roman"/>
          <w:sz w:val="20"/>
          <w:szCs w:val="20"/>
          <w:color w:val="auto"/>
        </w:rPr>
      </w:pPr>
    </w:p>
    <w:p>
      <w:pPr>
        <w:jc w:val="both"/>
        <w:ind w:firstLine="644"/>
        <w:spacing w:after="0" w:line="257" w:lineRule="auto"/>
        <w:tabs>
          <w:tab w:leader="none" w:pos="117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in connection with the repurchase of Capital Stock issued to current or former employees, executives or directors of a Borrower or any Subsidiary (including any promissory notes issued by a Borrower or any Restricted Subsidiary to repurchase Capital Stock of employees, executives or directors of a Borrower or any Subsidiary)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6.05(a)(ix)</w:t>
      </w:r>
      <w:r>
        <w:rPr>
          <w:rFonts w:ascii="Times New Roman" w:cs="Times New Roman" w:eastAsia="Times New Roman" w:hAnsi="Times New Roman"/>
          <w:sz w:val="20"/>
          <w:szCs w:val="20"/>
          <w:color w:val="auto"/>
        </w:rPr>
        <w:t>, so long as Cash payments in respect thereof are expressly prohibited from being made prior to the date which is at least ninety-one (91) days after the Maturity Date;</w:t>
      </w:r>
    </w:p>
    <w:p>
      <w:pPr>
        <w:spacing w:after="0" w:line="118" w:lineRule="exact"/>
        <w:rPr>
          <w:rFonts w:ascii="Times New Roman" w:cs="Times New Roman" w:eastAsia="Times New Roman" w:hAnsi="Times New Roman"/>
          <w:sz w:val="20"/>
          <w:szCs w:val="20"/>
          <w:color w:val="auto"/>
        </w:rPr>
      </w:pPr>
    </w:p>
    <w:p>
      <w:pPr>
        <w:ind w:left="1100" w:hanging="456"/>
        <w:spacing w:after="0"/>
        <w:tabs>
          <w:tab w:leader="none" w:pos="110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arising in connection with endorsements of instruments for collection or deposit in the ordinary course of</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w:t>
      </w:r>
    </w:p>
    <w:p>
      <w:pPr>
        <w:spacing w:after="0" w:line="146" w:lineRule="exact"/>
        <w:rPr>
          <w:rFonts w:ascii="Times New Roman" w:cs="Times New Roman" w:eastAsia="Times New Roman" w:hAnsi="Times New Roman"/>
          <w:sz w:val="19"/>
          <w:szCs w:val="19"/>
          <w:color w:val="auto"/>
        </w:rPr>
      </w:pPr>
    </w:p>
    <w:p>
      <w:pPr>
        <w:jc w:val="both"/>
        <w:ind w:firstLine="644"/>
        <w:spacing w:after="0" w:line="274" w:lineRule="auto"/>
        <w:tabs>
          <w:tab w:leader="none" w:pos="1086"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an aggregate principal amount of up to 100% of the net Cash proceeds received by the Initial Borrower since immediately after the Closing Date from the issue or sale of Capital Stock of the Initial Borrower or Cash contributed to the common equity of the Initial Borrower (in each case, other than Disqualified Capital Stock or any Specified Equity Contribution), to the extent such net Cash proceeds or Cash have not been applied after the Closing Date and prior to the time of such incurrence to make Restricted Payments pursuant to </w:t>
      </w:r>
      <w:r>
        <w:rPr>
          <w:rFonts w:ascii="Times New Roman" w:cs="Times New Roman" w:eastAsia="Times New Roman" w:hAnsi="Times New Roman"/>
          <w:sz w:val="19"/>
          <w:szCs w:val="19"/>
          <w:u w:val="single" w:color="auto"/>
          <w:color w:val="auto"/>
        </w:rPr>
        <w:t>Section 6.05(a)(xi)</w:t>
      </w:r>
      <w:r>
        <w:rPr>
          <w:rFonts w:ascii="Times New Roman" w:cs="Times New Roman" w:eastAsia="Times New Roman" w:hAnsi="Times New Roman"/>
          <w:sz w:val="19"/>
          <w:szCs w:val="19"/>
          <w:color w:val="auto"/>
        </w:rPr>
        <w:t xml:space="preserve"> or to make Investments pursuant to </w:t>
      </w:r>
      <w:r>
        <w:rPr>
          <w:rFonts w:ascii="Times New Roman" w:cs="Times New Roman" w:eastAsia="Times New Roman" w:hAnsi="Times New Roman"/>
          <w:sz w:val="19"/>
          <w:szCs w:val="19"/>
          <w:u w:val="single" w:color="auto"/>
          <w:color w:val="auto"/>
        </w:rPr>
        <w:t>Section 6.07(s)</w:t>
      </w:r>
      <w:r>
        <w:rPr>
          <w:rFonts w:ascii="Times New Roman" w:cs="Times New Roman" w:eastAsia="Times New Roman" w:hAnsi="Times New Roman"/>
          <w:sz w:val="19"/>
          <w:szCs w:val="19"/>
          <w:color w:val="auto"/>
        </w:rPr>
        <w:t>;</w:t>
      </w:r>
    </w:p>
    <w:p>
      <w:pPr>
        <w:spacing w:after="0" w:line="102" w:lineRule="exact"/>
        <w:rPr>
          <w:rFonts w:ascii="Times New Roman" w:cs="Times New Roman" w:eastAsia="Times New Roman" w:hAnsi="Times New Roman"/>
          <w:sz w:val="19"/>
          <w:szCs w:val="19"/>
          <w:color w:val="auto"/>
        </w:rPr>
      </w:pPr>
    </w:p>
    <w:p>
      <w:pPr>
        <w:jc w:val="both"/>
        <w:ind w:firstLine="644"/>
        <w:spacing w:after="0" w:line="258" w:lineRule="auto"/>
        <w:tabs>
          <w:tab w:leader="none" w:pos="114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Foreign Subsidiary (including guarantees by any Foreign Subsidiary of Indebtedness of another Foreign Subsidiary) or of any Restricted Subsidiaries that are not Credit Parties, in an aggregate amount, when combined with any amounts outstanding under the Non- Credit Party Subsidiaries Ratio Debt Sublimit, not to exceed, at any time outstanding, the greater of (i)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(ii) 35% of Consolidated Adjusted</w:t>
      </w: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580"/>
          </w:cols>
          <w:pgMar w:left="980" w:top="1413" w:right="339" w:bottom="1440" w:gutter="0" w:footer="0" w:header="0"/>
        </w:sectPr>
      </w:pPr>
    </w:p>
    <w:bookmarkStart w:id="167" w:name="page168"/>
    <w:bookmarkEnd w:id="167"/>
    <w:p>
      <w:pPr>
        <w:ind w:left="660"/>
        <w:spacing w:after="0" w:line="283" w:lineRule="auto"/>
        <w:rPr>
          <w:sz w:val="20"/>
          <w:szCs w:val="20"/>
          <w:color w:val="auto"/>
        </w:rPr>
      </w:pPr>
      <w:r>
        <w:rPr>
          <w:rFonts w:ascii="Times New Roman" w:cs="Times New Roman" w:eastAsia="Times New Roman" w:hAnsi="Times New Roman"/>
          <w:sz w:val="20"/>
          <w:szCs w:val="20"/>
          <w:color w:val="auto"/>
        </w:rPr>
        <w:t>EBITDA for the most recently ended Test Period (calculated on a Pro Forma Basis) (this clause (q), the “</w:t>
      </w:r>
      <w:r>
        <w:rPr>
          <w:rFonts w:ascii="Times New Roman" w:cs="Times New Roman" w:eastAsia="Times New Roman" w:hAnsi="Times New Roman"/>
          <w:sz w:val="20"/>
          <w:szCs w:val="20"/>
          <w:u w:val="single" w:color="auto"/>
          <w:color w:val="auto"/>
        </w:rPr>
        <w:t>Non-Credit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Subsidiaries Debt Basket</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ind w:left="1700" w:hanging="396"/>
        <w:spacing w:after="0"/>
        <w:tabs>
          <w:tab w:leader="none" w:pos="17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175" w:lineRule="exact"/>
        <w:rPr>
          <w:rFonts w:ascii="Times New Roman" w:cs="Times New Roman" w:eastAsia="Times New Roman" w:hAnsi="Times New Roman"/>
          <w:sz w:val="20"/>
          <w:szCs w:val="20"/>
          <w:color w:val="auto"/>
        </w:rPr>
      </w:pPr>
    </w:p>
    <w:p>
      <w:pPr>
        <w:ind w:left="660" w:firstLine="644"/>
        <w:spacing w:after="0" w:line="269" w:lineRule="auto"/>
        <w:tabs>
          <w:tab w:leader="none" w:pos="182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(other than Subordinated Indebtedness) supported by a Letter of Credit, in a principal amount not to exceed the face amount of such Letter of Credit;</w:t>
      </w:r>
    </w:p>
    <w:p>
      <w:pPr>
        <w:spacing w:after="0" w:line="11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48" w:lineRule="auto"/>
        <w:tabs>
          <w:tab w:leader="none" w:pos="187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assumed by any Borrower or any Restricted Subsidiary in a Permitted Acquisition or other similar Permitted Investment (including (i) Indebtedness of one or more targets existing at the time of the consummation of such Permitted Acquisition or other Permitted Investment and (ii) any Permitted Refinancing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 Transaction, before and after giving effect thereto, no Event of Default has occurred and is continuing, (ii) such Indebtedness shall not have been incurred in contemplation of such Permitted Acquisition or other Permitted Investment, (iii) such Indebtedness shall not be guaranteed by any Person that is or becomes a Restricted Subsidiary other than the target entity and its subsidiaries acquired as part of such Permitted Acquisition or other Permitted Investment, (iv) such Indebtedness shall not be secured by any assets of any Person that is or becomes a Restricted Subsidiary other than the target entity and its subsidiaries acquired as part of such Permitted Acquisition or other Permitted Investment and (v) the aggregate outstanding principal amount of such Indebtedness shall not exceed the sum of (A) the greater of (I) $</w:t>
      </w:r>
      <w:r>
        <w:rPr>
          <w:rFonts w:ascii="Times New Roman" w:cs="Times New Roman" w:eastAsia="Times New Roman" w:hAnsi="Times New Roman"/>
          <w:sz w:val="20"/>
          <w:szCs w:val="20"/>
          <w:color w:val="FF0000"/>
          <w:strike w:val="1"/>
        </w:rPr>
        <w:t>44,700,000</w:t>
      </w:r>
      <w:r>
        <w:rPr>
          <w:rFonts w:ascii="Times New Roman" w:cs="Times New Roman" w:eastAsia="Times New Roman" w:hAnsi="Times New Roman"/>
          <w:sz w:val="20"/>
          <w:szCs w:val="20"/>
          <w:u w:val="single" w:color="auto"/>
          <w:color w:val="0000FF"/>
        </w:rPr>
        <w:t>54,725,000</w:t>
      </w:r>
      <w:r>
        <w:rPr>
          <w:rFonts w:ascii="Times New Roman" w:cs="Times New Roman" w:eastAsia="Times New Roman" w:hAnsi="Times New Roman"/>
          <w:sz w:val="20"/>
          <w:szCs w:val="20"/>
          <w:color w:val="auto"/>
        </w:rPr>
        <w:t xml:space="preserve"> and (II) 25% of Consolidated Adjusted EBITDA for the most recently ended Test Period (calculated on a Pro Forma Basis)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an unlimited amount so long as the Total Net Leverage Ratio, calculated on a Pro Forma Basis after giving effect to the incurrence of such Indebtedness, does not exceed 4.50:1.00 as of the last day of the most recently ended Test Period (this </w:t>
      </w:r>
      <w:r>
        <w:rPr>
          <w:rFonts w:ascii="Times New Roman" w:cs="Times New Roman" w:eastAsia="Times New Roman" w:hAnsi="Times New Roman"/>
          <w:sz w:val="20"/>
          <w:szCs w:val="20"/>
          <w:u w:val="single" w:color="auto"/>
          <w:color w:val="auto"/>
        </w:rPr>
        <w:t>clause (u)</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Assumed Acquisition Debt Basket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to the extent that any such assumed Indebtedness will be secured by Collateral, the Collateral Agent and the representative for such Indebtedness shall enter into an intercreditor agreement in form and substance reasonably acceptable to the Administrative Agent;</w:t>
      </w:r>
    </w:p>
    <w:p>
      <w:pPr>
        <w:spacing w:after="0" w:line="15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Refinancing Indebtedness (and any Permitted Refinancing thereof);</w:t>
      </w:r>
    </w:p>
    <w:p>
      <w:pPr>
        <w:spacing w:after="0" w:line="17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Equivalent Debt (and any Permitted Refinancing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5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Borrower or any Restricted Subsidiary (and any Permitted Refinancing thereof) so long as (y) the Total Net Leverage Ratio, calculated on a Pro Forma Basis after giving effect to the incurrence of such Indebtedness (assuming the full amount of any revolving credit facility is drawn), shall not exceed 4.50:1.00 for the most recently ended Test Period (calculated excluding, for Cash netting purposes, any proceeds of any such Indebtedness incurred in reliance on this </w:t>
      </w:r>
      <w:r>
        <w:rPr>
          <w:rFonts w:ascii="Times New Roman" w:cs="Times New Roman" w:eastAsia="Times New Roman" w:hAnsi="Times New Roman"/>
          <w:sz w:val="20"/>
          <w:szCs w:val="20"/>
          <w:u w:val="single" w:color="auto"/>
          <w:color w:val="auto"/>
        </w:rPr>
        <w:t>Section 6.01(x)</w:t>
      </w:r>
      <w:r>
        <w:rPr>
          <w:rFonts w:ascii="Times New Roman" w:cs="Times New Roman" w:eastAsia="Times New Roman" w:hAnsi="Times New Roman"/>
          <w:sz w:val="20"/>
          <w:szCs w:val="20"/>
          <w:color w:val="auto"/>
        </w:rPr>
        <w:t xml:space="preserve">) and (z)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 Transaction, no Event of Default shall have occurred and be continuing or would exist immediately after giving effect to such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Indebtedness (other than (x) a customary bridge loan which, subject to customary conditions, would either be automatically converted into or required to be exchanged for permanent financing satisfying the requirements of this clause (A) and (y) any such Indebtedness incurred in reliance on the Inside Maturity Basket) shall not (1) mature prior to the Latest Maturity Date at the time such Indebtedness is incurred (or in the case of any Junior Financing, 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45" w:lineRule="auto"/>
        <w:rPr>
          <w:sz w:val="20"/>
          <w:szCs w:val="20"/>
          <w:color w:val="auto"/>
        </w:rPr>
      </w:pPr>
      <w:r>
        <w:rPr>
          <w:rFonts w:ascii="Times New Roman" w:cs="Times New Roman" w:eastAsia="Times New Roman" w:hAnsi="Times New Roman"/>
          <w:sz w:val="20"/>
          <w:szCs w:val="20"/>
          <w:color w:val="auto"/>
        </w:rPr>
        <w:t>or prior to the 91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after the Latest Maturity Date) or (2) have a Weighted Average Life to Maturity shorter than the remaining Weighted Average Life to Maturity of any Term Loan outstanding at the time such Indebtedness is incurred, (B) any such Indebtedness (I) incurred on or prior to the date that is six (6) months after the Closing Date, (II) in the form of broadly syndicated, floating rate, term B loans denominated in Dollars and (III)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security with the Initial Term Loans, shall, in each case, be subject to the MFN Provision (as if such Indebtedness were a Class of Incremental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MFN Adjustment shall not apply to any such Indebtedness that (1) is incurred to finance an acquisition or similar Investment or (2) matures later than twelve (12) months following the Maturity Date of the Initial Term Loans, (C) any such Indebtedness shall, if guaranteed by any Person that is not a Guarantor, be subject to the Non-Credit Party Subsidiaries Ratio Debt Sublimit and (D) if secured, such Indebtedness is secured only by Liens on Collateral securing the Initial Term Loans (except in the case of Indebtedness incurred in reliance on the Non-Credit Party Subsidiary Ratio Debt Sublimit) and such Liens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the Liens securing the Obligations and subject to the terms of an Acceptable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incurred pursuant to this </w:t>
      </w:r>
      <w:r>
        <w:rPr>
          <w:rFonts w:ascii="Times New Roman" w:cs="Times New Roman" w:eastAsia="Times New Roman" w:hAnsi="Times New Roman"/>
          <w:sz w:val="20"/>
          <w:szCs w:val="20"/>
          <w:u w:val="single" w:color="auto"/>
          <w:color w:val="auto"/>
        </w:rPr>
        <w:t>Section 6.01(x)</w:t>
      </w:r>
      <w:r>
        <w:rPr>
          <w:rFonts w:ascii="Times New Roman" w:cs="Times New Roman" w:eastAsia="Times New Roman" w:hAnsi="Times New Roman"/>
          <w:sz w:val="20"/>
          <w:szCs w:val="20"/>
          <w:color w:val="auto"/>
        </w:rPr>
        <w:t xml:space="preserve"> by Restricted Subsidiaries that are not Credit Parties shall not at any time exceed the greater of (i)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(ii) 35% of Consolidated Adjusted EBITDA for the most recently ended Test Period (calculated on a Pro Forma Basis) (the “</w:t>
      </w:r>
      <w:r>
        <w:rPr>
          <w:rFonts w:ascii="Times New Roman" w:cs="Times New Roman" w:eastAsia="Times New Roman" w:hAnsi="Times New Roman"/>
          <w:sz w:val="20"/>
          <w:szCs w:val="20"/>
          <w:u w:val="single" w:color="auto"/>
          <w:color w:val="auto"/>
        </w:rPr>
        <w:t>Non-Credit Party Subsidiaries Ratio Debt Sublimit</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1740" w:hanging="436"/>
        <w:spacing w:after="0"/>
        <w:tabs>
          <w:tab w:leader="none" w:pos="174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0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incurred by any Borrower or any Restricted Subsidiary in an aggregate principal amount not to exceed the greater of (i) $</w:t>
      </w:r>
      <w:r>
        <w:rPr>
          <w:rFonts w:ascii="Times New Roman" w:cs="Times New Roman" w:eastAsia="Times New Roman" w:hAnsi="Times New Roman"/>
          <w:sz w:val="20"/>
          <w:szCs w:val="20"/>
          <w:color w:val="FF0000"/>
          <w:strike w:val="1"/>
        </w:rPr>
        <w:t>44,700,000</w:t>
      </w:r>
      <w:r>
        <w:rPr>
          <w:rFonts w:ascii="Times New Roman" w:cs="Times New Roman" w:eastAsia="Times New Roman" w:hAnsi="Times New Roman"/>
          <w:sz w:val="20"/>
          <w:szCs w:val="20"/>
          <w:u w:val="single" w:color="auto"/>
          <w:color w:val="0000FF"/>
        </w:rPr>
        <w:t>54,725,000</w:t>
      </w:r>
      <w:r>
        <w:rPr>
          <w:rFonts w:ascii="Times New Roman" w:cs="Times New Roman" w:eastAsia="Times New Roman" w:hAnsi="Times New Roman"/>
          <w:sz w:val="20"/>
          <w:szCs w:val="20"/>
          <w:color w:val="auto"/>
        </w:rPr>
        <w:t xml:space="preserve"> and (ii) 25% of Consolidated Adjusted EBITDA for the most recently ended Test Period (calculated on a Pro Forma Basis), at any time outstanding;</w:t>
      </w:r>
    </w:p>
    <w:p>
      <w:pPr>
        <w:spacing w:after="0" w:line="127" w:lineRule="exact"/>
        <w:rPr>
          <w:sz w:val="20"/>
          <w:szCs w:val="20"/>
          <w:color w:val="auto"/>
        </w:rPr>
      </w:pPr>
    </w:p>
    <w:p>
      <w:pPr>
        <w:jc w:val="both"/>
        <w:ind w:firstLine="1304"/>
        <w:spacing w:after="0" w:line="254" w:lineRule="auto"/>
        <w:tabs>
          <w:tab w:leader="none" w:pos="189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Indebtedness incurred in a Qualified Receivables Financing that is not recourse to the Initial Borrower 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Restricted Subsidiary (except for Standard Securitization Undertakings) other than a Receivables Subsidiary </w:t>
      </w:r>
      <w:r>
        <w:rPr>
          <w:rFonts w:ascii="Times New Roman" w:cs="Times New Roman" w:eastAsia="Times New Roman" w:hAnsi="Times New Roman"/>
          <w:sz w:val="20"/>
          <w:szCs w:val="20"/>
          <w:color w:val="0000FF"/>
        </w:rPr>
        <w:t>and (y) Indebtedness of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Initial Borrower or any Restricted Subsidiary in the form of Standardized Securitization Undertakings in respect of a Permitted Residual Financing</w:t>
      </w:r>
      <w:r>
        <w:rPr>
          <w:rFonts w:ascii="Times New Roman" w:cs="Times New Roman" w:eastAsia="Times New Roman" w:hAnsi="Times New Roman"/>
          <w:sz w:val="20"/>
          <w:szCs w:val="20"/>
          <w:color w:val="000000"/>
        </w:rPr>
        <w:t>; and</w:t>
      </w:r>
    </w:p>
    <w:p>
      <w:pPr>
        <w:spacing w:after="0" w:line="13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1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any Borrower or any Restricted Subsidiary (and any Permitted Refinancing thereof) so long as (y) the Total Net Leverage Ratio, calculated on a Pro Forma Basis after giving effect to the incurrence of such Indebtedness (assuming the full amount of any revolving credit facility is drawn), shall not exceed 5.50:1.00 for the most recently ended Test Period (calculated excluding, for Cash netting purposes, any proceeds of any such Indebtedness incurred in reliance on this Section 6.01(bb)) and (z)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 Transaction, no Default or Event of Default shall have occurred and be continuing or would exist immediately after giving effect to such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Indebtedness shall not mature or amortize prior to the 180th day after the Latest Maturity Date at the time such Indebtedness is incurred, (B) any such Indebtedness shall not have mandatory prepayment, redemption or offer to purchase events more onerous than those set forth in this Agreement, (C) the terms (including any financial covenants, events of default and covenants) of any such Indebtedness (other than with respect to pricing, margin and/or fees or as otherwise contemplated by this </w:t>
      </w:r>
      <w:r>
        <w:rPr>
          <w:rFonts w:ascii="Times New Roman" w:cs="Times New Roman" w:eastAsia="Times New Roman" w:hAnsi="Times New Roman"/>
          <w:sz w:val="20"/>
          <w:szCs w:val="20"/>
          <w:u w:val="single" w:color="auto"/>
          <w:color w:val="auto"/>
        </w:rPr>
        <w:t>Section 6.01(bb))</w:t>
      </w:r>
      <w:r>
        <w:rPr>
          <w:rFonts w:ascii="Times New Roman" w:cs="Times New Roman" w:eastAsia="Times New Roman" w:hAnsi="Times New Roman"/>
          <w:sz w:val="20"/>
          <w:szCs w:val="20"/>
          <w:color w:val="auto"/>
        </w:rPr>
        <w:t xml:space="preserve"> shall not be more restrictive than, or conflict with, the terms set forth in this Agreement, and such terms shall be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Representative shall have delivered copies of all such agreements and instruments in respect of such Indebtedness to Administrative Agent at least five (5) Business Days prior to the incurrence of such Indebtedness, together with a certificate of an Authorized Officer of the Borrower Representative stating that the Borrower Representative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5648325</wp:posOffset>
            </wp:positionH>
            <wp:positionV relativeFrom="paragraph">
              <wp:posOffset>-2552065</wp:posOffset>
            </wp:positionV>
            <wp:extent cx="14846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determined in good faith that such terms and conditions satisfy the requirement set out in the foregoing clauses), (D) any such Indebtedness shall not be guaranteed by any Person that is not a Guarantor, and (E) if such Indebtedness is subordinated in right of payment to the Initial Term Loans, the terms of such subordination of such Indebtedness shall be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incurred pursuant to this </w:t>
      </w:r>
      <w:r>
        <w:rPr>
          <w:rFonts w:ascii="Times New Roman" w:cs="Times New Roman" w:eastAsia="Times New Roman" w:hAnsi="Times New Roman"/>
          <w:sz w:val="20"/>
          <w:szCs w:val="20"/>
          <w:u w:val="single" w:color="auto"/>
          <w:color w:val="auto"/>
        </w:rPr>
        <w:t>Section 6.01(bb)</w:t>
      </w:r>
      <w:r>
        <w:rPr>
          <w:rFonts w:ascii="Times New Roman" w:cs="Times New Roman" w:eastAsia="Times New Roman" w:hAnsi="Times New Roman"/>
          <w:sz w:val="20"/>
          <w:szCs w:val="20"/>
          <w:color w:val="auto"/>
        </w:rPr>
        <w:t xml:space="preserve"> by Restricted Subsidiaries that are not Credit Parties shall not at any time exceed the greater of (i)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(ii) 35% of Consolidated Adjusted EBITDA for the most recently ended Test Period (calculated on a Pro Forma Basis).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To the extent that the creation, incurrence or assumption of any Indebtedness could be attributable to more than one subsection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 Borrower Representative may allocate such Indebtedness to any one or more of such subsections and in no event shall the same portion of Indebtedness be deemed to utilize or be attributable to more than one item. Notwithstanding the foregoing, Indebtedness incurred (a) under the Credit Documents, any Incremental Commitments, any Incremental Loans, any Refinancing Revolving Credit Commitments, any Refinancing Term Commitments, any Refinancing Revolving Loans and any Refinancing Term Loans shall be allocated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(b) as Credit Agreement Refinancing Indebtedness shall be allocated to </w:t>
      </w:r>
      <w:r>
        <w:rPr>
          <w:rFonts w:ascii="Times New Roman" w:cs="Times New Roman" w:eastAsia="Times New Roman" w:hAnsi="Times New Roman"/>
          <w:sz w:val="20"/>
          <w:szCs w:val="20"/>
          <w:u w:val="single" w:color="auto"/>
          <w:color w:val="auto"/>
        </w:rPr>
        <w:t>Section 6.01(v)</w:t>
      </w:r>
      <w:r>
        <w:rPr>
          <w:rFonts w:ascii="Times New Roman" w:cs="Times New Roman" w:eastAsia="Times New Roman" w:hAnsi="Times New Roman"/>
          <w:sz w:val="20"/>
          <w:szCs w:val="20"/>
          <w:color w:val="auto"/>
        </w:rPr>
        <w:t xml:space="preserve"> and (c) as Incremental Equivalent Debt shall be allocated to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6.02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No Borrower shall, nor shall it permit any of its Restricted Subsidiaries to, directly or indirectly, create, incur, assume or permit to exist any Lien on or with respect to any property or asset of any kind of any Borrower or any Restricted Subsidiary,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4362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68" w:lineRule="exact"/>
        <w:rPr>
          <w:sz w:val="20"/>
          <w:szCs w:val="20"/>
          <w:color w:val="auto"/>
        </w:rPr>
      </w:pPr>
    </w:p>
    <w:p>
      <w:pPr>
        <w:ind w:left="660" w:firstLine="644"/>
        <w:spacing w:after="0" w:line="283" w:lineRule="auto"/>
        <w:tabs>
          <w:tab w:leader="none" w:pos="188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Collateral Agent for the benefit of Secured Parties granted pursuant to any Credit Document (including any Term Loans and Revolving Loans incurred pursuant to Section 6.01(a));</w:t>
      </w:r>
    </w:p>
    <w:p>
      <w:pPr>
        <w:spacing w:after="0" w:line="9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a Material Adverse Effect;</w:t>
      </w:r>
    </w:p>
    <w:p>
      <w:pPr>
        <w:spacing w:after="0" w:line="13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or common law or contractual Liens of landlords, carriers, warehousemen, suppliers, mechanics, repairmen, workmen and materialmen, and other Liens imposed by law (other than any such Lien imposed pursuant to ERISA), in each case, incurred in the ordinary course of business;</w:t>
      </w:r>
    </w:p>
    <w:p>
      <w:pPr>
        <w:spacing w:after="0" w:line="113"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w:t>
      </w:r>
    </w:p>
    <w:p>
      <w:pPr>
        <w:spacing w:after="0" w:line="131" w:lineRule="exact"/>
        <w:rPr>
          <w:rFonts w:ascii="Times New Roman" w:cs="Times New Roman" w:eastAsia="Times New Roman" w:hAnsi="Times New Roman"/>
          <w:sz w:val="20"/>
          <w:szCs w:val="20"/>
          <w:color w:val="auto"/>
        </w:rPr>
      </w:pPr>
    </w:p>
    <w:p>
      <w:pPr>
        <w:ind w:left="660" w:firstLine="644"/>
        <w:spacing w:after="0" w:line="269" w:lineRule="auto"/>
        <w:tabs>
          <w:tab w:leader="none" w:pos="178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easements, rights-of-way, restrictions, encroachments, and other minor defects or irregularities in title, in each case, which do not interfere in any material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1240"/>
          </w:cols>
          <w:pgMar w:left="320" w:top="1413" w:right="339" w:bottom="1440" w:gutter="0" w:footer="0" w:header="0"/>
        </w:sectPr>
      </w:pPr>
    </w:p>
    <w:bookmarkStart w:id="170" w:name="page171"/>
    <w:bookmarkEnd w:id="170"/>
    <w:p>
      <w:pPr>
        <w:ind w:left="4"/>
        <w:spacing w:after="0"/>
        <w:rPr>
          <w:sz w:val="20"/>
          <w:szCs w:val="20"/>
          <w:color w:val="auto"/>
        </w:rPr>
      </w:pPr>
      <w:r>
        <w:rPr>
          <w:rFonts w:ascii="Times New Roman" w:cs="Times New Roman" w:eastAsia="Times New Roman" w:hAnsi="Times New Roman"/>
          <w:sz w:val="20"/>
          <w:szCs w:val="20"/>
          <w:color w:val="auto"/>
        </w:rPr>
        <w:t>respect with the ordinary conduct of the business of the Borrowers and the Restricted Subsidiaries, taken as a whole;</w:t>
      </w:r>
    </w:p>
    <w:p>
      <w:pPr>
        <w:spacing w:after="0" w:line="175" w:lineRule="exact"/>
        <w:rPr>
          <w:sz w:val="20"/>
          <w:szCs w:val="20"/>
          <w:color w:val="auto"/>
        </w:rPr>
      </w:pPr>
    </w:p>
    <w:p>
      <w:pPr>
        <w:ind w:left="4" w:firstLine="644"/>
        <w:spacing w:after="0" w:line="269" w:lineRule="auto"/>
        <w:tabs>
          <w:tab w:leader="none" w:pos="114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any interest or title of a lessor or sub-lessor under any lease of real estate or personal property permitted hereunder;</w:t>
      </w:r>
    </w:p>
    <w:p>
      <w:pPr>
        <w:spacing w:after="0" w:line="118"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6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18" w:lineRule="exact"/>
        <w:rPr>
          <w:rFonts w:ascii="Times New Roman" w:cs="Times New Roman" w:eastAsia="Times New Roman" w:hAnsi="Times New Roman"/>
          <w:sz w:val="20"/>
          <w:szCs w:val="20"/>
          <w:color w:val="auto"/>
        </w:rPr>
      </w:pPr>
    </w:p>
    <w:p>
      <w:pPr>
        <w:ind w:left="4" w:right="20" w:firstLine="644"/>
        <w:spacing w:after="0" w:line="283" w:lineRule="auto"/>
        <w:tabs>
          <w:tab w:leader="none" w:pos="1081"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or purported Liens evidenced by the filing of precautionary UCC financing statements relating solely to operating leases entered into in the ordinary course of business;</w:t>
      </w:r>
    </w:p>
    <w:p>
      <w:pPr>
        <w:spacing w:after="0" w:line="92" w:lineRule="exact"/>
        <w:rPr>
          <w:rFonts w:ascii="Times New Roman" w:cs="Times New Roman" w:eastAsia="Times New Roman" w:hAnsi="Times New Roman"/>
          <w:sz w:val="20"/>
          <w:szCs w:val="20"/>
          <w:color w:val="auto"/>
        </w:rPr>
      </w:pPr>
    </w:p>
    <w:p>
      <w:pPr>
        <w:ind w:left="4" w:firstLine="644"/>
        <w:spacing w:after="0" w:line="283" w:lineRule="auto"/>
        <w:tabs>
          <w:tab w:leader="none" w:pos="111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05"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06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the Borrowers and the Restricted Subsidiaries, taken as a whole;</w:t>
      </w:r>
    </w:p>
    <w:p>
      <w:pPr>
        <w:spacing w:after="0" w:line="113" w:lineRule="exact"/>
        <w:rPr>
          <w:rFonts w:ascii="Times New Roman" w:cs="Times New Roman" w:eastAsia="Times New Roman" w:hAnsi="Times New Roman"/>
          <w:sz w:val="20"/>
          <w:szCs w:val="20"/>
          <w:color w:val="auto"/>
        </w:rPr>
      </w:pPr>
    </w:p>
    <w:p>
      <w:pPr>
        <w:jc w:val="both"/>
        <w:ind w:left="4" w:firstLine="644"/>
        <w:spacing w:after="0" w:line="268" w:lineRule="auto"/>
        <w:tabs>
          <w:tab w:leader="none" w:pos="109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any non-exclusive licenses and sublicenses of patents, copyrights, trademarks and other intellectual property rights granted by any Borrower or any Restricted Subsidiary that does not materially interfere with the ordinary conduct of the business of the Borrowers and the Restricted Subsidiaries, taken as a whole;</w:t>
      </w:r>
    </w:p>
    <w:p>
      <w:pPr>
        <w:spacing w:after="0" w:line="107"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13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existing on the Closing Date and, to the extent securing obligations in excess of $2,500,000, described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(B) proceeds and products thereof and</w:t>
      </w:r>
    </w:p>
    <w:p>
      <w:pPr>
        <w:ind w:left="4" w:hanging="4"/>
        <w:spacing w:after="0" w:line="267" w:lineRule="auto"/>
        <w:tabs>
          <w:tab w:leader="none" w:pos="34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renewal, extension or refinancing of the obligations secured or benefited by such Liens, to the extent constituting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71"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Lien with respect to such Indebtedness shall encumber only the assets subject to such Capital Lease or purchase money Indebtedness and, in each case, together with any Replacement Assets and the products and proceeds (including, without limitation, insurance condemnation and eminent domain proceeds) of and accessions to, and contract or other rights (including rights under insurance policies and product warranties) derivative of or relating to, such assets; provided further that such Liens in favor of any lender may be cross-collateralized with respect to other obligations of such type owing to such lender;</w:t>
      </w:r>
    </w:p>
    <w:p>
      <w:pPr>
        <w:spacing w:after="0" w:line="138"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099"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Times New Roman" w:cs="Times New Roman" w:eastAsia="Times New Roman" w:hAnsi="Times New Roman"/>
          <w:sz w:val="20"/>
          <w:szCs w:val="20"/>
          <w:u w:val="single" w:color="auto"/>
          <w:color w:val="auto"/>
        </w:rPr>
        <w:t>Processor Payment Account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other than funds</w:t>
      </w:r>
    </w:p>
    <w:p>
      <w:pPr>
        <w:spacing w:after="0" w:line="3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584"/>
          </w:cols>
          <w:pgMar w:left="976" w:top="1413" w:right="339" w:bottom="1440" w:gutter="0" w:footer="0" w:header="0"/>
        </w:sectPr>
      </w:pPr>
    </w:p>
    <w:bookmarkStart w:id="171" w:name="page172"/>
    <w:bookmarkEnd w:id="171"/>
    <w:p>
      <w:pPr>
        <w:jc w:val="both"/>
        <w:spacing w:after="0" w:line="253" w:lineRule="auto"/>
        <w:rPr>
          <w:sz w:val="20"/>
          <w:szCs w:val="20"/>
          <w:color w:val="auto"/>
        </w:rPr>
      </w:pPr>
      <w:r>
        <w:rPr>
          <w:rFonts w:ascii="Times New Roman" w:cs="Times New Roman" w:eastAsia="Times New Roman" w:hAnsi="Times New Roman"/>
          <w:sz w:val="20"/>
          <w:szCs w:val="20"/>
          <w:color w:val="auto"/>
        </w:rPr>
        <w:t>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(b) no Credit Party shall and shall not permit any other Person (including the applicable Processor) to use any Processor Payment Account for any purpose other than as expressly set forth in the applicable Processor Agreement; (iii) customary provisions restricting assignment under a Processor Agreement; and (iv) other Liens granted to any Processor under a Processor Agreement;</w:t>
      </w:r>
    </w:p>
    <w:p>
      <w:pPr>
        <w:spacing w:after="0" w:line="138" w:lineRule="exact"/>
        <w:rPr>
          <w:sz w:val="20"/>
          <w:szCs w:val="20"/>
          <w:color w:val="auto"/>
        </w:rPr>
      </w:pPr>
    </w:p>
    <w:p>
      <w:pPr>
        <w:ind w:right="20" w:firstLine="644"/>
        <w:spacing w:after="0" w:line="269" w:lineRule="auto"/>
        <w:tabs>
          <w:tab w:leader="none" w:pos="117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securing any attachment or judgment and associated rights relating to litigation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118" w:lineRule="exact"/>
        <w:rPr>
          <w:rFonts w:ascii="Times New Roman" w:cs="Times New Roman" w:eastAsia="Times New Roman" w:hAnsi="Times New Roman"/>
          <w:sz w:val="20"/>
          <w:szCs w:val="20"/>
          <w:color w:val="auto"/>
        </w:rPr>
      </w:pPr>
    </w:p>
    <w:p>
      <w:pPr>
        <w:jc w:val="both"/>
        <w:ind w:right="20" w:firstLine="644"/>
        <w:spacing w:after="0" w:line="258" w:lineRule="auto"/>
        <w:tabs>
          <w:tab w:leader="none" w:pos="107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that are customary rights of set off, bankers’ lien, refund or charge back under deposit agreements, the UCC or common law of banks or other financial institutions where a Borrower or any of its Restricted Subsidiaries maintains Deposit Accounts solely to the extent incurred in connection with the maintenance of such Deposit Accounts in the ordinary course of business and (ii) securing Indebtedness under </w:t>
      </w:r>
      <w:r>
        <w:rPr>
          <w:rFonts w:ascii="Times New Roman" w:cs="Times New Roman" w:eastAsia="Times New Roman" w:hAnsi="Times New Roman"/>
          <w:sz w:val="20"/>
          <w:szCs w:val="20"/>
          <w:u w:val="single" w:color="auto"/>
          <w:color w:val="auto"/>
        </w:rPr>
        <w:t>Section 6.01(f)</w:t>
      </w:r>
      <w:r>
        <w:rPr>
          <w:rFonts w:ascii="Times New Roman" w:cs="Times New Roman" w:eastAsia="Times New Roman" w:hAnsi="Times New Roman"/>
          <w:sz w:val="20"/>
          <w:szCs w:val="20"/>
          <w:color w:val="auto"/>
        </w:rPr>
        <w:t>;</w:t>
      </w:r>
    </w:p>
    <w:p>
      <w:pPr>
        <w:spacing w:after="0" w:line="118" w:lineRule="exact"/>
        <w:rPr>
          <w:rFonts w:ascii="Times New Roman" w:cs="Times New Roman" w:eastAsia="Times New Roman" w:hAnsi="Times New Roman"/>
          <w:sz w:val="20"/>
          <w:szCs w:val="20"/>
          <w:color w:val="auto"/>
        </w:rPr>
      </w:pPr>
    </w:p>
    <w:p>
      <w:pPr>
        <w:jc w:val="both"/>
        <w:ind w:firstLine="644"/>
        <w:spacing w:after="0" w:line="261" w:lineRule="auto"/>
        <w:tabs>
          <w:tab w:leader="none" w:pos="114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Borrower’s or any Restricted Subsidiary’s Capital Stock in (i) a Permitted Joint Venture or Designated Restricted Subsidiary in the nature of customary rights of first refusal, tag-along rights, drag-along rights, buy-sell arrangements, voting rights agreements and other related arrangements and (ii) an Unrestricted Subsidiary;</w:t>
      </w:r>
    </w:p>
    <w:p>
      <w:pPr>
        <w:spacing w:after="0" w:line="127" w:lineRule="exact"/>
        <w:rPr>
          <w:rFonts w:ascii="Times New Roman" w:cs="Times New Roman" w:eastAsia="Times New Roman" w:hAnsi="Times New Roman"/>
          <w:sz w:val="20"/>
          <w:szCs w:val="20"/>
          <w:color w:val="auto"/>
        </w:rPr>
      </w:pPr>
    </w:p>
    <w:p>
      <w:pPr>
        <w:jc w:val="both"/>
        <w:ind w:firstLine="644"/>
        <w:spacing w:after="0" w:line="253" w:lineRule="auto"/>
        <w:tabs>
          <w:tab w:leader="none" w:pos="107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secure Indebtedness in excess of the greater of (i)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(ii) 15% of Consolidated Adjusted EBITDA for the most recently ended Test Period (calculated on a Pro Forma Basis) in the aggregate for all such Liens at any time;</w:t>
      </w:r>
    </w:p>
    <w:p>
      <w:pPr>
        <w:spacing w:after="0" w:line="137" w:lineRule="exact"/>
        <w:rPr>
          <w:rFonts w:ascii="Times New Roman" w:cs="Times New Roman" w:eastAsia="Times New Roman" w:hAnsi="Times New Roman"/>
          <w:sz w:val="20"/>
          <w:szCs w:val="20"/>
          <w:color w:val="auto"/>
        </w:rPr>
      </w:pPr>
    </w:p>
    <w:p>
      <w:pPr>
        <w:jc w:val="both"/>
        <w:ind w:firstLine="644"/>
        <w:spacing w:after="0" w:line="258" w:lineRule="auto"/>
        <w:tabs>
          <w:tab w:leader="none" w:pos="113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the Indebtedness permitted pursuant to </w:t>
      </w:r>
      <w:r>
        <w:rPr>
          <w:rFonts w:ascii="Times New Roman" w:cs="Times New Roman" w:eastAsia="Times New Roman" w:hAnsi="Times New Roman"/>
          <w:sz w:val="20"/>
          <w:szCs w:val="20"/>
          <w:u w:val="single" w:color="auto"/>
          <w:color w:val="auto"/>
        </w:rPr>
        <w:t>Section 6.01(k)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such Liens shall encumber only segregated Cash and Cash Equivalents provided in connection with such Interest Rate Agreements in an aggregate amount not to exceed the greater of (x) $</w:t>
      </w:r>
      <w:r>
        <w:rPr>
          <w:rFonts w:ascii="Times New Roman" w:cs="Times New Roman" w:eastAsia="Times New Roman" w:hAnsi="Times New Roman"/>
          <w:sz w:val="20"/>
          <w:szCs w:val="20"/>
          <w:color w:val="FF0000"/>
          <w:strike w:val="1"/>
        </w:rPr>
        <w:t>8,940,000</w:t>
      </w:r>
      <w:r>
        <w:rPr>
          <w:rFonts w:ascii="Times New Roman" w:cs="Times New Roman" w:eastAsia="Times New Roman" w:hAnsi="Times New Roman"/>
          <w:sz w:val="20"/>
          <w:szCs w:val="20"/>
          <w:u w:val="single" w:color="auto"/>
          <w:color w:val="0000FF"/>
        </w:rPr>
        <w:t>10,945,000</w:t>
      </w:r>
      <w:r>
        <w:rPr>
          <w:rFonts w:ascii="Times New Roman" w:cs="Times New Roman" w:eastAsia="Times New Roman" w:hAnsi="Times New Roman"/>
          <w:sz w:val="20"/>
          <w:szCs w:val="20"/>
          <w:color w:val="auto"/>
        </w:rPr>
        <w:t xml:space="preserve"> and (y) 5% of Consolidated Adjusted EBITDA for the most recently ended Test Period and (ii) such Interest Rate Agreements shall not constitute Secured Interest Rate Agreements;</w:t>
      </w:r>
    </w:p>
    <w:p>
      <w:pPr>
        <w:spacing w:after="0" w:line="118" w:lineRule="exact"/>
        <w:rPr>
          <w:rFonts w:ascii="Times New Roman" w:cs="Times New Roman" w:eastAsia="Times New Roman" w:hAnsi="Times New Roman"/>
          <w:sz w:val="20"/>
          <w:szCs w:val="20"/>
          <w:color w:val="auto"/>
        </w:rPr>
      </w:pPr>
    </w:p>
    <w:p>
      <w:pPr>
        <w:ind w:firstLine="644"/>
        <w:spacing w:after="0" w:line="283" w:lineRule="auto"/>
        <w:tabs>
          <w:tab w:leader="none" w:pos="111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attach only to the assets of the Foreign Subsidiaries and Restricted Subsidiaries that are not Credit Parties, as applicable, and do not extend to any Collateral;</w:t>
      </w:r>
    </w:p>
    <w:p>
      <w:pPr>
        <w:spacing w:after="0" w:line="92"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6.01(u)</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20" w:firstLine="644"/>
        <w:spacing w:after="0" w:line="283" w:lineRule="auto"/>
        <w:tabs>
          <w:tab w:leader="none" w:pos="115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6.01(x)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on the Collateral shall be subject to an Acceptable Intercreditor Agreement;</w:t>
      </w:r>
    </w:p>
    <w:p>
      <w:pPr>
        <w:spacing w:after="0" w:line="92" w:lineRule="exact"/>
        <w:rPr>
          <w:rFonts w:ascii="Times New Roman" w:cs="Times New Roman" w:eastAsia="Times New Roman" w:hAnsi="Times New Roman"/>
          <w:sz w:val="20"/>
          <w:szCs w:val="20"/>
          <w:color w:val="auto"/>
        </w:rPr>
      </w:pPr>
    </w:p>
    <w:p>
      <w:pPr>
        <w:jc w:val="both"/>
        <w:ind w:firstLine="644"/>
        <w:spacing w:after="0" w:line="261" w:lineRule="auto"/>
        <w:tabs>
          <w:tab w:leader="none" w:pos="116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obligations in respect of Credit Agreement Refinancing Indebtedness or any secured Incremental Equivalent Debt and any Permitted Refinancing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Liens securing any Permitted Refinancing or any secured Incremental Equivalent Debt are subject to the applicable Acceptable</w:t>
      </w:r>
    </w:p>
    <w:p>
      <w:pPr>
        <w:spacing w:after="0" w:line="38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580"/>
          </w:cols>
          <w:pgMar w:left="980" w:top="1413" w:right="339" w:bottom="1440" w:gutter="0" w:footer="0" w:header="0"/>
        </w:sectPr>
      </w:pPr>
    </w:p>
    <w:bookmarkStart w:id="172" w:name="page173"/>
    <w:bookmarkEnd w:id="172"/>
    <w:p>
      <w:pPr>
        <w:ind w:left="660"/>
        <w:spacing w:after="0" w:line="283" w:lineRule="auto"/>
        <w:rPr>
          <w:sz w:val="20"/>
          <w:szCs w:val="20"/>
          <w:color w:val="auto"/>
        </w:rPr>
      </w:pPr>
      <w:r>
        <w:rPr>
          <w:rFonts w:ascii="Times New Roman" w:cs="Times New Roman" w:eastAsia="Times New Roman" w:hAnsi="Times New Roman"/>
          <w:sz w:val="20"/>
          <w:szCs w:val="20"/>
          <w:color w:val="auto"/>
        </w:rPr>
        <w:t>Intercreditor Agreement or other lien subordination and/or intercreditor arrangement reasonably satisfactory to the Borrower Representative and Administrative Agent;</w:t>
      </w:r>
    </w:p>
    <w:p>
      <w:pPr>
        <w:spacing w:after="0" w:line="92" w:lineRule="exact"/>
        <w:rPr>
          <w:sz w:val="20"/>
          <w:szCs w:val="20"/>
          <w:color w:val="auto"/>
        </w:rPr>
      </w:pPr>
    </w:p>
    <w:p>
      <w:pPr>
        <w:jc w:val="both"/>
        <w:ind w:left="660" w:firstLine="644"/>
        <w:spacing w:after="0" w:line="257" w:lineRule="auto"/>
        <w:tabs>
          <w:tab w:leader="none" w:pos="183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property or assets of the Borrowers or any Restricted Subsidiaries securing obligations in an aggregate principal amount outstanding at any time not to exceed the greater of (i)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(ii) 15% of Consolidated Adjusted EBITDA for the most recently ended Test Period (calculated on a Pro Forma Basis), in each case, determined as of the date of such incurrence;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on the Collateral shall be subject to an Acceptable Intercreditor Agreement;</w:t>
      </w:r>
    </w:p>
    <w:p>
      <w:pPr>
        <w:spacing w:after="0" w:line="118" w:lineRule="exact"/>
        <w:rPr>
          <w:rFonts w:ascii="Times New Roman" w:cs="Times New Roman" w:eastAsia="Times New Roman" w:hAnsi="Times New Roman"/>
          <w:sz w:val="20"/>
          <w:szCs w:val="20"/>
          <w:color w:val="auto"/>
        </w:rPr>
      </w:pPr>
    </w:p>
    <w:p>
      <w:pPr>
        <w:ind w:left="660" w:firstLine="644"/>
        <w:spacing w:after="0" w:line="283" w:lineRule="auto"/>
        <w:tabs>
          <w:tab w:leader="none" w:pos="187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 insurance policy and the proceeds thereof and/or unearned premiums related thereto that secure the financing of premiums related to such policy to the extent such Indebtedness is permitted by </w:t>
      </w:r>
      <w:r>
        <w:rPr>
          <w:rFonts w:ascii="Times New Roman" w:cs="Times New Roman" w:eastAsia="Times New Roman" w:hAnsi="Times New Roman"/>
          <w:sz w:val="20"/>
          <w:szCs w:val="20"/>
          <w:u w:val="single" w:color="auto"/>
          <w:color w:val="auto"/>
        </w:rPr>
        <w:t>Section 6.01(r)</w:t>
      </w:r>
      <w:r>
        <w:rPr>
          <w:rFonts w:ascii="Times New Roman" w:cs="Times New Roman" w:eastAsia="Times New Roman" w:hAnsi="Times New Roman"/>
          <w:sz w:val="20"/>
          <w:szCs w:val="20"/>
          <w:color w:val="auto"/>
        </w:rPr>
        <w:t>; and</w:t>
      </w:r>
    </w:p>
    <w:p>
      <w:pPr>
        <w:spacing w:after="0" w:line="9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1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on Receivables Assets and related assets, or created in respect of bank accounts into which only the collections in respect of Receivables Assets have been deposited, arising in connection with a Qualified Receivables Financing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(ii</w:t>
      </w:r>
      <w:r>
        <w:rPr>
          <w:rFonts w:ascii="Times New Roman" w:cs="Times New Roman" w:eastAsia="Times New Roman" w:hAnsi="Times New Roman"/>
          <w:sz w:val="20"/>
          <w:szCs w:val="20"/>
          <w:u w:val="single" w:color="auto"/>
          <w:color w:val="0000FF"/>
        </w:rPr>
        <w:t>) Liens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Residual Financing Assets and related assets, or created in respect of bank accounts into which Residual Financing Assets (or proceeds therefrom) have been deposited, arising in connection with a Permitted Residual Financing and (iii</w:t>
      </w:r>
      <w:r>
        <w:rPr>
          <w:rFonts w:ascii="Times New Roman" w:cs="Times New Roman" w:eastAsia="Times New Roman" w:hAnsi="Times New Roman"/>
          <w:sz w:val="20"/>
          <w:szCs w:val="20"/>
          <w:color w:val="000000"/>
        </w:rPr>
        <w:t>) Liens securing Indebtedness or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obligations of any Receivables Subsidiary;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Liens are not secured by assets of any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6144895</wp:posOffset>
            </wp:positionH>
            <wp:positionV relativeFrom="paragraph">
              <wp:posOffset>-544195</wp:posOffset>
            </wp:positionV>
            <wp:extent cx="229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9870" cy="8890"/>
                    </a:xfrm>
                    <a:prstGeom prst="rect">
                      <a:avLst/>
                    </a:prstGeom>
                    <a:noFill/>
                  </pic:spPr>
                </pic:pic>
              </a:graphicData>
            </a:graphic>
          </wp:anchor>
        </w:drawing>
      </w:r>
    </w:p>
    <w:p>
      <w:pPr>
        <w:spacing w:after="0" w:line="95" w:lineRule="exact"/>
        <w:rPr>
          <w:sz w:val="20"/>
          <w:szCs w:val="20"/>
          <w:color w:val="auto"/>
        </w:rPr>
      </w:pPr>
    </w:p>
    <w:p>
      <w:pPr>
        <w:ind w:left="660"/>
        <w:spacing w:after="0"/>
        <w:tabs>
          <w:tab w:leader="none" w:pos="1180" w:val="left"/>
          <w:tab w:leader="none" w:pos="250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966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6.04 </w:t>
      </w:r>
      <w:r>
        <w:rPr>
          <w:rFonts w:ascii="Times New Roman" w:cs="Times New Roman" w:eastAsia="Times New Roman" w:hAnsi="Times New Roman"/>
          <w:sz w:val="20"/>
          <w:szCs w:val="20"/>
          <w:b w:val="1"/>
          <w:bCs w:val="1"/>
          <w:color w:val="auto"/>
        </w:rPr>
        <w:t>No Further Negative Pledges</w:t>
      </w:r>
      <w:r>
        <w:rPr>
          <w:rFonts w:ascii="Times New Roman" w:cs="Times New Roman" w:eastAsia="Times New Roman" w:hAnsi="Times New Roman"/>
          <w:sz w:val="20"/>
          <w:szCs w:val="20"/>
          <w:color w:val="auto"/>
        </w:rPr>
        <w:t>. No Borrower nor any Restricted Subsidiary shall enter into or permit to exist any Contractual Obligation (other than any Credit Document) prohibiting the creation, assumption or incurrence of any Lien upon any of its properties for the benefit of the Secured Parties,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are limited to the property or assets secured by such Liens on the property or assets subject to such leases, licenses or similar agreements, as the case may be), (c) Permitted Liens and restrictions in the agreements relating thereto that limit the right of any Borrower or any Restricted Subsidiary to dispose of or transfer, or create a Lien on, the asset subject to such Permitted Liens, (d) customary provisions in joint venture agreements and other similar agreements applicable to Permitted Joint Ventures, Designated Restricted Subsidiaries and other Joint Ventures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and applicable solely to such Permitted Joint Venture, Designated Restricted Subsidiary or Joint Venture, as applicable,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are, taken as a whole, in the good faith judgment of the Borrower Representative, either (i) taken as a whole no more restrictive than the restrictions contained in this Agreement or (ii) taken as a whole no more restrictive with respect to any Borrower or Restricted Subsidiary than customary market terms for Indebtedness of such type, so long as Borrower Representative shall have determined in good faith that such restrictions pursuant to this clause (g) will not affect 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 agreements)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-2892425</wp:posOffset>
            </wp:positionV>
            <wp:extent cx="16884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line="253" w:lineRule="auto"/>
        <w:rPr>
          <w:sz w:val="20"/>
          <w:szCs w:val="20"/>
          <w:color w:val="auto"/>
        </w:rPr>
      </w:pPr>
      <w:r>
        <w:rPr>
          <w:rFonts w:ascii="Times New Roman" w:cs="Times New Roman" w:eastAsia="Times New Roman" w:hAnsi="Times New Roman"/>
          <w:sz w:val="20"/>
          <w:szCs w:val="20"/>
          <w:color w:val="auto"/>
        </w:rPr>
        <w:t>into in the ordinary course of business, (i) restrictions on cash earnest money deposits in favor of sellers in connection with acquisitions not prohibited hereunder, (j) restrictions under the Preferred Stock Agreement Documents and (k) restrictions imposed by agreements relating to Indebtedness of any Restricted Subsidiary in existence at the time such Restricted Subsidiary became a Restricted Subsidiary of the Initial Borrower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the Initial Borrower.</w:t>
      </w:r>
    </w:p>
    <w:p>
      <w:pPr>
        <w:spacing w:after="0" w:line="12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6.05 </w:t>
      </w:r>
      <w:r>
        <w:rPr>
          <w:rFonts w:ascii="Times New Roman" w:cs="Times New Roman" w:eastAsia="Times New Roman" w:hAnsi="Times New Roman"/>
          <w:sz w:val="20"/>
          <w:szCs w:val="20"/>
          <w:b w:val="1"/>
          <w:bCs w:val="1"/>
          <w:color w:val="auto"/>
        </w:rPr>
        <w:t>Restricted Payments; Restricted Debt Payments</w:t>
      </w:r>
      <w:r>
        <w:rPr>
          <w:rFonts w:ascii="Times New Roman" w:cs="Times New Roman" w:eastAsia="Times New Roman" w:hAnsi="Times New Roman"/>
          <w:sz w:val="20"/>
          <w:szCs w:val="20"/>
          <w:color w:val="auto"/>
        </w:rPr>
        <w:t>. (a) No Borrower shall, nor shall it permit any of its Restricted Subsidiaries to, directly or indirectly, make any Restricted Payment or any Restricted Debt Payment,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29489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8" w:lineRule="exact"/>
        <w:rPr>
          <w:sz w:val="20"/>
          <w:szCs w:val="20"/>
          <w:color w:val="auto"/>
        </w:rPr>
      </w:pPr>
    </w:p>
    <w:p>
      <w:pPr>
        <w:ind w:left="1720" w:hanging="416"/>
        <w:spacing w:after="0"/>
        <w:tabs>
          <w:tab w:leader="none" w:pos="172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Restricted Payments:</w:t>
      </w:r>
    </w:p>
    <w:p>
      <w:pPr>
        <w:spacing w:after="0" w:line="17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377"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(1) any Borrower, (2) any Restricted Subsidiary and (3) each other owner of Capital Stock of such Restricted Subsidiary on a not more than pro rata basis based on their relative ownership interests of the relevant class of Capital Stock of such Restricted Subsidiary;</w:t>
      </w:r>
    </w:p>
    <w:p>
      <w:pPr>
        <w:spacing w:after="0" w:line="127"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45"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Restricted Subsidiary may declare and make dividend payments or other Restricted Payments payable solely in the Capital Stock (including Disqualified Capital Stock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of such Person (and, in the case of such a Restricted Payment by a non-wholly-owned Restricted Subsidiary, to (1) any Borrower, (2) any Restricted Subsidiary and (3) each other owner of Capital Stock of such Restricted Subsidiary on a not more than pro rata basis based on their relative ownership interests of the relevant class of Capital Stock of such Restricted Subsidiary);</w:t>
      </w:r>
    </w:p>
    <w:p>
      <w:pPr>
        <w:spacing w:after="0" w:line="137"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its Restricted Subsidiaries may make Permitted Tax Payments;</w:t>
      </w:r>
    </w:p>
    <w:p>
      <w:pPr>
        <w:spacing w:after="0" w:line="16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47"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its Restricted Subsidiaries may make Restricted Payments to PRTH (or any direct or indirect parent of PRTH) (1) to the extent necessary to permit PRTH (or any direct or indirect parent of PRTH) to pay reasonable and customary general administrative costs and expenses and out-of-pocket legal, accounting and filing and other general corporate overhead costs of PRTH (or any direct or indirect parent of PRTH) (including, without limitation, reasonable and customary salaries and benefits of officers and employees of PRTH (or any direct or indirect parent of PRTH)) and to pay franchise taxes and other fees required to maintain its organizational existence of PRTH or any direct or indirect parent of PRTH actually incurred by PRTH or such direct or indirect parent of PRTH,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PRTH (or any direct or indirect parent of PRTH) or any Restricted Subsidiary or (y) the applicable payment is treated by a Borrower or its applicable Restricted Subsidiary as an Investment in such Unrestricted Subsidiary and is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(2) to the extent necessary to permit PRTH (or any direct or indirect parent of PRTH) to pay directors’ fees, expenses and any reasonable and customary indemnification claims made by directors or officers of PRTH (or any direct or indirect parent of PRTH) attributable to the ownership or operations of the Borrowers and its Restricted Subsidiaries, in each case, so long as PRTH (or any direct or indirect parent of PRTH) applies the amount of any such Restricted Payment for such purpose (but, in each case, excluding, for the avoidance of doubt, the portion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of any such amount, if any, that is attributable to the ownership or operations of any Subsidiary of PRTH (or any direct or indirect parent of PRTH) other than the Borrowers and/or their respective Subsidiaries) and (3) to the extent necessary to permit PRTH (or any direct or indirect parent of PRTH) to make payments permitted pursuant to </w:t>
      </w:r>
      <w:r>
        <w:rPr>
          <w:rFonts w:ascii="Times New Roman" w:cs="Times New Roman" w:eastAsia="Times New Roman" w:hAnsi="Times New Roman"/>
          <w:sz w:val="20"/>
          <w:szCs w:val="20"/>
          <w:u w:val="single" w:color="auto"/>
          <w:color w:val="auto"/>
        </w:rPr>
        <w:t>Sections 5.22(h)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jc w:val="both"/>
        <w:ind w:firstLine="1952"/>
        <w:spacing w:after="0" w:line="253" w:lineRule="auto"/>
        <w:tabs>
          <w:tab w:leader="none" w:pos="239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and the Restricted Subsidiaries may make Restricted Payments in an unlimited amount, so long as (x) subject to the provisions of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with respect to any Limited Condition Transaction, no Event of Default shall have occurred and be continuing or shall be immediately caused thereby and (y) the Total Net Leverage Ratio (calculated on a Pro Forma Basis immediately before and immediately after giving effect to such Restricted Payment and any Indebtedness incurred in connection therewith) shall not exceed 3.75:1.00 for the most recently ended Test Period</w:t>
      </w:r>
    </w:p>
    <w:p>
      <w:pPr>
        <w:spacing w:after="0" w:line="137" w:lineRule="exact"/>
        <w:rPr>
          <w:rFonts w:ascii="Times New Roman" w:cs="Times New Roman" w:eastAsia="Times New Roman" w:hAnsi="Times New Roman"/>
          <w:sz w:val="20"/>
          <w:szCs w:val="20"/>
          <w:color w:val="auto"/>
        </w:rPr>
      </w:pPr>
    </w:p>
    <w:p>
      <w:pPr>
        <w:ind w:firstLine="1952"/>
        <w:spacing w:after="0" w:line="269" w:lineRule="auto"/>
        <w:tabs>
          <w:tab w:leader="none" w:pos="2584"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the Borrowers and the Restricted Subsidiaries may make any Restricted Payment necessary to consummate the Closing Date Refinancing and the Transactions;</w:t>
      </w:r>
    </w:p>
    <w:p>
      <w:pPr>
        <w:spacing w:after="0" w:line="118"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37"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Payments for the purpose of redeeming all or any portion of the outstanding Preferred Stock Facility so long as (x) no Event of Default shall have occurred and be continuing or shall be immediately caused thereby and (y) the Total Net Leverage Ratio (calculated on a Pro Forma Basis immediately before and immediately after giving effect to such Restricted Payment and any Indebtedness incurred in connection therewith) for the most recently ended Test Period shall not exceed 4.50:1.00;</w:t>
      </w:r>
    </w:p>
    <w:p>
      <w:pPr>
        <w:spacing w:after="0" w:line="137" w:lineRule="exact"/>
        <w:rPr>
          <w:rFonts w:ascii="Times New Roman" w:cs="Times New Roman" w:eastAsia="Times New Roman" w:hAnsi="Times New Roman"/>
          <w:sz w:val="20"/>
          <w:szCs w:val="20"/>
          <w:color w:val="auto"/>
        </w:rPr>
      </w:pPr>
    </w:p>
    <w:p>
      <w:pPr>
        <w:ind w:left="2560" w:hanging="608"/>
        <w:spacing w:after="0"/>
        <w:tabs>
          <w:tab w:leader="none" w:pos="25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(x) no Event of Default has occurred and is continuing or would result immediately therefrom and</w:t>
      </w:r>
    </w:p>
    <w:p>
      <w:pPr>
        <w:spacing w:after="0" w:line="39" w:lineRule="exact"/>
        <w:rPr>
          <w:rFonts w:ascii="Times New Roman" w:cs="Times New Roman" w:eastAsia="Times New Roman" w:hAnsi="Times New Roman"/>
          <w:sz w:val="19"/>
          <w:szCs w:val="19"/>
          <w:color w:val="auto"/>
        </w:rPr>
      </w:pPr>
    </w:p>
    <w:p>
      <w:pPr>
        <w:jc w:val="both"/>
        <w:ind w:firstLine="8"/>
        <w:spacing w:after="0" w:line="249" w:lineRule="auto"/>
        <w:tabs>
          <w:tab w:leader="none" w:pos="28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such Restricted Payments shall not exceed the sum of (i) “Adjusted Three-Month Term SOFR” (as defined in the Preferred Stock Agreement Documents) (or benchmark of corresponding import applicable to the Preferred Stock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5.00% per annum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then outstanding principal amount under the Preferred Stock Facility in any Fiscal Year, the Borrowers and the Restricted Subsidiaries may make Restricted Payments to PRTH necessary to permit PRTH to make any cash dividends required under the Preferred Stock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all fees (including any annual administrative fee), costs and expenses thereunder;</w:t>
      </w:r>
    </w:p>
    <w:p>
      <w:pPr>
        <w:spacing w:after="0" w:line="128" w:lineRule="exact"/>
        <w:rPr>
          <w:rFonts w:ascii="Times New Roman" w:cs="Times New Roman" w:eastAsia="Times New Roman" w:hAnsi="Times New Roman"/>
          <w:sz w:val="20"/>
          <w:szCs w:val="20"/>
          <w:color w:val="auto"/>
        </w:rPr>
      </w:pPr>
    </w:p>
    <w:p>
      <w:pPr>
        <w:jc w:val="both"/>
        <w:ind w:firstLine="1952"/>
        <w:spacing w:after="0" w:line="250" w:lineRule="auto"/>
        <w:tabs>
          <w:tab w:leader="none" w:pos="2496"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Payments or other transfers of funds to PRTH (or any direct or indirect parent of PRTH) utilized for the repurchase, redemption or other acquisition or retirement for value of any Capital Stock of PRTH (or any direct or indirect parent of PRTH) held by any current or former officer, director, employee or consultant of PRTH (or any direct or indirect parent of PRTH), such Borrower or any of its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15.0% of Consolidated Adjusted EBITDA for the most recently ended Test Period (calculated on a Pro Forma Basis) determined at the time of incurrence of such repurchase, redemption, acquisition or retirement of Capital Stock (calculated on a Pro Forma Basis) as of the last day of the most recently ended Test Period (with unused amounts permitted to be carried forward to the next succeeding Fiscal Year (the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Buyback 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Stock Buyback Cap shall be subject to a sublimit for the aggregate price paid for all such Capital Stock repurchased, redeemed, acquired or retired from any current or former officer, director, employee or consultant of any Unrestricted Subsidiary or his or her estate, spouse, former spouse, family member or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61" w:lineRule="auto"/>
        <w:rPr>
          <w:sz w:val="20"/>
          <w:szCs w:val="20"/>
          <w:color w:val="auto"/>
        </w:rPr>
      </w:pPr>
      <w:r>
        <w:rPr>
          <w:rFonts w:ascii="Times New Roman" w:cs="Times New Roman" w:eastAsia="Times New Roman" w:hAnsi="Times New Roman"/>
          <w:sz w:val="20"/>
          <w:szCs w:val="20"/>
          <w:color w:val="auto"/>
        </w:rPr>
        <w:t>Affiliate of the foregoing not to exceed in any Fiscal Year the greater of (x) $</w:t>
      </w:r>
      <w:r>
        <w:rPr>
          <w:rFonts w:ascii="Times New Roman" w:cs="Times New Roman" w:eastAsia="Times New Roman" w:hAnsi="Times New Roman"/>
          <w:sz w:val="20"/>
          <w:szCs w:val="20"/>
          <w:color w:val="FF0000"/>
          <w:strike w:val="1"/>
        </w:rPr>
        <w:t>8,940,000</w:t>
      </w:r>
      <w:r>
        <w:rPr>
          <w:rFonts w:ascii="Times New Roman" w:cs="Times New Roman" w:eastAsia="Times New Roman" w:hAnsi="Times New Roman"/>
          <w:sz w:val="20"/>
          <w:szCs w:val="20"/>
          <w:u w:val="single" w:color="auto"/>
          <w:color w:val="0000FF"/>
        </w:rPr>
        <w:t>10,945,000</w:t>
      </w:r>
      <w:r>
        <w:rPr>
          <w:rFonts w:ascii="Times New Roman" w:cs="Times New Roman" w:eastAsia="Times New Roman" w:hAnsi="Times New Roman"/>
          <w:sz w:val="20"/>
          <w:szCs w:val="20"/>
          <w:color w:val="auto"/>
        </w:rPr>
        <w:t xml:space="preserve"> and (y) 5% of Consolidated Adjusted EBITDA for the most recently ended Test Period (calculated on a Pro Forma Basis) (with unused amounts permitted to be carried forward to the next succeeding Fiscal Year);</w:t>
      </w:r>
    </w:p>
    <w:p>
      <w:pPr>
        <w:spacing w:after="0" w:line="127" w:lineRule="exact"/>
        <w:rPr>
          <w:sz w:val="20"/>
          <w:szCs w:val="20"/>
          <w:color w:val="auto"/>
        </w:rPr>
      </w:pPr>
    </w:p>
    <w:p>
      <w:pPr>
        <w:jc w:val="both"/>
        <w:ind w:firstLine="1952"/>
        <w:spacing w:after="0" w:line="281" w:lineRule="auto"/>
        <w:tabs>
          <w:tab w:leader="none" w:pos="2486"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Event of Default then exists or would result immediately therefrom, the Borrowers and the Restricted Subsidiaries may make Restricted Payments not to exceed an aggregate amount equal to the greater of (x) $</w:t>
      </w:r>
      <w:r>
        <w:rPr>
          <w:rFonts w:ascii="Times New Roman" w:cs="Times New Roman" w:eastAsia="Times New Roman" w:hAnsi="Times New Roman"/>
          <w:sz w:val="19"/>
          <w:szCs w:val="19"/>
          <w:color w:val="FF0000"/>
          <w:strike w:val="1"/>
        </w:rPr>
        <w:t>26,820,000</w:t>
      </w:r>
      <w:r>
        <w:rPr>
          <w:rFonts w:ascii="Times New Roman" w:cs="Times New Roman" w:eastAsia="Times New Roman" w:hAnsi="Times New Roman"/>
          <w:sz w:val="19"/>
          <w:szCs w:val="19"/>
          <w:u w:val="single" w:color="auto"/>
          <w:color w:val="0000FF"/>
        </w:rPr>
        <w:t>32,835,000</w:t>
      </w:r>
      <w:r>
        <w:rPr>
          <w:rFonts w:ascii="Times New Roman" w:cs="Times New Roman" w:eastAsia="Times New Roman" w:hAnsi="Times New Roman"/>
          <w:sz w:val="19"/>
          <w:szCs w:val="19"/>
          <w:color w:val="auto"/>
        </w:rPr>
        <w:t xml:space="preserve"> and (y) 15.0% of Consolidated Adjusted EBITDA for the most recently ended Test Period (calculated on a Pro Forma Basis);</w:t>
      </w:r>
    </w:p>
    <w:p>
      <w:pPr>
        <w:spacing w:after="0" w:line="110" w:lineRule="exact"/>
        <w:rPr>
          <w:rFonts w:ascii="Times New Roman" w:cs="Times New Roman" w:eastAsia="Times New Roman" w:hAnsi="Times New Roman"/>
          <w:sz w:val="19"/>
          <w:szCs w:val="19"/>
          <w:color w:val="auto"/>
        </w:rPr>
      </w:pPr>
    </w:p>
    <w:p>
      <w:pPr>
        <w:jc w:val="both"/>
        <w:ind w:firstLine="1952"/>
        <w:spacing w:after="0" w:line="266" w:lineRule="auto"/>
        <w:tabs>
          <w:tab w:leader="none" w:pos="2441"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and the Restricted Subsidiaries may make Restricted Payments in an aggregate amount of up to 100% of the net Cash proceeds received by the Initial Borrower since immediately after the Closing Date from the issuance or sale of Capital Stock of the Initial Borrower or Cash contributed to the common equity of the Initial Borrower (in each case, other than Disqualified Capital Stock or any Specified Equity Contribution), to the extent such net Cash proceeds or Cash have not been applied after the Closing Date and prior to the time of such incurrence to incur Indebtedness pursuant to </w:t>
      </w:r>
      <w:r>
        <w:rPr>
          <w:rFonts w:ascii="Times New Roman" w:cs="Times New Roman" w:eastAsia="Times New Roman" w:hAnsi="Times New Roman"/>
          <w:sz w:val="19"/>
          <w:szCs w:val="19"/>
          <w:u w:val="single" w:color="auto"/>
          <w:color w:val="auto"/>
        </w:rPr>
        <w:t>Section 6.01(p)</w:t>
      </w:r>
      <w:r>
        <w:rPr>
          <w:rFonts w:ascii="Times New Roman" w:cs="Times New Roman" w:eastAsia="Times New Roman" w:hAnsi="Times New Roman"/>
          <w:sz w:val="19"/>
          <w:szCs w:val="19"/>
          <w:color w:val="auto"/>
        </w:rPr>
        <w:t xml:space="preserve">, to make Restricted Debt Payments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6.05(b)(iv)</w:t>
      </w:r>
      <w:r>
        <w:rPr>
          <w:rFonts w:ascii="Times New Roman" w:cs="Times New Roman" w:eastAsia="Times New Roman" w:hAnsi="Times New Roman"/>
          <w:sz w:val="19"/>
          <w:szCs w:val="19"/>
          <w:color w:val="auto"/>
        </w:rPr>
        <w:t xml:space="preserve"> or to make Investments pursuant to </w:t>
      </w:r>
      <w:r>
        <w:rPr>
          <w:rFonts w:ascii="Times New Roman" w:cs="Times New Roman" w:eastAsia="Times New Roman" w:hAnsi="Times New Roman"/>
          <w:sz w:val="19"/>
          <w:szCs w:val="19"/>
          <w:u w:val="single" w:color="auto"/>
          <w:color w:val="auto"/>
        </w:rPr>
        <w:t>Sections 6.07(n)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w:t>
      </w:r>
      <w:r>
        <w:rPr>
          <w:rFonts w:ascii="Times New Roman" w:cs="Times New Roman" w:eastAsia="Times New Roman" w:hAnsi="Times New Roman"/>
          <w:sz w:val="19"/>
          <w:szCs w:val="19"/>
          <w:color w:val="auto"/>
        </w:rPr>
        <w:t xml:space="preserve"> and excluding the proceeds of sales of equity interests and equity proceeds or contribution amounts that are actually used to fund a Permitted Acquisition or other Permitted Investment;</w:t>
      </w:r>
    </w:p>
    <w:p>
      <w:pPr>
        <w:spacing w:after="0" w:line="127" w:lineRule="exact"/>
        <w:rPr>
          <w:rFonts w:ascii="Times New Roman" w:cs="Times New Roman" w:eastAsia="Times New Roman" w:hAnsi="Times New Roman"/>
          <w:sz w:val="19"/>
          <w:szCs w:val="19"/>
          <w:color w:val="auto"/>
        </w:rPr>
      </w:pPr>
    </w:p>
    <w:p>
      <w:pPr>
        <w:ind w:firstLine="1952"/>
        <w:spacing w:after="0" w:line="269" w:lineRule="auto"/>
        <w:tabs>
          <w:tab w:leader="none" w:pos="250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or would result immediately therefrom, the Borrowers and the Restricted Subsidiaries may make Restricted Payments using the Available Amount in effect at such time; and</w:t>
      </w:r>
    </w:p>
    <w:p>
      <w:pPr>
        <w:spacing w:after="0" w:line="118" w:lineRule="exact"/>
        <w:rPr>
          <w:rFonts w:ascii="Times New Roman" w:cs="Times New Roman" w:eastAsia="Times New Roman" w:hAnsi="Times New Roman"/>
          <w:sz w:val="20"/>
          <w:szCs w:val="20"/>
          <w:color w:val="auto"/>
        </w:rPr>
      </w:pPr>
    </w:p>
    <w:p>
      <w:pPr>
        <w:jc w:val="both"/>
        <w:ind w:right="20" w:firstLine="1952"/>
        <w:spacing w:after="0" w:line="261" w:lineRule="auto"/>
        <w:tabs>
          <w:tab w:leader="none" w:pos="253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Payments consisting of the redemption or repurchase of Capital Stock of Restricted Subsidiaries of the Borrowers held by Persons other than the Borrowers or any of their Restricted Subsidiaries in exchange for Qualified Capital Stock of PRTH.</w:t>
      </w:r>
    </w:p>
    <w:p>
      <w:pPr>
        <w:spacing w:after="0" w:line="12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Restricted Debt Payments:</w:t>
      </w:r>
    </w:p>
    <w:p>
      <w:pPr>
        <w:spacing w:after="0" w:line="161" w:lineRule="exact"/>
        <w:rPr>
          <w:rFonts w:ascii="Times New Roman" w:cs="Times New Roman" w:eastAsia="Times New Roman" w:hAnsi="Times New Roman"/>
          <w:sz w:val="20"/>
          <w:szCs w:val="20"/>
          <w:color w:val="auto"/>
        </w:rPr>
      </w:pPr>
    </w:p>
    <w:p>
      <w:pPr>
        <w:ind w:firstLine="1952"/>
        <w:spacing w:after="0" w:line="283" w:lineRule="auto"/>
        <w:tabs>
          <w:tab w:leader="none" w:pos="2364"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repayments of intercompany Indebtedness, subject to the subordination and/or intercreditor provisions applicable to any such Indebtedness;</w:t>
      </w:r>
    </w:p>
    <w:p>
      <w:pPr>
        <w:spacing w:after="0" w:line="92" w:lineRule="exact"/>
        <w:rPr>
          <w:rFonts w:ascii="Times New Roman" w:cs="Times New Roman" w:eastAsia="Times New Roman" w:hAnsi="Times New Roman"/>
          <w:sz w:val="20"/>
          <w:szCs w:val="20"/>
          <w:color w:val="auto"/>
        </w:rPr>
      </w:pPr>
    </w:p>
    <w:p>
      <w:pPr>
        <w:ind w:firstLine="1952"/>
        <w:spacing w:after="0" w:line="283" w:lineRule="auto"/>
        <w:tabs>
          <w:tab w:leader="none" w:pos="2516"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10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39"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Debt Payments in the form of a conversion or exchange of any Junior Financing to Capital Stock (other than Disqualified Capital Stock) of the Initial Borrower (or any of its direct or indirect parent companies);</w:t>
      </w:r>
    </w:p>
    <w:p>
      <w:pPr>
        <w:spacing w:after="0" w:line="113" w:lineRule="exact"/>
        <w:rPr>
          <w:rFonts w:ascii="Times New Roman" w:cs="Times New Roman" w:eastAsia="Times New Roman" w:hAnsi="Times New Roman"/>
          <w:sz w:val="20"/>
          <w:szCs w:val="20"/>
          <w:color w:val="auto"/>
        </w:rPr>
      </w:pPr>
    </w:p>
    <w:p>
      <w:pPr>
        <w:ind w:firstLine="1952"/>
        <w:spacing w:after="0" w:line="283" w:lineRule="auto"/>
        <w:tabs>
          <w:tab w:leader="none" w:pos="251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immediately therefrom, the Borrowers and the Restricted Subsidiaries may make Restricted Debt Payments using the Available Amount in effect at such time;</w:t>
      </w:r>
    </w:p>
    <w:p>
      <w:pPr>
        <w:spacing w:after="0" w:line="10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6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additional Restricted Debt Payments in respect of Junior Financings, so long as, (x) no Event of Default has occurred and is continuing or would result immediately therefrom and (y) immediately before and after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1240"/>
          </w:cols>
          <w:pgMar w:left="320" w:top="1413" w:right="339" w:bottom="1440" w:gutter="0" w:footer="0" w:header="0"/>
        </w:sectPr>
      </w:pPr>
    </w:p>
    <w:bookmarkStart w:id="176" w:name="page177"/>
    <w:bookmarkEnd w:id="176"/>
    <w:p>
      <w:pPr>
        <w:spacing w:after="0" w:line="283" w:lineRule="auto"/>
        <w:rPr>
          <w:sz w:val="20"/>
          <w:szCs w:val="20"/>
          <w:color w:val="auto"/>
        </w:rPr>
      </w:pPr>
      <w:r>
        <w:rPr>
          <w:rFonts w:ascii="Times New Roman" w:cs="Times New Roman" w:eastAsia="Times New Roman" w:hAnsi="Times New Roman"/>
          <w:sz w:val="20"/>
          <w:szCs w:val="20"/>
          <w:color w:val="auto"/>
        </w:rPr>
        <w:t>giving effect to such Restricted Debt Payment the Total Net Leverage Ratio calculated on a Pro Forma Basis as of the end of most recently ended Test Period is no greater than 4.00:1.00;</w:t>
      </w:r>
    </w:p>
    <w:p>
      <w:pPr>
        <w:spacing w:after="0" w:line="92" w:lineRule="exact"/>
        <w:rPr>
          <w:sz w:val="20"/>
          <w:szCs w:val="20"/>
          <w:color w:val="auto"/>
        </w:rPr>
      </w:pPr>
    </w:p>
    <w:p>
      <w:pPr>
        <w:jc w:val="both"/>
        <w:ind w:firstLine="1952"/>
        <w:spacing w:after="0" w:line="261" w:lineRule="auto"/>
        <w:tabs>
          <w:tab w:leader="none" w:pos="249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and the Restricted Subsidiaries may make Restricted Debt Payments in respect of any “earn-outs” or other Indebtedness incurred by any Borrower and/or any Restricted Subsidiary consisting of the deferred purchase price of property acquired in any Permitted Acquisition or other Permitted Investment; and</w:t>
      </w:r>
    </w:p>
    <w:p>
      <w:pPr>
        <w:spacing w:after="0" w:line="127"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7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then exists or would result immediately therefrom, the Borrowers and the Restricted Subsidiaries may make Restricted Debt Payments not to exceed an aggregate amount equal to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15.0% of Consolidated Adjusted EBITDA for the most recently ended Test Period (calculated on a Pro Forma Basis);</w:t>
      </w:r>
    </w:p>
    <w:p>
      <w:pPr>
        <w:spacing w:after="0" w:line="11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6.06 </w:t>
      </w:r>
      <w:r>
        <w:rPr>
          <w:rFonts w:ascii="Times New Roman" w:cs="Times New Roman" w:eastAsia="Times New Roman" w:hAnsi="Times New Roman"/>
          <w:sz w:val="19"/>
          <w:szCs w:val="19"/>
          <w:b w:val="1"/>
          <w:bCs w:val="1"/>
          <w:color w:val="auto"/>
        </w:rPr>
        <w:t>Restrictions on Subsidiary Distributions</w:t>
      </w:r>
      <w:r>
        <w:rPr>
          <w:rFonts w:ascii="Times New Roman" w:cs="Times New Roman" w:eastAsia="Times New Roman" w:hAnsi="Times New Roman"/>
          <w:sz w:val="19"/>
          <w:szCs w:val="19"/>
          <w:color w:val="auto"/>
        </w:rPr>
        <w:t xml:space="preserve">. Except as provided herein, no Borrower shall, nor shall it permit any of its Restricted Subsidiaries to, create or otherwise cause or suffer to exist or become effective any consensual encumbrance or restriction of any kind on the ability of any Credit Party to (a) pay dividends or make any other distributions on any of such Credit Party’s Capital Stock owned by a Credit Party, (b) repay or prepay any Indebtedness owed by such Credit Party to any other Credit Party, (c) make loans or advances to any other Credit Party, or (d) transfer any of its property or assets to any other Credit Party other than restrictions (i) in agreements evidencing Indebtedness permitted by </w:t>
      </w:r>
      <w:r>
        <w:rPr>
          <w:rFonts w:ascii="Times New Roman" w:cs="Times New Roman" w:eastAsia="Times New Roman" w:hAnsi="Times New Roman"/>
          <w:sz w:val="19"/>
          <w:szCs w:val="19"/>
          <w:u w:val="single" w:color="auto"/>
          <w:color w:val="auto"/>
        </w:rPr>
        <w:t>Section 6.01(j)</w:t>
      </w:r>
      <w:r>
        <w:rPr>
          <w:rFonts w:ascii="Times New Roman" w:cs="Times New Roman" w:eastAsia="Times New Roman" w:hAnsi="Times New Roman"/>
          <w:sz w:val="19"/>
          <w:szCs w:val="19"/>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(iii) that are or were created by virtue of any transfer of, agreement to transfer or option or right with respect to any property, assets or Capital Stock not otherwise prohibited under this Agreement, (iv) existing under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-1235710</wp:posOffset>
            </wp:positionV>
            <wp:extent cx="2416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16175" cy="8255"/>
                    </a:xfrm>
                    <a:prstGeom prst="rect">
                      <a:avLst/>
                    </a:prstGeom>
                    <a:noFill/>
                  </pic:spPr>
                </pic:pic>
              </a:graphicData>
            </a:graphic>
          </wp:anchor>
        </w:drawing>
      </w:r>
    </w:p>
    <w:p>
      <w:pPr>
        <w:jc w:val="both"/>
        <w:ind w:firstLine="8"/>
        <w:spacing w:after="0" w:line="248" w:lineRule="auto"/>
        <w:tabs>
          <w:tab w:leader="none" w:pos="28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agreements or instruments that prohibit the payment of dividends or the making of other distributions with respect to any Capital Stock of a Person other than on a pro rata basis (including in respect of any joint venture), (vi) in any instrument governing Indebtedness or Capital Stock of a Person acquired by the Initial Borrower 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in favor of any holder of a Lien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solely restricting the transfer of the property subject thereto, (ix) under the Preferred Stock Agreement Documents, (x) contained in any agreement relating to the sale of any property permitted under this Agreement pending the consummation of such sale solely restricting the property subject thereto and (xi) imposed by any agreement governing Indebtedness entered into on or after the Closing Date and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are, taken as a whole, in the good faith judgment of the Borrower Representative, either (i) taken as a whole no more restrictive than the restrictions contained in this Agreement or (ii) taken as a whole no more restrictive with respect to any Borrower or any Restricted Subsidiary than customary market terms for Indebtedness of such type, so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1240"/>
          </w:cols>
          <w:pgMar w:left="320" w:top="1413" w:right="339" w:bottom="1440" w:gutter="0" w:footer="0" w:header="0"/>
        </w:sectPr>
      </w:pPr>
    </w:p>
    <w:bookmarkStart w:id="177" w:name="page178"/>
    <w:bookmarkEnd w:id="177"/>
    <w:p>
      <w:pPr>
        <w:spacing w:after="0" w:line="283" w:lineRule="auto"/>
        <w:rPr>
          <w:sz w:val="20"/>
          <w:szCs w:val="20"/>
          <w:color w:val="auto"/>
        </w:rPr>
      </w:pPr>
      <w:r>
        <w:rPr>
          <w:rFonts w:ascii="Times New Roman" w:cs="Times New Roman" w:eastAsia="Times New Roman" w:hAnsi="Times New Roman"/>
          <w:sz w:val="20"/>
          <w:szCs w:val="20"/>
          <w:color w:val="auto"/>
        </w:rPr>
        <w:t xml:space="preserve">long as Borrower Representative shall have determined in good faith that such restrictions pursuant to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will not affect its obligation or ability to make any payments required hereunder.</w:t>
      </w:r>
    </w:p>
    <w:p>
      <w:pPr>
        <w:spacing w:after="0" w:line="8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6.07 </w:t>
      </w:r>
      <w:r>
        <w:rPr>
          <w:rFonts w:ascii="Times New Roman" w:cs="Times New Roman" w:eastAsia="Times New Roman" w:hAnsi="Times New Roman"/>
          <w:sz w:val="20"/>
          <w:szCs w:val="20"/>
          <w:b w:val="1"/>
          <w:bCs w:val="1"/>
          <w:color w:val="auto"/>
        </w:rPr>
        <w:t>Investments</w:t>
      </w:r>
      <w:r>
        <w:rPr>
          <w:rFonts w:ascii="Times New Roman" w:cs="Times New Roman" w:eastAsia="Times New Roman" w:hAnsi="Times New Roman"/>
          <w:sz w:val="20"/>
          <w:szCs w:val="20"/>
          <w:color w:val="auto"/>
        </w:rPr>
        <w:t>. No Borrower shall, nor shall it permit any of its Restricted Subsidiaries to, directly or indirectly, make or own any Investment in any Person (including without limitation any Joint Venture),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8007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68" w:lineRule="exact"/>
        <w:rPr>
          <w:sz w:val="20"/>
          <w:szCs w:val="20"/>
          <w:color w:val="auto"/>
        </w:rPr>
      </w:pPr>
    </w:p>
    <w:p>
      <w:pPr>
        <w:ind w:left="1720" w:hanging="416"/>
        <w:spacing w:after="0"/>
        <w:tabs>
          <w:tab w:leader="none" w:pos="172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then exists or would result immediately therefrom, Investments not to exceed an aggregate amount equal to the greater of (x) $</w:t>
      </w:r>
      <w:r>
        <w:rPr>
          <w:rFonts w:ascii="Times New Roman" w:cs="Times New Roman" w:eastAsia="Times New Roman" w:hAnsi="Times New Roman"/>
          <w:sz w:val="20"/>
          <w:szCs w:val="20"/>
          <w:color w:val="FF0000"/>
          <w:strike w:val="1"/>
        </w:rPr>
        <w:t>53,640,000</w:t>
      </w:r>
      <w:r>
        <w:rPr>
          <w:rFonts w:ascii="Times New Roman" w:cs="Times New Roman" w:eastAsia="Times New Roman" w:hAnsi="Times New Roman"/>
          <w:sz w:val="20"/>
          <w:szCs w:val="20"/>
          <w:u w:val="single" w:color="auto"/>
          <w:color w:val="0000FF"/>
        </w:rPr>
        <w:t>65,670,000</w:t>
      </w:r>
      <w:r>
        <w:rPr>
          <w:rFonts w:ascii="Times New Roman" w:cs="Times New Roman" w:eastAsia="Times New Roman" w:hAnsi="Times New Roman"/>
          <w:sz w:val="20"/>
          <w:szCs w:val="20"/>
          <w:color w:val="auto"/>
        </w:rPr>
        <w:t xml:space="preserve"> and (y) 30.0% of Consolidated Adjusted EBITDA for the most recently ended Test Period (calculated on a Pro Forma Basis);</w:t>
      </w:r>
    </w:p>
    <w:p>
      <w:pPr>
        <w:spacing w:after="0" w:line="127"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37" w:lineRule="exact"/>
        <w:rPr>
          <w:rFonts w:ascii="Times New Roman" w:cs="Times New Roman" w:eastAsia="Times New Roman" w:hAnsi="Times New Roman"/>
          <w:sz w:val="20"/>
          <w:szCs w:val="20"/>
          <w:color w:val="auto"/>
        </w:rPr>
      </w:pPr>
    </w:p>
    <w:p>
      <w:pPr>
        <w:jc w:val="both"/>
        <w:ind w:left="660" w:firstLine="644"/>
        <w:spacing w:after="0" w:line="259" w:lineRule="auto"/>
        <w:tabs>
          <w:tab w:leader="none" w:pos="186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 by any Credit Party or any Restricted Subsidiary in any Credit Party, (ii) Investments by any Restricted Subsidiary that is not a Credit Party in any other Restricted Subsidiary that is not a Credit Party and (iii) Investments by any Credit Party in any Restricted Subsidiary that is not a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Investments made pursuant to immediately preceding clause (d)(iii) shall not exceed at any time outstanding the greater of (x)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(y) 35.0% of Consolidated Adjusted EBITDA (calculated on a Pro Forma Basis) as of the last day of the most recently ended Test Period;</w:t>
      </w:r>
    </w:p>
    <w:p>
      <w:pPr>
        <w:spacing w:after="0" w:line="117" w:lineRule="exact"/>
        <w:rPr>
          <w:rFonts w:ascii="Times New Roman" w:cs="Times New Roman" w:eastAsia="Times New Roman" w:hAnsi="Times New Roman"/>
          <w:sz w:val="20"/>
          <w:szCs w:val="20"/>
          <w:color w:val="auto"/>
        </w:rPr>
      </w:pPr>
    </w:p>
    <w:p>
      <w:pPr>
        <w:jc w:val="both"/>
        <w:ind w:left="660" w:firstLine="644"/>
        <w:spacing w:after="0" w:line="276" w:lineRule="auto"/>
        <w:tabs>
          <w:tab w:leader="none" w:pos="1765"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Investment shall not be permitted to the extent such Net Asset Sale Proceeds shall be required to be applied to make prepayments in accordance with </w:t>
      </w:r>
      <w:r>
        <w:rPr>
          <w:rFonts w:ascii="Times New Roman" w:cs="Times New Roman" w:eastAsia="Times New Roman" w:hAnsi="Times New Roman"/>
          <w:sz w:val="19"/>
          <w:szCs w:val="19"/>
          <w:u w:val="single" w:color="auto"/>
          <w:color w:val="auto"/>
        </w:rPr>
        <w:t>Section 2.13(a)</w:t>
      </w:r>
      <w:r>
        <w:rPr>
          <w:rFonts w:ascii="Times New Roman" w:cs="Times New Roman" w:eastAsia="Times New Roman" w:hAnsi="Times New Roman"/>
          <w:sz w:val="19"/>
          <w:szCs w:val="19"/>
          <w:color w:val="auto"/>
        </w:rPr>
        <w:t>);</w:t>
      </w:r>
    </w:p>
    <w:p>
      <w:pPr>
        <w:spacing w:after="0" w:line="115" w:lineRule="exact"/>
        <w:rPr>
          <w:rFonts w:ascii="Times New Roman" w:cs="Times New Roman" w:eastAsia="Times New Roman" w:hAnsi="Times New Roman"/>
          <w:sz w:val="19"/>
          <w:szCs w:val="19"/>
          <w:color w:val="auto"/>
        </w:rPr>
      </w:pPr>
    </w:p>
    <w:p>
      <w:pPr>
        <w:jc w:val="both"/>
        <w:ind w:left="660" w:firstLine="644"/>
        <w:spacing w:after="0" w:line="253" w:lineRule="auto"/>
        <w:tabs>
          <w:tab w:leader="none" w:pos="171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officers, employees and directors of any Credit Party and its Subsidiaries made (i) in the ordinary course of business for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business purposes (including travel and relocation) (including any re-financings of such loans after the Closing Date) in an aggregate amount not to exceed the greater of (x) $</w:t>
      </w:r>
      <w:r>
        <w:rPr>
          <w:rFonts w:ascii="Times New Roman" w:cs="Times New Roman" w:eastAsia="Times New Roman" w:hAnsi="Times New Roman"/>
          <w:sz w:val="20"/>
          <w:szCs w:val="20"/>
          <w:color w:val="FF0000"/>
          <w:strike w:val="1"/>
        </w:rPr>
        <w:t>8,940,000</w:t>
      </w:r>
      <w:r>
        <w:rPr>
          <w:rFonts w:ascii="Times New Roman" w:cs="Times New Roman" w:eastAsia="Times New Roman" w:hAnsi="Times New Roman"/>
          <w:sz w:val="20"/>
          <w:szCs w:val="20"/>
          <w:u w:val="single" w:color="auto"/>
          <w:color w:val="0000FF"/>
        </w:rPr>
        <w:t>10,945,000</w:t>
      </w:r>
      <w:r>
        <w:rPr>
          <w:rFonts w:ascii="Times New Roman" w:cs="Times New Roman" w:eastAsia="Times New Roman" w:hAnsi="Times New Roman"/>
          <w:sz w:val="20"/>
          <w:szCs w:val="20"/>
          <w:color w:val="auto"/>
        </w:rPr>
        <w:t xml:space="preserve"> and (y) 5.0% of Consolidated Adjusted EBITDA for the most recently ended Test Period (calculated on a Pro Forma Basis) and (ii) in connection with such Person’s purchase of Capital Stock of the Initial Borrower or any direct or indirect parent thereof; provided that no cash is actually advanced pursuant to this clause (ii) unless immediately repaid;</w:t>
      </w:r>
    </w:p>
    <w:p>
      <w:pPr>
        <w:spacing w:after="0" w:line="12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Permitted Acquisitions;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9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described in </w:t>
      </w:r>
      <w:r>
        <w:rPr>
          <w:rFonts w:ascii="Times New Roman" w:cs="Times New Roman" w:eastAsia="Times New Roman" w:hAnsi="Times New Roman"/>
          <w:sz w:val="20"/>
          <w:szCs w:val="20"/>
          <w:u w:val="single" w:color="auto"/>
          <w:color w:val="auto"/>
        </w:rPr>
        <w:t>Schedule 6.07</w:t>
      </w:r>
      <w:r>
        <w:rPr>
          <w:rFonts w:ascii="Times New Roman" w:cs="Times New Roman" w:eastAsia="Times New Roman" w:hAnsi="Times New Roman"/>
          <w:sz w:val="20"/>
          <w:szCs w:val="20"/>
          <w:color w:val="auto"/>
        </w:rPr>
        <w:t xml:space="preserve"> (including renewals and extensions of any such Investment to the extent not involving any new or additional Investments other than as a result of the accrual or accretion of interest or original issue discount or the issuance of pay in-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1240"/>
          </w:cols>
          <w:pgMar w:left="320" w:top="1413"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kind securities, in each case, pursuant to the terms of such Investments as in effect on the Closing Date);</w:t>
      </w:r>
    </w:p>
    <w:p>
      <w:pPr>
        <w:spacing w:after="0" w:line="175" w:lineRule="exact"/>
        <w:rPr>
          <w:sz w:val="20"/>
          <w:szCs w:val="20"/>
          <w:color w:val="auto"/>
        </w:rPr>
      </w:pPr>
    </w:p>
    <w:p>
      <w:pPr>
        <w:jc w:val="both"/>
        <w:ind w:firstLine="644"/>
        <w:spacing w:after="0" w:line="253" w:lineRule="auto"/>
        <w:tabs>
          <w:tab w:leader="none" w:pos="104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guarantees of loans, advances, and other extensions of credit to current and former officers, directors, employees, and consultants of the Credit Parties and their Subsidiaries for the purpose of permitting such Persons to purchase Capital Stock of the Initial Borrower (or any direct or indirect parent thereof) in an aggregate amount not to exceed the greater of (x) $</w:t>
      </w:r>
      <w:r>
        <w:rPr>
          <w:rFonts w:ascii="Times New Roman" w:cs="Times New Roman" w:eastAsia="Times New Roman" w:hAnsi="Times New Roman"/>
          <w:sz w:val="20"/>
          <w:szCs w:val="20"/>
          <w:color w:val="FF0000"/>
          <w:strike w:val="1"/>
        </w:rPr>
        <w:t>8,940,000</w:t>
      </w:r>
      <w:r>
        <w:rPr>
          <w:rFonts w:ascii="Times New Roman" w:cs="Times New Roman" w:eastAsia="Times New Roman" w:hAnsi="Times New Roman"/>
          <w:sz w:val="20"/>
          <w:szCs w:val="20"/>
          <w:u w:val="single" w:color="auto"/>
          <w:color w:val="0000FF"/>
        </w:rPr>
        <w:t>10,945,000</w:t>
      </w:r>
      <w:r>
        <w:rPr>
          <w:rFonts w:ascii="Times New Roman" w:cs="Times New Roman" w:eastAsia="Times New Roman" w:hAnsi="Times New Roman"/>
          <w:sz w:val="20"/>
          <w:szCs w:val="20"/>
          <w:color w:val="auto"/>
        </w:rPr>
        <w:t xml:space="preserve"> and (y) 5.0% of Consolidated Adjusted EBITDA for the most recently ended Test Period (calculated on a Pro Forma Basis)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loan, advance and other extension of credit shall be promptly contributed to the common equity of the Initial Borrower;</w:t>
      </w:r>
    </w:p>
    <w:p>
      <w:pPr>
        <w:spacing w:after="0" w:line="124"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ISO Loans;</w:t>
      </w:r>
    </w:p>
    <w:p>
      <w:pPr>
        <w:spacing w:after="0" w:line="175"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under Interest Rate Agreements to the extent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right="20" w:firstLine="644"/>
        <w:spacing w:after="0" w:line="268" w:lineRule="auto"/>
        <w:tabs>
          <w:tab w:leader="none" w:pos="103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Joint Venture Investments, Investments in Designated Restricted Subsidiaries and Investments in Unrestricted Subsidiaries not to exceed the greater of (x)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(y) 35% of Consolidated Adjusted EBITDA as of the last day of the most recently ended Test Period (calculated on a Pro Forma Basis);</w:t>
      </w:r>
    </w:p>
    <w:p>
      <w:pPr>
        <w:spacing w:after="0" w:line="107" w:lineRule="exact"/>
        <w:rPr>
          <w:rFonts w:ascii="Times New Roman" w:cs="Times New Roman" w:eastAsia="Times New Roman" w:hAnsi="Times New Roman"/>
          <w:sz w:val="20"/>
          <w:szCs w:val="20"/>
          <w:color w:val="auto"/>
        </w:rPr>
      </w:pPr>
    </w:p>
    <w:p>
      <w:pPr>
        <w:ind w:left="1200" w:hanging="556"/>
        <w:spacing w:after="0"/>
        <w:tabs>
          <w:tab w:leader="none" w:pos="12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Restricted Subsidiaries that are not Domestic Subsidiaries in an aggregate amount not to exceed the</w:t>
      </w:r>
    </w:p>
    <w:p>
      <w:pPr>
        <w:spacing w:after="0" w:line="4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greater of (x) $</w:t>
      </w:r>
      <w:r>
        <w:rPr>
          <w:rFonts w:ascii="Times New Roman" w:cs="Times New Roman" w:eastAsia="Times New Roman" w:hAnsi="Times New Roman"/>
          <w:sz w:val="20"/>
          <w:szCs w:val="20"/>
          <w:color w:val="FF0000"/>
          <w:strike w:val="1"/>
        </w:rPr>
        <w:t>62,580,000</w:t>
      </w:r>
      <w:r>
        <w:rPr>
          <w:rFonts w:ascii="Times New Roman" w:cs="Times New Roman" w:eastAsia="Times New Roman" w:hAnsi="Times New Roman"/>
          <w:sz w:val="20"/>
          <w:szCs w:val="20"/>
          <w:u w:val="single" w:color="auto"/>
          <w:color w:val="0000FF"/>
        </w:rPr>
        <w:t>76,615,000</w:t>
      </w:r>
      <w:r>
        <w:rPr>
          <w:rFonts w:ascii="Times New Roman" w:cs="Times New Roman" w:eastAsia="Times New Roman" w:hAnsi="Times New Roman"/>
          <w:sz w:val="20"/>
          <w:szCs w:val="20"/>
          <w:color w:val="auto"/>
        </w:rPr>
        <w:t xml:space="preserve"> and (y) 35.0% of Consolidated Adjusted EBITDA (calculated on a Pro Forma Basis) as of the last day of the most recently ended Test Period at any time outstanding for all such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w:t>
      </w:r>
    </w:p>
    <w:p>
      <w:pPr>
        <w:spacing w:after="0" w:line="3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580"/>
          </w:cols>
          <w:pgMar w:left="980" w:top="1413" w:right="339" w:bottom="1440" w:gutter="0" w:footer="0" w:header="0"/>
        </w:sectPr>
      </w:pPr>
    </w:p>
    <w:bookmarkStart w:id="179" w:name="page180"/>
    <w:bookmarkEnd w:id="179"/>
    <w:p>
      <w:pPr>
        <w:ind w:left="660"/>
        <w:spacing w:after="0" w:line="283" w:lineRule="auto"/>
        <w:rPr>
          <w:sz w:val="20"/>
          <w:szCs w:val="20"/>
          <w:color w:val="auto"/>
        </w:rPr>
      </w:pPr>
      <w:r>
        <w:rPr>
          <w:rFonts w:ascii="Times New Roman" w:cs="Times New Roman" w:eastAsia="Times New Roman" w:hAnsi="Times New Roman"/>
          <w:sz w:val="20"/>
          <w:szCs w:val="20"/>
          <w:color w:val="auto"/>
        </w:rPr>
        <w:t xml:space="preserve">Borrowers and Restricted Subsidiaries may use proceeds of Permitted Stock Issuances to make Investments under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without regard to the foregoing limit;</w:t>
      </w:r>
    </w:p>
    <w:p>
      <w:pPr>
        <w:spacing w:after="0" w:line="92" w:lineRule="exact"/>
        <w:rPr>
          <w:sz w:val="20"/>
          <w:szCs w:val="20"/>
          <w:color w:val="auto"/>
        </w:rPr>
      </w:pPr>
    </w:p>
    <w:p>
      <w:pPr>
        <w:jc w:val="both"/>
        <w:ind w:left="660" w:firstLine="644"/>
        <w:spacing w:after="0" w:line="261" w:lineRule="auto"/>
        <w:tabs>
          <w:tab w:leader="none" w:pos="184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or would immediately result therefrom, the Borrowers and their Restricted Subsidiaries may make other Investments in an aggregate amount not to exceed the Available Amount in effect at such time;;</w:t>
      </w:r>
    </w:p>
    <w:p>
      <w:pPr>
        <w:spacing w:after="0" w:line="12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assets or services in the ordinary course of business;</w:t>
      </w:r>
    </w:p>
    <w:p>
      <w:pPr>
        <w:spacing w:after="0" w:line="175" w:lineRule="exact"/>
        <w:rPr>
          <w:rFonts w:ascii="Times New Roman" w:cs="Times New Roman" w:eastAsia="Times New Roman" w:hAnsi="Times New Roman"/>
          <w:sz w:val="20"/>
          <w:szCs w:val="20"/>
          <w:color w:val="auto"/>
        </w:rPr>
      </w:pPr>
    </w:p>
    <w:p>
      <w:pPr>
        <w:ind w:left="660" w:firstLine="644"/>
        <w:spacing w:after="0" w:line="269" w:lineRule="auto"/>
        <w:tabs>
          <w:tab w:leader="none" w:pos="17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therefor is made solely with Capital Stock of any parent of the Initial Borrower to the extent not resulting in a Change of Control;</w:t>
      </w:r>
    </w:p>
    <w:p>
      <w:pPr>
        <w:spacing w:after="0" w:line="118" w:lineRule="exact"/>
        <w:rPr>
          <w:rFonts w:ascii="Times New Roman" w:cs="Times New Roman" w:eastAsia="Times New Roman" w:hAnsi="Times New Roman"/>
          <w:sz w:val="20"/>
          <w:szCs w:val="20"/>
          <w:color w:val="auto"/>
        </w:rPr>
      </w:pPr>
    </w:p>
    <w:p>
      <w:pPr>
        <w:ind w:left="660" w:firstLine="644"/>
        <w:spacing w:after="0" w:line="269" w:lineRule="auto"/>
        <w:tabs>
          <w:tab w:leader="none" w:pos="181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non-Cash consideration received by a Credit Party or any of its Subsidiaries in connection with permitted Asset Sales and other sales and dispositions permitted under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11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9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with Cash proceeds of Permitted Stock Issuances (other than any Specified Equity Contribution) of the Initial Borrower (or any direct or indirect parent of the Initial Borrower), which Cash proceeds or Investments in turn are contributed (as common equity) to a Borrower, to the extent such net Cash proceeds have not been applied after the Closing Date and prior to the time of such Investment to incur Indebtedness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to make Restricted Payments pursuant to </w:t>
      </w:r>
      <w:r>
        <w:rPr>
          <w:rFonts w:ascii="Times New Roman" w:cs="Times New Roman" w:eastAsia="Times New Roman" w:hAnsi="Times New Roman"/>
          <w:sz w:val="20"/>
          <w:szCs w:val="20"/>
          <w:u w:val="single" w:color="auto"/>
          <w:color w:val="auto"/>
        </w:rPr>
        <w:t>Sections 6.05(a)(xi)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to make Restricted Debt Payments pursuant to </w:t>
      </w:r>
      <w:r>
        <w:rPr>
          <w:rFonts w:ascii="Times New Roman" w:cs="Times New Roman" w:eastAsia="Times New Roman" w:hAnsi="Times New Roman"/>
          <w:sz w:val="20"/>
          <w:szCs w:val="20"/>
          <w:u w:val="single" w:color="auto"/>
          <w:color w:val="auto"/>
        </w:rPr>
        <w:t>Section 6.05(b)(iv)</w:t>
      </w:r>
      <w:r>
        <w:rPr>
          <w:rFonts w:ascii="Times New Roman" w:cs="Times New Roman" w:eastAsia="Times New Roman" w:hAnsi="Times New Roman"/>
          <w:sz w:val="20"/>
          <w:szCs w:val="20"/>
          <w:color w:val="auto"/>
        </w:rPr>
        <w:t xml:space="preserve"> or to make Investments pursuant to </w:t>
      </w:r>
      <w:r>
        <w:rPr>
          <w:rFonts w:ascii="Times New Roman" w:cs="Times New Roman" w:eastAsia="Times New Roman" w:hAnsi="Times New Roman"/>
          <w:sz w:val="20"/>
          <w:szCs w:val="20"/>
          <w:u w:val="single" w:color="auto"/>
          <w:color w:val="auto"/>
        </w:rPr>
        <w:t>Section 6.07(n)</w:t>
      </w:r>
      <w:r>
        <w:rPr>
          <w:rFonts w:ascii="Times New Roman" w:cs="Times New Roman" w:eastAsia="Times New Roman" w:hAnsi="Times New Roman"/>
          <w:sz w:val="20"/>
          <w:szCs w:val="20"/>
          <w:color w:val="auto"/>
        </w:rPr>
        <w:t xml:space="preserve"> and excluding the proceeds of sales of equity interests and equity proceeds or contribution amounts that are actually used to fund a Permitted Acquisition or other Permitted Investment;</w:t>
      </w:r>
    </w:p>
    <w:p>
      <w:pPr>
        <w:spacing w:after="0" w:line="12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the Transactions;</w:t>
      </w:r>
    </w:p>
    <w:p>
      <w:pPr>
        <w:spacing w:after="0" w:line="17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spacing w:after="0" w:line="113"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color w:val="FF0000"/>
        </w:rPr>
        <w:t>and</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so long as, (x) no Event of Default has occurred and is continuing or would result immediately therefrom and (y) immediately before and after giving effect to such Investment, the Total Net Leverage Ratio calculated on a Pro Forma Basis as of the end of most recently ended Test Period is no greater than 4.00:1.00 (or, with respect to acquisitions or similar Investments, the Total Net Leverage Ratio (calculated on a Pro Forma Basis) is no greater than the greater of (x) 4.00:1.00 and (y) the Total Net Leverage Ratio immediately prior to giving effect to such acquisition or similar Investment)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-942975</wp:posOffset>
            </wp:positionV>
            <wp:extent cx="212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1240"/>
          </w:cols>
          <w:pgMar w:left="320" w:top="1413" w:right="339" w:bottom="1440" w:gutter="0" w:footer="0" w:header="0"/>
        </w:sectPr>
      </w:pPr>
    </w:p>
    <w:bookmarkStart w:id="180" w:name="page181"/>
    <w:bookmarkEnd w:id="180"/>
    <w:p>
      <w:pPr>
        <w:jc w:val="both"/>
        <w:ind w:right="20" w:firstLine="1304"/>
        <w:spacing w:after="0" w:line="261" w:lineRule="auto"/>
        <w:tabs>
          <w:tab w:leader="none" w:pos="1738" w:val="left"/>
        </w:tabs>
        <w:numPr>
          <w:ilvl w:val="0"/>
          <w:numId w:val="19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 Investments in one or more Residual Financing Entities made on or prior to the Residual Financing Closing Date in an aggregate amount not to exceed $25,000,000 and (ii) Standard Securitization Undertakings in connection with the Permitted Residual Financing.</w:t>
      </w:r>
    </w:p>
    <w:p>
      <w:pPr>
        <w:spacing w:after="0" w:line="1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the amount of any Qualified Designated Restricted Subsidiary Investment shall be limited to the portion of such Qualified Designated Restricted Subsidiary Investment attributable to the Initial Borrower’s or any of its Restricted Subsidiaries’ (other than any Designated Restricted Subsidiary’s) ownership interest in such Designated Restricted Subsidiary.</w:t>
      </w:r>
    </w:p>
    <w:p>
      <w:pPr>
        <w:spacing w:after="0" w:line="12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19"/>
          <w:szCs w:val="19"/>
          <w:b w:val="1"/>
          <w:bCs w:val="1"/>
          <w:color w:val="auto"/>
        </w:rPr>
        <w:t>Financial Covenant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1760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46" w:lineRule="exact"/>
        <w:rPr>
          <w:sz w:val="20"/>
          <w:szCs w:val="20"/>
          <w:color w:val="auto"/>
        </w:rPr>
      </w:pPr>
    </w:p>
    <w:p>
      <w:pPr>
        <w:jc w:val="both"/>
        <w:ind w:right="20" w:firstLine="1304"/>
        <w:spacing w:after="0" w:line="257" w:lineRule="auto"/>
        <w:tabs>
          <w:tab w:leader="none" w:pos="170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last day of each Fiscal Quarter of the Initial Borrower (commencing with the Fiscal Quarter ending September 30, </w:t>
      </w:r>
      <w:r>
        <w:rPr>
          <w:rFonts w:ascii="Times New Roman" w:cs="Times New Roman" w:eastAsia="Times New Roman" w:hAnsi="Times New Roman"/>
          <w:sz w:val="20"/>
          <w:szCs w:val="20"/>
          <w:color w:val="FF0000"/>
          <w:strike w:val="1"/>
        </w:rPr>
        <w:t>2024</w:t>
      </w:r>
      <w:r>
        <w:rPr>
          <w:rFonts w:ascii="Times New Roman" w:cs="Times New Roman" w:eastAsia="Times New Roman" w:hAnsi="Times New Roman"/>
          <w:sz w:val="20"/>
          <w:szCs w:val="20"/>
          <w:u w:val="single" w:color="auto"/>
          <w:color w:val="0000FF"/>
        </w:rPr>
        <w:t>2025</w:t>
      </w:r>
      <w:r>
        <w:rPr>
          <w:rFonts w:ascii="Times New Roman" w:cs="Times New Roman" w:eastAsia="Times New Roman" w:hAnsi="Times New Roman"/>
          <w:sz w:val="20"/>
          <w:szCs w:val="20"/>
          <w:color w:val="auto"/>
        </w:rPr>
        <w:t>) on which the Revolving Test Condition is satisfied, the Initial Borrower shall not permit the Total Net Leverage Ratio for the Test Period ending on such date to be greater than the ratio set forth below opposite such determination date below (it being acknowledged that each Test Period ending on December 31 of each Fiscal Year shall be tested based on the financial statements delivered in accordance with Section 5.01(c)):</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46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140" w:type="dxa"/>
            <w:vAlign w:val="bottom"/>
            <w:tcBorders>
              <w:top w:val="single" w:sz="8" w:color="auto"/>
              <w:bottom w:val="single" w:sz="8" w:color="D9D9D9"/>
            </w:tcBorders>
            <w:shd w:val="clear" w:color="auto" w:fill="D9D9D9"/>
          </w:tcPr>
          <w:p>
            <w:pPr>
              <w:spacing w:after="0"/>
              <w:rPr>
                <w:sz w:val="24"/>
                <w:szCs w:val="24"/>
                <w:color w:val="auto"/>
              </w:rPr>
            </w:pPr>
          </w:p>
        </w:tc>
        <w:tc>
          <w:tcPr>
            <w:tcW w:w="400" w:type="dxa"/>
            <w:vAlign w:val="bottom"/>
            <w:tcBorders>
              <w:top w:val="single" w:sz="8" w:color="auto"/>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D9D9D9"/>
            </w:tcBorders>
            <w:shd w:val="clear" w:color="auto" w:fill="D9D9D9"/>
          </w:tcPr>
          <w:p>
            <w:pPr>
              <w:spacing w:after="0"/>
              <w:rPr>
                <w:sz w:val="24"/>
                <w:szCs w:val="24"/>
                <w:color w:val="auto"/>
              </w:rPr>
            </w:pPr>
          </w:p>
        </w:tc>
        <w:tc>
          <w:tcPr>
            <w:tcW w:w="3920" w:type="dxa"/>
            <w:vAlign w:val="bottom"/>
            <w:tcBorders>
              <w:top w:val="single" w:sz="8" w:color="auto"/>
              <w:bottom w:val="single" w:sz="8" w:color="D9D9D9"/>
              <w:right w:val="single" w:sz="8" w:color="auto"/>
            </w:tcBorders>
            <w:gridSpan w:val="8"/>
            <w:shd w:val="clear" w:color="auto" w:fill="D9D9D9"/>
          </w:tcPr>
          <w:p>
            <w:pPr>
              <w:jc w:val="right"/>
              <w:ind w:right="2220"/>
              <w:spacing w:after="0"/>
              <w:rPr>
                <w:sz w:val="20"/>
                <w:szCs w:val="20"/>
                <w:color w:val="auto"/>
              </w:rPr>
            </w:pPr>
            <w:r>
              <w:rPr>
                <w:rFonts w:ascii="Times New Roman" w:cs="Times New Roman" w:eastAsia="Times New Roman" w:hAnsi="Times New Roman"/>
                <w:sz w:val="20"/>
                <w:szCs w:val="20"/>
                <w:b w:val="1"/>
                <w:bCs w:val="1"/>
                <w:color w:val="auto"/>
              </w:rPr>
              <w:t>Test Period Ended</w:t>
            </w:r>
          </w:p>
        </w:tc>
        <w:tc>
          <w:tcPr>
            <w:tcW w:w="5260" w:type="dxa"/>
            <w:vAlign w:val="bottom"/>
            <w:tcBorders>
              <w:top w:val="single" w:sz="8" w:color="auto"/>
              <w:bottom w:val="single" w:sz="8" w:color="D9D9D9"/>
              <w:right w:val="single" w:sz="8" w:color="auto"/>
            </w:tcBorders>
            <w:shd w:val="clear" w:color="auto" w:fill="D9D9D9"/>
          </w:tcPr>
          <w:p>
            <w:pPr>
              <w:ind w:left="1560"/>
              <w:spacing w:after="0"/>
              <w:rPr>
                <w:sz w:val="20"/>
                <w:szCs w:val="20"/>
                <w:color w:val="auto"/>
              </w:rPr>
            </w:pPr>
            <w:r>
              <w:rPr>
                <w:rFonts w:ascii="Times New Roman" w:cs="Times New Roman" w:eastAsia="Times New Roman" w:hAnsi="Times New Roman"/>
                <w:sz w:val="20"/>
                <w:szCs w:val="20"/>
                <w:b w:val="1"/>
                <w:bCs w:val="1"/>
                <w:color w:val="auto"/>
              </w:rPr>
              <w:t>Total Net Leverage Ratio</w:t>
            </w:r>
          </w:p>
        </w:tc>
      </w:tr>
      <w:tr>
        <w:trPr>
          <w:trHeight w:val="237"/>
        </w:trPr>
        <w:tc>
          <w:tcPr>
            <w:tcW w:w="1600" w:type="dxa"/>
            <w:vAlign w:val="bottom"/>
            <w:tcBorders>
              <w:top w:val="single" w:sz="8" w:color="auto"/>
              <w:left w:val="single" w:sz="8" w:color="auto"/>
            </w:tcBorders>
            <w:gridSpan w:val="2"/>
          </w:tcPr>
          <w:p>
            <w:pPr>
              <w:ind w:left="420"/>
              <w:spacing w:after="0"/>
              <w:rPr>
                <w:sz w:val="20"/>
                <w:szCs w:val="20"/>
                <w:color w:val="auto"/>
              </w:rPr>
            </w:pPr>
            <w:r>
              <w:rPr>
                <w:rFonts w:ascii="Times New Roman" w:cs="Times New Roman" w:eastAsia="Times New Roman" w:hAnsi="Times New Roman"/>
                <w:sz w:val="20"/>
                <w:szCs w:val="20"/>
                <w:color w:val="auto"/>
              </w:rPr>
              <w:t>September 30,</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FF0000"/>
                <w:strike w:val="1"/>
                <w:w w:val="94"/>
              </w:rPr>
              <w:t>2024</w:t>
            </w:r>
          </w:p>
        </w:tc>
        <w:tc>
          <w:tcPr>
            <w:tcW w:w="1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rPr>
              <w:t xml:space="preserve">2025 </w:t>
            </w:r>
            <w:r>
              <w:rPr>
                <w:rFonts w:ascii="Times New Roman" w:cs="Times New Roman" w:eastAsia="Times New Roman" w:hAnsi="Times New Roman"/>
                <w:sz w:val="20"/>
                <w:szCs w:val="20"/>
                <w:color w:val="000000"/>
              </w:rPr>
              <w:t>through</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FF0000"/>
                <w:strike w:val="1"/>
                <w:w w:val="94"/>
              </w:rPr>
              <w:t>December</w:t>
            </w: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rPr>
              <w:t xml:space="preserve">March </w:t>
            </w:r>
            <w:r>
              <w:rPr>
                <w:rFonts w:ascii="Times New Roman" w:cs="Times New Roman" w:eastAsia="Times New Roman" w:hAnsi="Times New Roman"/>
                <w:sz w:val="20"/>
                <w:szCs w:val="20"/>
                <w:color w:val="000000"/>
              </w:rPr>
              <w:t>31,</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FF0000"/>
                <w:strike w:val="1"/>
                <w:w w:val="94"/>
              </w:rPr>
              <w:t>2025</w:t>
            </w:r>
          </w:p>
        </w:tc>
        <w:tc>
          <w:tcPr>
            <w:tcW w:w="820" w:type="dxa"/>
            <w:vAlign w:val="bottom"/>
            <w:tcBorders>
              <w:top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20"/>
                <w:szCs w:val="20"/>
                <w:color w:val="0000FF"/>
                <w:w w:val="94"/>
              </w:rPr>
              <w:t>2026</w:t>
            </w:r>
          </w:p>
        </w:tc>
        <w:tc>
          <w:tcPr>
            <w:tcW w:w="5260" w:type="dxa"/>
            <w:vAlign w:val="bottom"/>
            <w:tcBorders>
              <w:top w:val="single" w:sz="8" w:color="auto"/>
              <w:right w:val="single" w:sz="8" w:color="auto"/>
            </w:tcBorders>
          </w:tcPr>
          <w:p>
            <w:pPr>
              <w:jc w:val="right"/>
              <w:ind w:right="2181"/>
              <w:spacing w:after="0"/>
              <w:rPr>
                <w:sz w:val="20"/>
                <w:szCs w:val="20"/>
                <w:color w:val="auto"/>
              </w:rPr>
            </w:pPr>
            <w:r>
              <w:rPr>
                <w:rFonts w:ascii="Times New Roman" w:cs="Times New Roman" w:eastAsia="Times New Roman" w:hAnsi="Times New Roman"/>
                <w:sz w:val="20"/>
                <w:szCs w:val="20"/>
                <w:color w:val="auto"/>
              </w:rPr>
              <w:t>6.90:1.00</w:t>
            </w:r>
          </w:p>
        </w:tc>
      </w:tr>
      <w:tr>
        <w:trPr>
          <w:trHeight w:val="61"/>
        </w:trPr>
        <w:tc>
          <w:tcPr>
            <w:tcW w:w="1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20" w:type="dxa"/>
            <w:vAlign w:val="bottom"/>
            <w:tcBorders>
              <w:top w:val="single" w:sz="8" w:color="0000FF"/>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237"/>
        </w:trPr>
        <w:tc>
          <w:tcPr>
            <w:tcW w:w="1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20"/>
                <w:szCs w:val="20"/>
                <w:color w:val="FF0000"/>
                <w:strike w:val="1"/>
                <w:w w:val="95"/>
              </w:rPr>
              <w:t>March 31</w:t>
            </w:r>
          </w:p>
        </w:tc>
        <w:tc>
          <w:tcPr>
            <w:tcW w:w="4540" w:type="dxa"/>
            <w:vAlign w:val="bottom"/>
            <w:tcBorders>
              <w:right w:val="single" w:sz="8" w:color="auto"/>
            </w:tcBorders>
            <w:gridSpan w:val="11"/>
          </w:tcPr>
          <w:p>
            <w:pPr>
              <w:jc w:val="right"/>
              <w:ind w:right="700"/>
              <w:spacing w:after="0"/>
              <w:rPr>
                <w:sz w:val="20"/>
                <w:szCs w:val="20"/>
                <w:color w:val="auto"/>
              </w:rPr>
            </w:pPr>
            <w:r>
              <w:rPr>
                <w:rFonts w:ascii="Times New Roman" w:cs="Times New Roman" w:eastAsia="Times New Roman" w:hAnsi="Times New Roman"/>
                <w:sz w:val="20"/>
                <w:szCs w:val="20"/>
                <w:color w:val="0000FF"/>
                <w:w w:val="98"/>
              </w:rPr>
              <w:t>June 30</w:t>
            </w:r>
            <w:r>
              <w:rPr>
                <w:rFonts w:ascii="Times New Roman" w:cs="Times New Roman" w:eastAsia="Times New Roman" w:hAnsi="Times New Roman"/>
                <w:sz w:val="20"/>
                <w:szCs w:val="20"/>
                <w:color w:val="000000"/>
                <w:w w:val="98"/>
              </w:rPr>
              <w:t>, 2026 and each Fiscal Quarter thereafter</w:t>
            </w:r>
          </w:p>
        </w:tc>
        <w:tc>
          <w:tcPr>
            <w:tcW w:w="5260" w:type="dxa"/>
            <w:vAlign w:val="bottom"/>
            <w:tcBorders>
              <w:right w:val="single" w:sz="8" w:color="auto"/>
            </w:tcBorders>
          </w:tcPr>
          <w:p>
            <w:pPr>
              <w:jc w:val="right"/>
              <w:ind w:right="2141"/>
              <w:spacing w:after="0"/>
              <w:rPr>
                <w:sz w:val="20"/>
                <w:szCs w:val="20"/>
                <w:color w:val="auto"/>
              </w:rPr>
            </w:pPr>
            <w:r>
              <w:rPr>
                <w:rFonts w:ascii="Times New Roman" w:cs="Times New Roman" w:eastAsia="Times New Roman" w:hAnsi="Times New Roman"/>
                <w:sz w:val="20"/>
                <w:szCs w:val="20"/>
                <w:color w:val="auto"/>
              </w:rPr>
              <w:t>6.40 :1.00</w:t>
            </w:r>
          </w:p>
        </w:tc>
      </w:tr>
      <w:tr>
        <w:trPr>
          <w:trHeight w:val="61"/>
        </w:trPr>
        <w:tc>
          <w:tcPr>
            <w:tcW w:w="1460" w:type="dxa"/>
            <w:vAlign w:val="bottom"/>
            <w:tcBorders>
              <w:left w:val="single" w:sz="8" w:color="auto"/>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40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20" w:firstLine="1304"/>
        <w:spacing w:after="0" w:line="249" w:lineRule="auto"/>
        <w:tabs>
          <w:tab w:leader="none" w:pos="183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Cure Right</w:t>
      </w:r>
      <w:r>
        <w:rPr>
          <w:rFonts w:ascii="Times New Roman" w:cs="Times New Roman" w:eastAsia="Times New Roman" w:hAnsi="Times New Roman"/>
          <w:sz w:val="20"/>
          <w:szCs w:val="20"/>
          <w:color w:val="auto"/>
        </w:rPr>
        <w:t xml:space="preserve">. Notwithstanding anything to the contrary contained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solely for the purpose of determining whether an Event of Default has occurred under the Total Net Leverage Ratio set forth in </w:t>
      </w:r>
      <w:r>
        <w:rPr>
          <w:rFonts w:ascii="Times New Roman" w:cs="Times New Roman" w:eastAsia="Times New Roman" w:hAnsi="Times New Roman"/>
          <w:sz w:val="20"/>
          <w:szCs w:val="20"/>
          <w:u w:val="single" w:color="auto"/>
          <w:color w:val="auto"/>
        </w:rPr>
        <w:t>Section 6.08(a)</w:t>
      </w:r>
      <w:r>
        <w:rPr>
          <w:rFonts w:ascii="Times New Roman" w:cs="Times New Roman" w:eastAsia="Times New Roman" w:hAnsi="Times New Roman"/>
          <w:sz w:val="20"/>
          <w:szCs w:val="20"/>
          <w:color w:val="auto"/>
        </w:rPr>
        <w:t xml:space="preserve"> as of the last day of any Fiscal Quarter, for the period commencing after the last day of the applicable Fiscal Quarter until the fifteenth (15th) Business Day after the date on which financial statements for such Fiscal Quarter are required to be delivered pursuant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(or in the case of the fourth Fiscal Quarter, the financial statements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the Initial Borrower shall have the right to designate the net Cash proceeds from a Permitted Stock Issuance prior to the Cure Deadline as an increase of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Fiscal Quarters in which no Specified Equity Contribution is made, (c) the amount of any Specified Equity Contribution will be no greater than the amount required to cause the Initial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there shall be no pro forma or other reduction in Indebtedness (including by way of Cash netting) using the proceeds of any Specified Equity Contribution in the determination of the Financial Covenant (or any other leverage ratio) for the Fiscal Quarter in which such Specified Equity Contribution was made. Upon the receipt of any Specified Equity</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1260"/>
          </w:cols>
          <w:pgMar w:left="320" w:top="1413" w:right="31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19"/>
          <w:szCs w:val="19"/>
          <w:color w:val="auto"/>
        </w:rPr>
        <w:t>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Financial Covenant at the end of such Fiscal Quarter and any subsequent period that includes such Fiscal Quarter), by an amount equal to the Specified Equity Contribution; and (B) if, after giving effect to the foregoing recalculations, the Initial Borrower shall then be in compliance with the requirements of the Financial Covenant, the Initial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Times New Roman" w:cs="Times New Roman" w:eastAsia="Times New Roman" w:hAnsi="Times New Roman"/>
          <w:sz w:val="19"/>
          <w:szCs w:val="19"/>
          <w:u w:val="single" w:color="auto"/>
          <w:color w:val="auto"/>
        </w:rPr>
        <w:t>Notice of Intent to Cure</w:t>
      </w:r>
      <w:r>
        <w:rPr>
          <w:rFonts w:ascii="Times New Roman" w:cs="Times New Roman" w:eastAsia="Times New Roman" w:hAnsi="Times New Roman"/>
          <w:sz w:val="19"/>
          <w:szCs w:val="19"/>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Default or an Event of Default would have occurred and be continuing had the Borrower not had the option to exercise the cure right as set forth above and not exercised such cure right pursuant to the foregoing provisions, the Borrowers shall not be permitted, from the applicable date of receipt by the Administrative Agent of the Notice of Intent to Cure with respect to the applicable fiscal quarter, until such Default or Event of Default is cured in accordance with the terms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6.08</w:t>
      </w:r>
      <w:r>
        <w:rPr>
          <w:rFonts w:ascii="Times New Roman" w:cs="Times New Roman" w:eastAsia="Times New Roman" w:hAnsi="Times New Roman"/>
          <w:sz w:val="19"/>
          <w:szCs w:val="19"/>
          <w:color w:val="auto"/>
        </w:rPr>
        <w:t xml:space="preserve"> or otherwise or waived in accordance with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take any actions which would otherwise be prohibited under this Agreement upon the occurrence and during the continuation of any Default or Event of Default, unless otherwise agreed by the Required Class Lenders and (ii) no Borrower shall be permitted to borrow Revolving Loans or Swing Line Loans and new Letters of Credit shall not be issued unless and until the Specified Equity Contribution is made or all existing Events of Default are waived or cured or otherwise agreed by the Requisite Revolving Credit Lenders. Upon the receipt of any Specified Equity Contribution, any Default or Event of Default with respect to the failure to comply with the Financial Covenant shall be deemed to have been cured and no longer continuing. No Specified Equity Contribution shall have been previously applied to (i) increase the Available Amount, (ii) make a Restricted Payment pursuant to </w:t>
      </w:r>
      <w:r>
        <w:rPr>
          <w:rFonts w:ascii="Times New Roman" w:cs="Times New Roman" w:eastAsia="Times New Roman" w:hAnsi="Times New Roman"/>
          <w:sz w:val="19"/>
          <w:szCs w:val="19"/>
          <w:u w:val="single" w:color="auto"/>
          <w:color w:val="auto"/>
        </w:rPr>
        <w:t>Sections 6.05(a)(xi)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(xii)</w:t>
      </w:r>
      <w:r>
        <w:rPr>
          <w:rFonts w:ascii="Times New Roman" w:cs="Times New Roman" w:eastAsia="Times New Roman" w:hAnsi="Times New Roman"/>
          <w:sz w:val="19"/>
          <w:szCs w:val="19"/>
          <w:color w:val="auto"/>
        </w:rPr>
        <w:t>,</w:t>
      </w:r>
    </w:p>
    <w:p>
      <w:pPr>
        <w:spacing w:after="0" w:line="13" w:lineRule="exact"/>
        <w:rPr>
          <w:sz w:val="20"/>
          <w:szCs w:val="20"/>
          <w:color w:val="auto"/>
        </w:rPr>
      </w:pPr>
    </w:p>
    <w:p>
      <w:pPr>
        <w:ind w:firstLine="8"/>
        <w:spacing w:after="0" w:line="267" w:lineRule="auto"/>
        <w:tabs>
          <w:tab w:leader="none" w:pos="36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a Restricted Debt Payment pursuant to Section </w:t>
      </w:r>
      <w:r>
        <w:rPr>
          <w:rFonts w:ascii="Times New Roman" w:cs="Times New Roman" w:eastAsia="Times New Roman" w:hAnsi="Times New Roman"/>
          <w:sz w:val="20"/>
          <w:szCs w:val="20"/>
          <w:u w:val="single" w:color="auto"/>
          <w:color w:val="auto"/>
        </w:rPr>
        <w:t>6.05(b)(iv)</w:t>
      </w:r>
      <w:r>
        <w:rPr>
          <w:rFonts w:ascii="Times New Roman" w:cs="Times New Roman" w:eastAsia="Times New Roman" w:hAnsi="Times New Roman"/>
          <w:sz w:val="20"/>
          <w:szCs w:val="20"/>
          <w:color w:val="auto"/>
        </w:rPr>
        <w:t xml:space="preserve">, (iv) incur Indebtedness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or (v) make an Investment pursuant to </w:t>
      </w:r>
      <w:r>
        <w:rPr>
          <w:rFonts w:ascii="Times New Roman" w:cs="Times New Roman" w:eastAsia="Times New Roman" w:hAnsi="Times New Roman"/>
          <w:sz w:val="20"/>
          <w:szCs w:val="20"/>
          <w:u w:val="single" w:color="auto"/>
          <w:color w:val="auto"/>
        </w:rPr>
        <w:t>Sections 6.07(m)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w:t>
      </w:r>
    </w:p>
    <w:p>
      <w:pPr>
        <w:spacing w:after="0" w:line="1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6.09 </w:t>
      </w:r>
      <w:r>
        <w:rPr>
          <w:rFonts w:ascii="Times New Roman" w:cs="Times New Roman" w:eastAsia="Times New Roman" w:hAnsi="Times New Roman"/>
          <w:sz w:val="20"/>
          <w:szCs w:val="20"/>
          <w:b w:val="1"/>
          <w:bCs w:val="1"/>
          <w:color w:val="auto"/>
        </w:rPr>
        <w:t>Fundamental Changes; Disposition of Assets</w:t>
      </w:r>
      <w:r>
        <w:rPr>
          <w:rFonts w:ascii="Times New Roman" w:cs="Times New Roman" w:eastAsia="Times New Roman" w:hAnsi="Times New Roman"/>
          <w:sz w:val="20"/>
          <w:szCs w:val="20"/>
          <w:color w:val="auto"/>
        </w:rPr>
        <w:t>. No Borrower shall, nor shall it permit any of its Restricted Subsidiaries to, enter into any 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-647065</wp:posOffset>
            </wp:positionV>
            <wp:extent cx="25819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81910" cy="8255"/>
                    </a:xfrm>
                    <a:prstGeom prst="rect">
                      <a:avLst/>
                    </a:prstGeom>
                    <a:noFill/>
                  </pic:spPr>
                </pic:pic>
              </a:graphicData>
            </a:graphic>
          </wp:anchor>
        </w:drawing>
      </w:r>
    </w:p>
    <w:p>
      <w:pPr>
        <w:spacing w:after="0" w:line="98" w:lineRule="exact"/>
        <w:rPr>
          <w:sz w:val="20"/>
          <w:szCs w:val="20"/>
          <w:color w:val="auto"/>
        </w:rPr>
      </w:pPr>
    </w:p>
    <w:p>
      <w:pPr>
        <w:jc w:val="both"/>
        <w:ind w:left="660" w:firstLine="644"/>
        <w:spacing w:after="0" w:line="253" w:lineRule="auto"/>
        <w:tabs>
          <w:tab w:leader="none" w:pos="178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or Restricted Subsidiary may be merged or consolidated with or into any Credit Party or Restricted Subsidiary, or be liquidated, wound up or dissolved, or all or any part of its business, property or assets may be conveyed, sold, leased, sub-leased, exchanged, transferred or otherwise disposed of, in one transaction or a series of transactions, to a Credit Party or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such a merger or consolidation (1) involving a Borrower, a Borrower shall be the continuing or surviving Person and (2) involving a Guarantor, either (x) a Borrower or Guarantor shall be the continuing or surviving Person, or (y) the relevant transaction shall be treated as an Investment and shall comply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disposition made by any Credit Party to any Restricted Subsidiary that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1240"/>
          </w:cols>
          <w:pgMar w:left="320" w:top="1413" w:right="339" w:bottom="1440" w:gutter="0" w:footer="0" w:header="0"/>
        </w:sectPr>
      </w:pPr>
    </w:p>
    <w:bookmarkStart w:id="182" w:name="page183"/>
    <w:bookmarkEnd w:id="18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is not a Credit Party shall be (i) for fair market value (as reasonably determined by such Person) with at least 75% of the consideration for such disposition consisting of Cash or Cash Equivalents at the time of such disposition or (ii) treated as an Investment and otherwise made in compliance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jc w:val="both"/>
        <w:ind w:firstLine="644"/>
        <w:spacing w:after="0" w:line="253" w:lineRule="auto"/>
        <w:tabs>
          <w:tab w:leader="none" w:pos="108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or Restricted Subsidiary may convey, sell, lease, sub-lease, exchange, transfer or otherwise dispose of, in one transaction or a series of transactions, all or any part of its assets (upon voluntary liquidation or otherwise) to any Credit Party or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disposition made by any Credit Party to any Restricted Subsidiary that is not a Credit Party shall be (i) for fair market value (as reasonably determined by such Person) with at least 75% of the consideration for such disposition consisting of Cash or Cash Equivalents at the time of such disposition or (ii) treated as an Investment and otherwise made in compliance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firstLine="644"/>
        <w:spacing w:after="0" w:line="253" w:lineRule="auto"/>
        <w:tabs>
          <w:tab w:leader="none" w:pos="107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leases, licenses or other dispositions of assets consisting of (i) inventory (or other assets) sold, licensed (on a non-exclusive basis) or leased in the ordinary course of business, (ii) equipment or other assets sold, replaced, abandoned, leased or otherwise disposed of that are obsolete, worn-out or are no longer used or useful in the business of the Credit Parties or any of their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Agreement or any other Credit Document, and (v) the licensing, on a non-exclusive basis, of patents, trademarks, copyrights and other intellectual property rights;</w:t>
      </w:r>
    </w:p>
    <w:p>
      <w:pPr>
        <w:spacing w:after="0" w:line="138" w:lineRule="exact"/>
        <w:rPr>
          <w:rFonts w:ascii="Times New Roman" w:cs="Times New Roman" w:eastAsia="Times New Roman" w:hAnsi="Times New Roman"/>
          <w:sz w:val="20"/>
          <w:szCs w:val="20"/>
          <w:color w:val="auto"/>
        </w:rPr>
      </w:pPr>
    </w:p>
    <w:p>
      <w:pPr>
        <w:jc w:val="both"/>
        <w:ind w:firstLine="644"/>
        <w:spacing w:after="0" w:line="248" w:lineRule="auto"/>
        <w:tabs>
          <w:tab w:leader="none" w:pos="120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and the Restricted Subsidiaries may make Asset Sales (other than the sale or disposition of all or substantially all of the assets of the Borrowers and the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for an aggregate purchase price in excess of the greater of (x) $</w:t>
      </w:r>
      <w:r>
        <w:rPr>
          <w:rFonts w:ascii="Times New Roman" w:cs="Times New Roman" w:eastAsia="Times New Roman" w:hAnsi="Times New Roman"/>
          <w:sz w:val="20"/>
          <w:szCs w:val="20"/>
          <w:color w:val="FF0000"/>
          <w:strike w:val="1"/>
        </w:rPr>
        <w:t>17,8800,000</w:t>
      </w:r>
      <w:r>
        <w:rPr>
          <w:rFonts w:ascii="Times New Roman" w:cs="Times New Roman" w:eastAsia="Times New Roman" w:hAnsi="Times New Roman"/>
          <w:sz w:val="20"/>
          <w:szCs w:val="20"/>
          <w:u w:val="single" w:color="auto"/>
          <w:color w:val="0000FF"/>
        </w:rPr>
        <w:t>21,890,000</w:t>
      </w:r>
      <w:r>
        <w:rPr>
          <w:rFonts w:ascii="Times New Roman" w:cs="Times New Roman" w:eastAsia="Times New Roman" w:hAnsi="Times New Roman"/>
          <w:sz w:val="20"/>
          <w:szCs w:val="20"/>
          <w:color w:val="auto"/>
        </w:rPr>
        <w:t xml:space="preserve"> and (y) 10% of Consolidated Adjusted EBITDA (calculated on a Pro Forma Basis) for the most recently ended Test Period in any Fiscal Year, at least 75% of the purchase price for such assets shall be paid to the Borrower Representative or such Restricted Subsidiary in Cash or Cash Equivalents;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the purposes of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the following shall be deemed to be cash: (A) any liabilities (as shown on the Initial Borrower’s most recent balance sheet provided hereunder or in the footnotes thereto) of the Initial Borrower or such Restricted Subsidiary, other than liabilities that are by their terms contractually subordinated to the payment in Cash of the Obligations, that are assumed by the transferee with respect to the applicable Asset Sale and for which the Initial Borrower and all of its Restricted Subsidiaries shall have been validly released by all applicable creditors in writing, (B) any securities received by the Initial Borrower or the applicable Restricted Subsidiary from such transferee that are converted by the Initial Borrower or such Restricted Subsidiary into Cash or Cash Equivalents (to the extent of the Cash or Cash Equivalents received) within ninety (90) days following the closing of the applicable Asset Sale, and (C) aggregate non-Cash consideration received by the Initial Borrower or the applicable Restricted Subsidiary having an aggregate fair market value (determined as of the closing of the applicable Asset Sale for which such non-Cash consideration is received) not to exceed the greater of (x) $</w:t>
      </w:r>
      <w:r>
        <w:rPr>
          <w:rFonts w:ascii="Times New Roman" w:cs="Times New Roman" w:eastAsia="Times New Roman" w:hAnsi="Times New Roman"/>
          <w:sz w:val="20"/>
          <w:szCs w:val="20"/>
          <w:color w:val="FF0000"/>
          <w:strike w:val="1"/>
        </w:rPr>
        <w:t>17,880,000</w:t>
      </w:r>
      <w:r>
        <w:rPr>
          <w:rFonts w:ascii="Times New Roman" w:cs="Times New Roman" w:eastAsia="Times New Roman" w:hAnsi="Times New Roman"/>
          <w:sz w:val="20"/>
          <w:szCs w:val="20"/>
          <w:u w:val="single" w:color="auto"/>
          <w:color w:val="0000FF"/>
        </w:rPr>
        <w:t>21,890,000</w:t>
      </w:r>
      <w:r>
        <w:rPr>
          <w:rFonts w:ascii="Times New Roman" w:cs="Times New Roman" w:eastAsia="Times New Roman" w:hAnsi="Times New Roman"/>
          <w:sz w:val="20"/>
          <w:szCs w:val="20"/>
          <w:color w:val="auto"/>
        </w:rPr>
        <w:t xml:space="preserve"> and (y) 10.0% of Consolidated Adjusted EBITDA (calculated on a Pro Forma Basis) for the most recently ended Test Period, (3) the Net Asset Sale Proceeds thereof shall be applied to prepay the Loans to the extent required by </w:t>
      </w:r>
      <w:r>
        <w:rPr>
          <w:rFonts w:ascii="Times New Roman" w:cs="Times New Roman" w:eastAsia="Times New Roman" w:hAnsi="Times New Roman"/>
          <w:sz w:val="20"/>
          <w:szCs w:val="20"/>
          <w:u w:val="single" w:color="auto"/>
          <w:color w:val="auto"/>
        </w:rPr>
        <w:t>Section</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580"/>
          </w:cols>
          <w:pgMar w:left="980" w:top="1413" w:right="339" w:bottom="1440" w:gutter="0" w:footer="0" w:header="0"/>
        </w:sectPr>
      </w:pPr>
    </w:p>
    <w:bookmarkStart w:id="183" w:name="page184"/>
    <w:bookmarkEnd w:id="183"/>
    <w:p>
      <w:pPr>
        <w:jc w:val="both"/>
        <w:ind w:left="4"/>
        <w:spacing w:after="0" w:line="261" w:lineRule="auto"/>
        <w:rPr>
          <w:sz w:val="20"/>
          <w:szCs w:val="20"/>
          <w:color w:val="auto"/>
        </w:rPr>
      </w:pPr>
      <w:r>
        <w:rPr>
          <w:rFonts w:ascii="Times New Roman" w:cs="Times New Roman" w:eastAsia="Times New Roman" w:hAnsi="Times New Roman"/>
          <w:sz w:val="20"/>
          <w:szCs w:val="20"/>
          <w:u w:val="single" w:color="auto"/>
          <w:color w:val="auto"/>
        </w:rPr>
        <w:t>2.13(a)</w:t>
      </w:r>
      <w:r>
        <w:rPr>
          <w:rFonts w:ascii="Times New Roman" w:cs="Times New Roman" w:eastAsia="Times New Roman" w:hAnsi="Times New Roman"/>
          <w:sz w:val="20"/>
          <w:szCs w:val="20"/>
          <w:color w:val="auto"/>
        </w:rPr>
        <w:t xml:space="preserve"> and (4) at the time of such Asset Sale, no Event of Default shall exist or would result immediately from such Asset Sale (other than any such Asset Sale made pursuant to a legally binding commitment entered into at a time when no Event of Default has occurred and is continuing);</w:t>
      </w:r>
    </w:p>
    <w:p>
      <w:pPr>
        <w:spacing w:after="0" w:line="127" w:lineRule="exact"/>
        <w:rPr>
          <w:sz w:val="20"/>
          <w:szCs w:val="20"/>
          <w:color w:val="auto"/>
        </w:rPr>
      </w:pPr>
    </w:p>
    <w:p>
      <w:pPr>
        <w:jc w:val="both"/>
        <w:ind w:left="4" w:firstLine="644"/>
        <w:spacing w:after="0" w:line="253" w:lineRule="auto"/>
        <w:tabs>
          <w:tab w:leader="none" w:pos="1177"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0000FF"/>
        </w:rPr>
        <w:t>x) (</w:t>
      </w:r>
      <w:r>
        <w:rPr>
          <w:rFonts w:ascii="Times New Roman" w:cs="Times New Roman" w:eastAsia="Times New Roman" w:hAnsi="Times New Roman"/>
          <w:sz w:val="20"/>
          <w:szCs w:val="20"/>
          <w:color w:val="auto"/>
        </w:rPr>
        <w:t>i) a sale, assignment or other transfer of Receivables Assets, or participations therein, and related assets to a Receivables Subsidiary in a Qualified Receivables Financing and (ii) a sale, assignment or other transfer of Receivables Assets, or participations therein, and related assets by a Receivables Subsidiary in a Qualified Receivables Financing</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(y) the 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assignment or other transfer of Residual Financing Assets, or participations therein, and related assets to a Residual Financing Entity in connection with the Permitted Residual Financing, in each case, at fair market value (as determined in good faith by the Initial Borrower);</w:t>
      </w:r>
    </w:p>
    <w:p>
      <w:pPr>
        <w:spacing w:after="0" w:line="124" w:lineRule="exact"/>
        <w:rPr>
          <w:rFonts w:ascii="Times New Roman" w:cs="Times New Roman" w:eastAsia="Times New Roman" w:hAnsi="Times New Roman"/>
          <w:sz w:val="20"/>
          <w:szCs w:val="20"/>
          <w:color w:val="auto"/>
        </w:rPr>
      </w:pPr>
    </w:p>
    <w:p>
      <w:pPr>
        <w:jc w:val="both"/>
        <w:ind w:left="4" w:firstLine="644"/>
        <w:spacing w:after="0" w:line="267" w:lineRule="auto"/>
        <w:tabs>
          <w:tab w:leader="none" w:pos="1063"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such transaction would otherwise be subject to this Section 6.09, (i) the creation of a Permitted Lien under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(ii) Investments made in accordance with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6.07(q)</w:t>
      </w:r>
      <w:r>
        <w:rPr>
          <w:rFonts w:ascii="Times New Roman" w:cs="Times New Roman" w:eastAsia="Times New Roman" w:hAnsi="Times New Roman"/>
          <w:sz w:val="19"/>
          <w:szCs w:val="19"/>
          <w:color w:val="auto"/>
        </w:rPr>
        <w:t xml:space="preserve">), (iii) Restricted Payments made in accordance with </w:t>
      </w:r>
      <w:r>
        <w:rPr>
          <w:rFonts w:ascii="Times New Roman" w:cs="Times New Roman" w:eastAsia="Times New Roman" w:hAnsi="Times New Roman"/>
          <w:sz w:val="19"/>
          <w:szCs w:val="19"/>
          <w:u w:val="single" w:color="auto"/>
          <w:color w:val="auto"/>
        </w:rPr>
        <w:t>Section 6.05(a)</w:t>
      </w:r>
      <w:r>
        <w:rPr>
          <w:rFonts w:ascii="Times New Roman" w:cs="Times New Roman" w:eastAsia="Times New Roman" w:hAnsi="Times New Roman"/>
          <w:sz w:val="19"/>
          <w:szCs w:val="19"/>
          <w:color w:val="auto"/>
        </w:rPr>
        <w:t xml:space="preserve">, (iv) Restricted Debt Payments made in accordance </w:t>
      </w:r>
      <w:r>
        <w:rPr>
          <w:rFonts w:ascii="Times New Roman" w:cs="Times New Roman" w:eastAsia="Times New Roman" w:hAnsi="Times New Roman"/>
          <w:sz w:val="19"/>
          <w:szCs w:val="19"/>
          <w:u w:val="single" w:color="auto"/>
          <w:color w:val="auto"/>
        </w:rPr>
        <w:t>with Section 6.05(b)</w:t>
      </w:r>
      <w:r>
        <w:rPr>
          <w:rFonts w:ascii="Times New Roman" w:cs="Times New Roman" w:eastAsia="Times New Roman" w:hAnsi="Times New Roman"/>
          <w:sz w:val="19"/>
          <w:szCs w:val="19"/>
          <w:color w:val="auto"/>
        </w:rPr>
        <w:t xml:space="preserve">, (v) any sales or issuances of Disqualified Capital Stock permitted by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(vi) any sales or issuances of Capital Stock by any Restricted Subsidiary to</w:t>
      </w:r>
    </w:p>
    <w:p>
      <w:pPr>
        <w:spacing w:after="0" w:line="1" w:lineRule="exact"/>
        <w:rPr>
          <w:rFonts w:ascii="Times New Roman" w:cs="Times New Roman" w:eastAsia="Times New Roman" w:hAnsi="Times New Roman"/>
          <w:sz w:val="19"/>
          <w:szCs w:val="19"/>
          <w:color w:val="auto"/>
        </w:rPr>
      </w:pPr>
    </w:p>
    <w:p>
      <w:pPr>
        <w:jc w:val="both"/>
        <w:ind w:left="4" w:hanging="4"/>
        <w:spacing w:after="0" w:line="272" w:lineRule="auto"/>
        <w:tabs>
          <w:tab w:leader="none" w:pos="288"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Borrower, (2) any Restricted Subsidiary and (3) any other existing owner of Capital Stock of such Restricted Subsidiary on a not more than pro rata basis based on their relative ownership interests of the relevant class of Capital Stock of such Restricted Subsidiary and (vii) any sales or issuances of Capital Stock (other than Disqualified Capital Stock) by the Initial Borrower to PRTH;</w:t>
      </w:r>
    </w:p>
    <w:p>
      <w:pPr>
        <w:spacing w:after="0" w:line="119" w:lineRule="exact"/>
        <w:rPr>
          <w:rFonts w:ascii="Times New Roman" w:cs="Times New Roman" w:eastAsia="Times New Roman" w:hAnsi="Times New Roman"/>
          <w:sz w:val="19"/>
          <w:szCs w:val="19"/>
          <w:color w:val="auto"/>
        </w:rPr>
      </w:pPr>
    </w:p>
    <w:p>
      <w:pPr>
        <w:ind w:left="4" w:right="20" w:firstLine="644"/>
        <w:spacing w:after="0" w:line="269" w:lineRule="auto"/>
        <w:tabs>
          <w:tab w:leader="none" w:pos="1101"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of registered intellectual property of a Borrower or any of its Restricted Subsidiaries that is no longer used or useful in the business of the Credit Parties;</w:t>
      </w:r>
    </w:p>
    <w:p>
      <w:pPr>
        <w:spacing w:after="0" w:line="118" w:lineRule="exact"/>
        <w:rPr>
          <w:rFonts w:ascii="Times New Roman" w:cs="Times New Roman" w:eastAsia="Times New Roman" w:hAnsi="Times New Roman"/>
          <w:sz w:val="20"/>
          <w:szCs w:val="20"/>
          <w:color w:val="auto"/>
        </w:rPr>
      </w:pPr>
    </w:p>
    <w:p>
      <w:pPr>
        <w:ind w:left="4" w:firstLine="644"/>
        <w:spacing w:after="0" w:line="269" w:lineRule="auto"/>
        <w:tabs>
          <w:tab w:leader="none" w:pos="112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or write-off of accounts receivable or sale of overdue accounts receivable for collection in the ordinary course of business consistent with past practice;</w:t>
      </w:r>
    </w:p>
    <w:p>
      <w:pPr>
        <w:spacing w:after="0" w:line="118" w:lineRule="exact"/>
        <w:rPr>
          <w:rFonts w:ascii="Times New Roman" w:cs="Times New Roman" w:eastAsia="Times New Roman" w:hAnsi="Times New Roman"/>
          <w:sz w:val="20"/>
          <w:szCs w:val="20"/>
          <w:color w:val="auto"/>
        </w:rPr>
      </w:pPr>
    </w:p>
    <w:p>
      <w:pPr>
        <w:ind w:left="4" w:firstLine="644"/>
        <w:spacing w:after="0" w:line="269" w:lineRule="auto"/>
        <w:tabs>
          <w:tab w:leader="none" w:pos="114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or sublicenses of real or personal property in the ordinary course of business and to the extent not otherwise expressly prohibited by this Agreement or the other Credit Documents;</w:t>
      </w:r>
    </w:p>
    <w:p>
      <w:pPr>
        <w:spacing w:after="0" w:line="118" w:lineRule="exact"/>
        <w:rPr>
          <w:rFonts w:ascii="Times New Roman" w:cs="Times New Roman" w:eastAsia="Times New Roman" w:hAnsi="Times New Roman"/>
          <w:sz w:val="20"/>
          <w:szCs w:val="20"/>
          <w:color w:val="auto"/>
        </w:rPr>
      </w:pPr>
    </w:p>
    <w:p>
      <w:pPr>
        <w:ind w:left="4" w:right="20" w:firstLine="644"/>
        <w:spacing w:after="0" w:line="283" w:lineRule="auto"/>
        <w:tabs>
          <w:tab w:leader="none" w:pos="106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property which constitutes, or which is subject to, a casualty event or condemnation, in each case, so long as the proceeds thereof are applied in accordance with the terms of this Agreement;</w:t>
      </w:r>
    </w:p>
    <w:p>
      <w:pPr>
        <w:spacing w:after="0" w:line="92"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7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27"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unwinding or settlement of any Interest Rate Agreement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pursuant to its terms;</w:t>
      </w:r>
    </w:p>
    <w:p>
      <w:pPr>
        <w:spacing w:after="0" w:line="175" w:lineRule="exact"/>
        <w:rPr>
          <w:rFonts w:ascii="Times New Roman" w:cs="Times New Roman" w:eastAsia="Times New Roman" w:hAnsi="Times New Roman"/>
          <w:sz w:val="20"/>
          <w:szCs w:val="20"/>
          <w:color w:val="auto"/>
        </w:rPr>
      </w:pPr>
    </w:p>
    <w:p>
      <w:pPr>
        <w:ind w:left="1124" w:hanging="476"/>
        <w:spacing w:after="0"/>
        <w:tabs>
          <w:tab w:leader="none" w:pos="112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of any intercompany Indebtedness among the Credit Parties;</w:t>
      </w:r>
    </w:p>
    <w:p>
      <w:pPr>
        <w:spacing w:after="0" w:line="161" w:lineRule="exact"/>
        <w:rPr>
          <w:rFonts w:ascii="Times New Roman" w:cs="Times New Roman" w:eastAsia="Times New Roman" w:hAnsi="Times New Roman"/>
          <w:sz w:val="20"/>
          <w:szCs w:val="20"/>
          <w:color w:val="auto"/>
        </w:rPr>
      </w:pPr>
    </w:p>
    <w:p>
      <w:pPr>
        <w:ind w:left="4" w:firstLine="644"/>
        <w:spacing w:after="0" w:line="283" w:lineRule="auto"/>
        <w:tabs>
          <w:tab w:leader="none" w:pos="1141"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surrender or sublease of a real estate lease of any Credit Party that is no longer used or useful in its business in the ordinary course of its business;</w:t>
      </w:r>
    </w:p>
    <w:p>
      <w:pPr>
        <w:spacing w:after="0" w:line="92"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Capital Stock in, or Indebtedness or other securities of, an Unrestricted Subsidiary;</w:t>
      </w: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584"/>
          </w:cols>
          <w:pgMar w:left="976" w:top="1413" w:right="339" w:bottom="1440" w:gutter="0" w:footer="0" w:header="0"/>
        </w:sectPr>
      </w:pPr>
    </w:p>
    <w:bookmarkStart w:id="184" w:name="page185"/>
    <w:bookmarkEnd w:id="184"/>
    <w:p>
      <w:pPr>
        <w:ind w:left="660" w:firstLine="644"/>
        <w:spacing w:after="0" w:line="283" w:lineRule="auto"/>
        <w:tabs>
          <w:tab w:leader="none" w:pos="177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Sales of Permitted Joint Venture Investments to the extent required by, or made pursuant to customary buy/sell arrangements between, the joint venture parties set forth in joint venture arrangements and similar binding arrangements;</w:t>
      </w:r>
    </w:p>
    <w:p>
      <w:pPr>
        <w:spacing w:after="0" w:line="9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or other dispositions (i) of any non-core assets acquired in connection with any Permitted Acquisitions or other similar Investments in compliance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or (ii) to obtain the approval of an anti-trust authority or required to comply with any order of any other agency, authority or regulatory body or requirements of law (including, in each case, in connection with a Permitted Acquisition or other similar Investment); and</w:t>
      </w:r>
    </w:p>
    <w:p>
      <w:pPr>
        <w:spacing w:after="0" w:line="13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sales or dispositions in an amount not to exceed in any Fiscal Year the greater of (x) $</w:t>
      </w:r>
      <w:r>
        <w:rPr>
          <w:rFonts w:ascii="Times New Roman" w:cs="Times New Roman" w:eastAsia="Times New Roman" w:hAnsi="Times New Roman"/>
          <w:sz w:val="20"/>
          <w:szCs w:val="20"/>
          <w:color w:val="FF0000"/>
          <w:strike w:val="1"/>
        </w:rPr>
        <w:t>8,940,000</w:t>
      </w:r>
      <w:r>
        <w:rPr>
          <w:rFonts w:ascii="Times New Roman" w:cs="Times New Roman" w:eastAsia="Times New Roman" w:hAnsi="Times New Roman"/>
          <w:sz w:val="20"/>
          <w:szCs w:val="20"/>
          <w:u w:val="single" w:color="auto"/>
          <w:color w:val="0000FF"/>
        </w:rPr>
        <w:t>10,945,000</w:t>
      </w:r>
      <w:r>
        <w:rPr>
          <w:rFonts w:ascii="Times New Roman" w:cs="Times New Roman" w:eastAsia="Times New Roman" w:hAnsi="Times New Roman"/>
          <w:sz w:val="20"/>
          <w:szCs w:val="20"/>
          <w:color w:val="auto"/>
        </w:rPr>
        <w:t xml:space="preserve"> and</w:t>
      </w:r>
    </w:p>
    <w:p>
      <w:pPr>
        <w:spacing w:after="0" w:line="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of Consolidated Adjusted EBITDA for the most recently ended Test Period (with unused amounts permitted to be carried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forward to the next succeeding Fiscal Year).</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1030" cy="8890"/>
                    </a:xfrm>
                    <a:prstGeom prst="rect">
                      <a:avLst/>
                    </a:prstGeom>
                    <a:noFill/>
                  </pic:spPr>
                </pic:pic>
              </a:graphicData>
            </a:graphic>
          </wp:anchor>
        </w:drawing>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-8255</wp:posOffset>
            </wp:positionV>
            <wp:extent cx="6210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1030" cy="8890"/>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color w:val="auto"/>
        </w:rPr>
        <w:t>Permitted Activities of PRTH</w:t>
      </w:r>
      <w:r>
        <w:rPr>
          <w:rFonts w:ascii="Times New Roman" w:cs="Times New Roman" w:eastAsia="Times New Roman" w:hAnsi="Times New Roman"/>
          <w:sz w:val="20"/>
          <w:szCs w:val="20"/>
          <w:color w:val="auto"/>
        </w:rPr>
        <w:t>. PRTH shall not (a) conduct, transact, or otherwise engage in, or commit to conduct, transact, or otherwise engage in, any business or operations other than those incidental to its ownership of the Capital Stock of the Initial Borrower, (b) incur, create or assume any Indebtedness or other liabilities or financial obligations or create, assume or suffer to exist any Liens, except (i) Liens in favor of the Collateral Agent for the benefit of the Secured Parties granted pursuant to any Credit Document, (ii) nonconsensual obligations imposed by operation of law and (iii) obligations with respect to its Capital Stock (including, without limitation, pursuant to the Preferred Stock Agreement Documents), or (c) engage in any business or activity or own, lease, manage, or otherwise operate any properties or assets (other than receiving and making Restricted Payments in accordance with Section 6.05(a)) other than the ownership of the Capital Stock of the Initial Borrower and, in each case of the foregoing clauses (a), (b) and (c), activities reasonably related, ancillary or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-1231265</wp:posOffset>
            </wp:positionV>
            <wp:extent cx="17259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25930" cy="8890"/>
                    </a:xfrm>
                    <a:prstGeom prst="rect">
                      <a:avLst/>
                    </a:prstGeom>
                    <a:noFill/>
                  </pic:spPr>
                </pic:pic>
              </a:graphicData>
            </a:graphic>
          </wp:anchor>
        </w:drawing>
      </w:r>
    </w:p>
    <w:p>
      <w:pPr>
        <w:spacing w:after="0" w:line="11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color w:val="auto"/>
        </w:rPr>
        <w:t>Amendments or Waivers of Junior Financing</w:t>
      </w:r>
      <w:r>
        <w:rPr>
          <w:rFonts w:ascii="Times New Roman" w:cs="Times New Roman" w:eastAsia="Times New Roman" w:hAnsi="Times New Roman"/>
          <w:sz w:val="20"/>
          <w:szCs w:val="20"/>
          <w:color w:val="auto"/>
        </w:rPr>
        <w:t>. No Borrower shall, nor shall it permit any of its Restricted Subsidiaries to, amend, supplement or modify or otherwise change the terms of any Junior Financing in any manner materially adverse to the interests of the Secured Parties as determined in good faith by the Borrower Representative, other than to the extent expressly permitted by and in accordance with the applicable Subordination Agreement or Acceptable Intercreditor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26041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4135" cy="8890"/>
                    </a:xfrm>
                    <a:prstGeom prst="rect">
                      <a:avLst/>
                    </a:prstGeom>
                    <a:noFill/>
                  </pic:spPr>
                </pic:pic>
              </a:graphicData>
            </a:graphic>
          </wp:anchor>
        </w:drawing>
      </w:r>
    </w:p>
    <w:p>
      <w:pPr>
        <w:spacing w:after="0" w:line="9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6210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color w:val="auto"/>
        </w:rPr>
        <w:t>Amendments to Organizational Agreements and Certain Affiliate Contracts</w:t>
      </w:r>
      <w:r>
        <w:rPr>
          <w:rFonts w:ascii="Times New Roman" w:cs="Times New Roman" w:eastAsia="Times New Roman" w:hAnsi="Times New Roman"/>
          <w:sz w:val="20"/>
          <w:szCs w:val="20"/>
          <w:color w:val="auto"/>
        </w:rPr>
        <w:t>. No Borrower shall, nor shall it permit any of its Restricted Subsidiaries to, amend, waive or otherwise modify (or permit any amendment, waiver or other modification to) (a) any of its Organizational Documents if the effect thereof would be materially adverse to the Administrative Agent and the Lenders; or (b) the TCP Director Agreement if the effect thereof would be materially adverse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41884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88460" cy="8255"/>
                    </a:xfrm>
                    <a:prstGeom prst="rect">
                      <a:avLst/>
                    </a:prstGeom>
                    <a:noFill/>
                  </pic:spPr>
                </pic:pic>
              </a:graphicData>
            </a:graphic>
          </wp:anchor>
        </w:drawing>
      </w:r>
    </w:p>
    <w:p>
      <w:pPr>
        <w:spacing w:after="0" w:line="90"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7.</w:t>
        <w:tab/>
        <w:t>Guaranty</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7.01 </w:t>
      </w:r>
      <w:r>
        <w:rPr>
          <w:rFonts w:ascii="Times New Roman" w:cs="Times New Roman" w:eastAsia="Times New Roman" w:hAnsi="Times New Roman"/>
          <w:sz w:val="20"/>
          <w:szCs w:val="20"/>
          <w:b w:val="1"/>
          <w:bCs w:val="1"/>
          <w:color w:val="auto"/>
        </w:rPr>
        <w:t>Guaranty of the Obligations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Guarantors jointly and severally hereby irrevocably and unconditionally guaranty to Administrative Agent for the ratable benefit of the Secured Parties the due and punctual payment in full when due (whether at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1671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20"/>
          <w:szCs w:val="20"/>
          <w:color w:val="auto"/>
        </w:rPr>
        <w:t>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the Borrowers, and all other Obligations (excluding, with respect to any Guarantor, any Excluded Swap Obligations of such Guarantor) from time to time owing to the Secured Parties by any Credit Party under any Credit Document, any Secured Interest Rate Agreement or Cash Management Agreement entered into with a counterparty that is a Secured Party, in each case, strictly in accordance with the terms thereof (such obligations being herein collectively called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7.02 </w:t>
      </w:r>
      <w:r>
        <w:rPr>
          <w:rFonts w:ascii="Times New Roman" w:cs="Times New Roman" w:eastAsia="Times New Roman" w:hAnsi="Times New Roman"/>
          <w:sz w:val="20"/>
          <w:szCs w:val="20"/>
          <w:b w:val="1"/>
          <w:bCs w:val="1"/>
          <w:color w:val="auto"/>
        </w:rPr>
        <w:t>Contribution by Guarantors</w:t>
      </w:r>
      <w:r>
        <w:rPr>
          <w:rFonts w:ascii="Times New Roman" w:cs="Times New Roman" w:eastAsia="Times New Roman" w:hAnsi="Times New Roman"/>
          <w:sz w:val="20"/>
          <w:szCs w:val="20"/>
          <w:color w:val="auto"/>
        </w:rPr>
        <w:t>. All Guarantors desire to allocate among themselves (collectively, the “</w:t>
      </w:r>
      <w:r>
        <w:rPr>
          <w:rFonts w:ascii="Times New Roman" w:cs="Times New Roman" w:eastAsia="Times New Roman" w:hAnsi="Times New Roman"/>
          <w:sz w:val="20"/>
          <w:szCs w:val="20"/>
          <w:u w:val="single" w:color="auto"/>
          <w:color w:val="auto"/>
        </w:rPr>
        <w:t>Contributing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in a fair and equitable manner, their obligations arising under this Guaranty. Accordingly, in the event any payment or distribution is made on any date by a Guarantor (a “</w:t>
      </w:r>
      <w:r>
        <w:rPr>
          <w:rFonts w:ascii="Times New Roman" w:cs="Times New Roman" w:eastAsia="Times New Roman" w:hAnsi="Times New Roman"/>
          <w:sz w:val="20"/>
          <w:szCs w:val="20"/>
          <w:u w:val="single" w:color="auto"/>
          <w:color w:val="auto"/>
        </w:rPr>
        <w:t>Funding Guarantor</w:t>
      </w:r>
      <w:r>
        <w:rPr>
          <w:rFonts w:ascii="Times New Roman" w:cs="Times New Roman" w:eastAsia="Times New Roman" w:hAnsi="Times New Roman"/>
          <w:sz w:val="20"/>
          <w:szCs w:val="20"/>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Times New Roman" w:cs="Times New Roman" w:eastAsia="Times New Roman" w:hAnsi="Times New Roman"/>
          <w:sz w:val="20"/>
          <w:szCs w:val="20"/>
          <w:u w:val="single" w:color="auto"/>
          <w:color w:val="auto"/>
        </w:rPr>
        <w:t>Fair Share Contribution Amount</w:t>
      </w:r>
      <w:r>
        <w:rPr>
          <w:rFonts w:ascii="Times New Roman" w:cs="Times New Roman" w:eastAsia="Times New Roman" w:hAnsi="Times New Roman"/>
          <w:sz w:val="20"/>
          <w:szCs w:val="20"/>
          <w:color w:val="auto"/>
        </w:rPr>
        <w:t xml:space="preserve">”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solely for purposes of calculating the “</w:t>
      </w:r>
      <w:r>
        <w:rPr>
          <w:rFonts w:ascii="Times New Roman" w:cs="Times New Roman" w:eastAsia="Times New Roman" w:hAnsi="Times New Roman"/>
          <w:sz w:val="20"/>
          <w:szCs w:val="20"/>
          <w:u w:val="single" w:color="auto"/>
          <w:color w:val="auto"/>
        </w:rPr>
        <w:t>Fair Share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with respect to any Contributing Guarantor for purposes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minus (2) the aggregate amount of all payments received on or before such date by such Contributing Guarantor from the other Contributing Guarantors as contributions under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shall not be construed in any way to limit the liability of any Contributing Guarantor hereunder. Each Guarantor is a third party beneficiary to the contribution agreement set forth in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Each Guarantor’s right of contribution shall be subject to the terms and conditions of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-3347085</wp:posOffset>
            </wp:positionV>
            <wp:extent cx="18688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7.03 </w:t>
      </w:r>
      <w:r>
        <w:rPr>
          <w:rFonts w:ascii="Times New Roman" w:cs="Times New Roman" w:eastAsia="Times New Roman" w:hAnsi="Times New Roman"/>
          <w:sz w:val="20"/>
          <w:szCs w:val="20"/>
          <w:b w:val="1"/>
          <w:bCs w:val="1"/>
          <w:color w:val="auto"/>
        </w:rPr>
        <w:t>Payment by Guarantors</w:t>
      </w:r>
      <w:r>
        <w:rPr>
          <w:rFonts w:ascii="Times New Roman" w:cs="Times New Roman" w:eastAsia="Times New Roman" w:hAnsi="Times New Roman"/>
          <w:sz w:val="20"/>
          <w:szCs w:val="20"/>
          <w:color w:val="auto"/>
        </w:rPr>
        <w:t>. The Guarantors hereby jointly and severally agree, in furtherance of the foregoing and not in limitation of any other right which any Secured Party may have at law or in equity against any Person (including any other Guarantor by virtue hereof), that upon the failure of any Borrower or other Guarantor to pay in full any of the Guaranteed Obligations when and as the same shall become due (after giving effect to any applicable grace periods), whether at stated maturity, by required prepayment, declaration, acceleration, demand or otherwise (including amounts that would become due but for the operation of the automatic stay under Section 362(a) of the Bankruptcy Code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1518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18285" cy="889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50" w:lineRule="auto"/>
        <w:rPr>
          <w:sz w:val="20"/>
          <w:szCs w:val="20"/>
          <w:color w:val="auto"/>
        </w:rPr>
      </w:pPr>
      <w:r>
        <w:rPr>
          <w:rFonts w:ascii="Times New Roman" w:cs="Times New Roman" w:eastAsia="Times New Roman" w:hAnsi="Times New Roman"/>
          <w:sz w:val="20"/>
          <w:szCs w:val="20"/>
          <w:color w:val="auto"/>
        </w:rPr>
        <w:t>any other Debtor Relief Law), the Guarantors will promptly pay, or cause to be paid, in Cash to Administrative Agent for the ratable benefit of Secured Parties without any demand or notice whatsoever, an amount equal to the full unpaid principal amount of all Guaranteed Obligations then due as aforesaid, accrued and unpaid interest on such Guaranteed Obligations (including interest which, but for any Borrower becoming the subject of a case under the Bankruptcy Code or any other Debtor Relief Law, would have accrued on such Guaranteed Obligations, whether or not a claim is allowed against such Borrower for such interest in the related bankruptcy case) and all other Guaranteed Obligations then owed to Secured Parties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7.04 </w:t>
      </w:r>
      <w:r>
        <w:rPr>
          <w:rFonts w:ascii="Times New Roman" w:cs="Times New Roman" w:eastAsia="Times New Roman" w:hAnsi="Times New Roman"/>
          <w:sz w:val="20"/>
          <w:szCs w:val="20"/>
          <w:b w:val="1"/>
          <w:bCs w:val="1"/>
          <w:color w:val="auto"/>
        </w:rPr>
        <w:t>Liability of Guarantors Absolute</w:t>
      </w:r>
      <w:r>
        <w:rPr>
          <w:rFonts w:ascii="Times New Roman" w:cs="Times New Roman" w:eastAsia="Times New Roman" w:hAnsi="Times New Roman"/>
          <w:sz w:val="20"/>
          <w:szCs w:val="20"/>
          <w:color w:val="auto"/>
        </w:rPr>
        <w:t>. Each Guarantor agrees that its obligations hereunder are irrevocable, absolute, independent and unconditional and, to the extent permitted by applicable law, shall not be affected by any circumstance which constitutes a legal or equitable discharge of a guarantor or surety other than Payment in Full in Cash of the Guaranteed Obligations. In furtherance of the foregoing and without limiting the generality thereof, each Guarantor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2136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spacing w:after="0" w:line="94" w:lineRule="exact"/>
        <w:rPr>
          <w:sz w:val="20"/>
          <w:szCs w:val="20"/>
          <w:color w:val="auto"/>
        </w:rPr>
      </w:pPr>
    </w:p>
    <w:p>
      <w:pPr>
        <w:ind w:left="660" w:firstLine="644"/>
        <w:spacing w:after="0" w:line="283" w:lineRule="auto"/>
        <w:tabs>
          <w:tab w:leader="none" w:pos="179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Guaranty is a guaranty of payment when due and not of collectability. This Guaranty is a primary obligation of each Guarantor and not merely a contract of surety;</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842"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118"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6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25" w:lineRule="exact"/>
        <w:rPr>
          <w:rFonts w:ascii="Times New Roman" w:cs="Times New Roman" w:eastAsia="Times New Roman" w:hAnsi="Times New Roman"/>
          <w:sz w:val="20"/>
          <w:szCs w:val="20"/>
          <w:color w:val="auto"/>
        </w:rPr>
      </w:pPr>
    </w:p>
    <w:p>
      <w:pPr>
        <w:ind w:left="660" w:firstLine="644"/>
        <w:spacing w:after="0" w:line="283" w:lineRule="auto"/>
        <w:tabs>
          <w:tab w:leader="none" w:pos="172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any Borrower or other circumstance which operates to toll any statute of limitations as to any Borrower shall operate to toll the statute of limitations as to the Guarantors;</w:t>
      </w:r>
    </w:p>
    <w:p>
      <w:pPr>
        <w:spacing w:after="0" w:line="92" w:lineRule="exact"/>
        <w:rPr>
          <w:rFonts w:ascii="Times New Roman" w:cs="Times New Roman" w:eastAsia="Times New Roman" w:hAnsi="Times New Roman"/>
          <w:sz w:val="20"/>
          <w:szCs w:val="20"/>
          <w:color w:val="auto"/>
        </w:rPr>
      </w:pPr>
    </w:p>
    <w:p>
      <w:pPr>
        <w:ind w:left="660" w:firstLine="644"/>
        <w:spacing w:after="0" w:line="283" w:lineRule="auto"/>
        <w:tabs>
          <w:tab w:leader="none" w:pos="170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Secured Party, upon such terms as it deems appropriate, without notice or demand and without affecting the validity or enforceability hereof or giving rise in any way to</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1240"/>
          </w:cols>
          <w:pgMar w:left="320" w:top="1413"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any reduction, limitation, impairment, discharge or termination of any Guarantor’s liability hereunder, from time to time may:</w:t>
      </w:r>
    </w:p>
    <w:p>
      <w:pPr>
        <w:spacing w:after="0" w:line="175" w:lineRule="exact"/>
        <w:rPr>
          <w:sz w:val="20"/>
          <w:szCs w:val="20"/>
          <w:color w:val="auto"/>
        </w:rPr>
      </w:pPr>
    </w:p>
    <w:p>
      <w:pPr>
        <w:jc w:val="both"/>
        <w:ind w:left="640" w:firstLine="652"/>
        <w:spacing w:after="0" w:line="281" w:lineRule="auto"/>
        <w:tabs>
          <w:tab w:leader="none" w:pos="1692"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96" w:lineRule="exact"/>
        <w:rPr>
          <w:rFonts w:ascii="Times New Roman" w:cs="Times New Roman" w:eastAsia="Times New Roman" w:hAnsi="Times New Roman"/>
          <w:sz w:val="19"/>
          <w:szCs w:val="19"/>
          <w:color w:val="auto"/>
        </w:rPr>
      </w:pPr>
    </w:p>
    <w:p>
      <w:pPr>
        <w:jc w:val="both"/>
        <w:ind w:left="640" w:firstLine="652"/>
        <w:spacing w:after="0" w:line="268" w:lineRule="auto"/>
        <w:tabs>
          <w:tab w:leader="none" w:pos="1849"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07" w:lineRule="exact"/>
        <w:rPr>
          <w:rFonts w:ascii="Times New Roman" w:cs="Times New Roman" w:eastAsia="Times New Roman" w:hAnsi="Times New Roman"/>
          <w:sz w:val="20"/>
          <w:szCs w:val="20"/>
          <w:color w:val="auto"/>
        </w:rPr>
      </w:pPr>
    </w:p>
    <w:p>
      <w:pPr>
        <w:ind w:left="640" w:right="20" w:firstLine="652"/>
        <w:spacing w:after="0" w:line="283" w:lineRule="auto"/>
        <w:tabs>
          <w:tab w:leader="none" w:pos="181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and accept other guaranties of the Guaranteed Obligations and take and hold security for the payment hereof or the Guaranteed Obligations;</w:t>
      </w:r>
    </w:p>
    <w:p>
      <w:pPr>
        <w:spacing w:after="0" w:line="92" w:lineRule="exact"/>
        <w:rPr>
          <w:rFonts w:ascii="Times New Roman" w:cs="Times New Roman" w:eastAsia="Times New Roman" w:hAnsi="Times New Roman"/>
          <w:sz w:val="20"/>
          <w:szCs w:val="20"/>
          <w:color w:val="auto"/>
        </w:rPr>
      </w:pPr>
    </w:p>
    <w:p>
      <w:pPr>
        <w:jc w:val="both"/>
        <w:ind w:left="640" w:firstLine="652"/>
        <w:spacing w:after="0" w:line="257" w:lineRule="auto"/>
        <w:tabs>
          <w:tab w:leader="none" w:pos="1805"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18" w:lineRule="exact"/>
        <w:rPr>
          <w:rFonts w:ascii="Times New Roman" w:cs="Times New Roman" w:eastAsia="Times New Roman" w:hAnsi="Times New Roman"/>
          <w:sz w:val="20"/>
          <w:szCs w:val="20"/>
          <w:color w:val="auto"/>
        </w:rPr>
      </w:pPr>
    </w:p>
    <w:p>
      <w:pPr>
        <w:jc w:val="both"/>
        <w:ind w:left="640" w:firstLine="652"/>
        <w:spacing w:after="0" w:line="251" w:lineRule="auto"/>
        <w:tabs>
          <w:tab w:leader="none" w:pos="1796"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41" w:lineRule="exact"/>
        <w:rPr>
          <w:rFonts w:ascii="Times New Roman" w:cs="Times New Roman" w:eastAsia="Times New Roman" w:hAnsi="Times New Roman"/>
          <w:sz w:val="20"/>
          <w:szCs w:val="20"/>
          <w:color w:val="auto"/>
        </w:rPr>
      </w:pPr>
    </w:p>
    <w:p>
      <w:pPr>
        <w:ind w:left="640" w:firstLine="652"/>
        <w:spacing w:after="0" w:line="283" w:lineRule="auto"/>
        <w:tabs>
          <w:tab w:leader="none" w:pos="1807"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any other rights available to it under the Credit Documents, any Secured Interest Rate Agreement or any Cash Management Agreement; and</w:t>
      </w:r>
    </w:p>
    <w:p>
      <w:pPr>
        <w:spacing w:after="0" w:line="92" w:lineRule="exact"/>
        <w:rPr>
          <w:rFonts w:ascii="Times New Roman" w:cs="Times New Roman" w:eastAsia="Times New Roman" w:hAnsi="Times New Roman"/>
          <w:sz w:val="20"/>
          <w:szCs w:val="20"/>
          <w:color w:val="auto"/>
        </w:rPr>
      </w:pPr>
    </w:p>
    <w:p>
      <w:pPr>
        <w:jc w:val="both"/>
        <w:ind w:firstLine="644"/>
        <w:spacing w:after="0" w:line="266" w:lineRule="auto"/>
        <w:tabs>
          <w:tab w:leader="none" w:pos="1084"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w:t>
      </w:r>
    </w:p>
    <w:p>
      <w:pPr>
        <w:spacing w:after="0" w:line="3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580"/>
          </w:cols>
          <w:pgMar w:left="980" w:top="1413" w:right="339" w:bottom="1440" w:gutter="0" w:footer="0" w:header="0"/>
        </w:sectPr>
      </w:pPr>
    </w:p>
    <w:bookmarkStart w:id="188" w:name="page189"/>
    <w:bookmarkEnd w:id="188"/>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 (iii) 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 Party may allege or assert against any Secured Party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other Credit Party or any other Person, including any insolvency, bankruptcy, liquidation, reorganization, readjustment, composition, dissolution, winding-up or other proceeding involving or affecting any other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7.05 </w:t>
      </w:r>
      <w:r>
        <w:rPr>
          <w:rFonts w:ascii="Times New Roman" w:cs="Times New Roman" w:eastAsia="Times New Roman" w:hAnsi="Times New Roman"/>
          <w:sz w:val="20"/>
          <w:szCs w:val="20"/>
          <w:b w:val="1"/>
          <w:bCs w:val="1"/>
          <w:color w:val="auto"/>
        </w:rPr>
        <w:t>Waivers by Guarantors</w:t>
      </w:r>
      <w:r>
        <w:rPr>
          <w:rFonts w:ascii="Times New Roman" w:cs="Times New Roman" w:eastAsia="Times New Roman" w:hAnsi="Times New Roman"/>
          <w:sz w:val="20"/>
          <w:szCs w:val="20"/>
          <w:color w:val="auto"/>
        </w:rPr>
        <w:t>. Each Guarantor hereby waives, to the extent permitted by applicable law, for the benefit of the Secured Parties: (a) any right to require any Secured Party,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or credit on the books of any Secured Party in favor of any Borrower or any other Person, or (iv) pursue any other remedy in the power of any Secured Party whatsoever; (b) any defense arising by reason of the incapacity, lack of authority or any 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any Borrower or any other Person (including any other Guarantor) from any cause other than Payment in Full in Cash of the Guaranteed Obligations; (c) any defense based upon any statute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-1395730</wp:posOffset>
            </wp:positionV>
            <wp:extent cx="14636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gross negligence or willful misconduct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except as expressly set forth herein, all notices, demands, presentments, protests, notices of protest, notices of dishonor or non-payment, notices or proof of reliance, and notices of any action or inaction, including acceptance hereof, notices of default hereunder or under any Secured Interest Rate Agreements or Cash Management Agreement entered into with a Secured Party (including, without limitation, any Person with respect to any Secured Interest Rate Agreement who was a Secured Party at the time such Secured Interest Rate Agreement was entered into)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7.06 </w:t>
      </w:r>
      <w:r>
        <w:rPr>
          <w:rFonts w:ascii="Times New Roman" w:cs="Times New Roman" w:eastAsia="Times New Roman" w:hAnsi="Times New Roman"/>
          <w:sz w:val="20"/>
          <w:szCs w:val="20"/>
          <w:b w:val="1"/>
          <w:bCs w:val="1"/>
          <w:color w:val="auto"/>
        </w:rPr>
        <w:t>Guarantors’ Rights of Subrogation, Etc.</w:t>
      </w:r>
      <w:r>
        <w:rPr>
          <w:rFonts w:ascii="Times New Roman" w:cs="Times New Roman" w:eastAsia="Times New Roman" w:hAnsi="Times New Roman"/>
          <w:sz w:val="20"/>
          <w:szCs w:val="20"/>
          <w:color w:val="auto"/>
        </w:rPr>
        <w:t xml:space="preserve">. Until the Guaranteed Obligations shall have been Paid in Full in Cash and all Commitments shall have terminated, each Guarantor hereby waives any claim, right or remedy, direct or indirect, that such Guarantor now has or may hereafter have against any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any Borrower with respect to the Guaranteed Obligations, (b) any right to enforce, or to participate in, any claim, right or remedy that any Secured Party now has or may hereafter have against any Borrower, and (c) any benefit of, and any right to participate in, any Collateral or security now or hereafter held by any Secured Party. In addition, until the Guaranteed Obligations shall have been Paid in Full in Cash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in right of payment and security to any rights any Secured Party may have against any Borrower, to all right, title and interest any Secured Party may have in any such collateral or security, and to any right any Secured Party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Secured Parties and shall forthwith be paid over to Administrative Agent for the benefit of the Secured Parties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-3044190</wp:posOffset>
            </wp:positionV>
            <wp:extent cx="23742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1240"/>
          </w:cols>
          <w:pgMar w:left="320" w:top="1413"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credited and applied against the Guaranteed Obligations, whether matured or unmatured, in accordance with the terms hereof.</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7.07 </w:t>
      </w:r>
      <w:r>
        <w:rPr>
          <w:rFonts w:ascii="Times New Roman" w:cs="Times New Roman" w:eastAsia="Times New Roman" w:hAnsi="Times New Roman"/>
          <w:sz w:val="20"/>
          <w:szCs w:val="20"/>
          <w:b w:val="1"/>
          <w:bCs w:val="1"/>
          <w:color w:val="auto"/>
        </w:rPr>
        <w:t>Subordination of Other Obligations</w:t>
      </w:r>
      <w:r>
        <w:rPr>
          <w:rFonts w:ascii="Times New Roman" w:cs="Times New Roman" w:eastAsia="Times New Roman" w:hAnsi="Times New Roman"/>
          <w:sz w:val="20"/>
          <w:szCs w:val="20"/>
          <w:color w:val="auto"/>
        </w:rPr>
        <w:t>. Any Indebtedness of any Borrower or any Guarantor now or hereafter held by (or owing to) any other Guarantor (the “</w:t>
      </w:r>
      <w:r>
        <w:rPr>
          <w:rFonts w:ascii="Times New Roman" w:cs="Times New Roman" w:eastAsia="Times New Roman" w:hAnsi="Times New Roman"/>
          <w:sz w:val="20"/>
          <w:szCs w:val="20"/>
          <w:u w:val="single" w:color="auto"/>
          <w:color w:val="auto"/>
        </w:rPr>
        <w:t>Obligee Guarantor</w:t>
      </w:r>
      <w:r>
        <w:rPr>
          <w:rFonts w:ascii="Times New Roman" w:cs="Times New Roman" w:eastAsia="Times New Roman" w:hAnsi="Times New Roman"/>
          <w:sz w:val="20"/>
          <w:szCs w:val="20"/>
          <w:color w:val="auto"/>
        </w:rPr>
        <w:t xml:space="preserve">”) is hereby subordinated in right of payment to the Guaranteed Obligations, and any such Indebtedness collected or received by an Obligee Guarantor after an Event of Default has occurred and is continuing shall be held in trust for Administrative Agent on behalf of the Secured Parties and, upon notice from the Administrative Agent acting at the direction of the Requisite Lenders (other than upon the occurrence of any Event of Default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shall forthwith be paid over to Administrative Agent for the benefit of the Secured Parties to be credited and applied against the Guaranteed Obligations but without affecting, impairing or limiting in any manner the liability of the Obligee Guarantor under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-935990</wp:posOffset>
            </wp:positionV>
            <wp:extent cx="2136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36140" cy="8255"/>
                    </a:xfrm>
                    <a:prstGeom prst="rect">
                      <a:avLst/>
                    </a:prstGeom>
                    <a:noFill/>
                  </pic:spPr>
                </pic:pic>
              </a:graphicData>
            </a:graphic>
          </wp:anchor>
        </w:drawing>
      </w:r>
    </w:p>
    <w:p>
      <w:pPr>
        <w:spacing w:after="0" w:line="11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7.08 </w:t>
      </w:r>
      <w:r>
        <w:rPr>
          <w:rFonts w:ascii="Times New Roman" w:cs="Times New Roman" w:eastAsia="Times New Roman" w:hAnsi="Times New Roman"/>
          <w:sz w:val="20"/>
          <w:szCs w:val="20"/>
          <w:b w:val="1"/>
          <w:bCs w:val="1"/>
          <w:color w:val="auto"/>
        </w:rPr>
        <w:t>Continuing Guaranty</w:t>
      </w:r>
      <w:r>
        <w:rPr>
          <w:rFonts w:ascii="Times New Roman" w:cs="Times New Roman" w:eastAsia="Times New Roman" w:hAnsi="Times New Roman"/>
          <w:sz w:val="20"/>
          <w:szCs w:val="20"/>
          <w:color w:val="auto"/>
        </w:rPr>
        <w:t>. This Guaranty is a continuing guaranty and shall remain in effect until all of the Guaranteed Obligations shall have been Paid in Full in Cash and all Commitments shall have terminated. Each Guarantor hereby irrevocably waives any right to revoke this Guaranty as to future transactions giving rise to any Guaranteed Obligations prior to the Payment in Full in Cash of the Guaranteed Obligations and the termination of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14077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9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7.09 </w:t>
      </w:r>
      <w:r>
        <w:rPr>
          <w:rFonts w:ascii="Times New Roman" w:cs="Times New Roman" w:eastAsia="Times New Roman" w:hAnsi="Times New Roman"/>
          <w:sz w:val="20"/>
          <w:szCs w:val="20"/>
          <w:b w:val="1"/>
          <w:bCs w:val="1"/>
          <w:color w:val="auto"/>
        </w:rPr>
        <w:t>Authority of Guarantors or Borrowers</w:t>
      </w:r>
      <w:r>
        <w:rPr>
          <w:rFonts w:ascii="Times New Roman" w:cs="Times New Roman" w:eastAsia="Times New Roman" w:hAnsi="Times New Roman"/>
          <w:sz w:val="20"/>
          <w:szCs w:val="20"/>
          <w:color w:val="auto"/>
        </w:rPr>
        <w:t>. It is not necessary for any Secured Party to inquire into the capacity or powers of any Guarantor or any Borrower or the officers, directors or any agents acting or purporting to act on behalf of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-211455</wp:posOffset>
            </wp:positionV>
            <wp:extent cx="22472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47265" cy="8255"/>
                    </a:xfrm>
                    <a:prstGeom prst="rect">
                      <a:avLst/>
                    </a:prstGeom>
                    <a:noFill/>
                  </pic:spPr>
                </pic:pic>
              </a:graphicData>
            </a:graphic>
          </wp:anchor>
        </w:drawing>
      </w:r>
    </w:p>
    <w:p>
      <w:pPr>
        <w:spacing w:after="0" w:line="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b w:val="1"/>
          <w:bCs w:val="1"/>
          <w:color w:val="auto"/>
        </w:rPr>
        <w:t>Financial Condition of Borrowers</w:t>
      </w:r>
      <w:r>
        <w:rPr>
          <w:rFonts w:ascii="Times New Roman" w:cs="Times New Roman" w:eastAsia="Times New Roman" w:hAnsi="Times New Roman"/>
          <w:sz w:val="20"/>
          <w:szCs w:val="20"/>
          <w:color w:val="auto"/>
        </w:rPr>
        <w:t>. Any Credit Extension may be made to Borrowers or continued from time to time, and any Secured Interest Rate Agreements and Cash Management Agreements may be entered into from time to time, in each case, without notice to or authorization from any Guarantor regardless of the financial or other condition of any Borrower at the time of any such grant or continuation or at the time such Secured Interest Rate Agreement or Cash Management Agreement is entered into, as the case may be. No Secured Party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Credit Documents, any Secured Interest Rate Agreement or Cash Management Agreement, and each Guarantor assumes the responsibility for being and keeping informed of the financial condition of each Borrower and of all circumstances bearing upon the risk of nonpayment of the Guaranteed Obligations. Each Guarantor hereby waives and relinquishes any duty on the part of any Secured Party to disclose any matter, fact or thing relating to the business, operations or conditions of any Borrower now known or hereafter known by any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-1542415</wp:posOffset>
            </wp:positionV>
            <wp:extent cx="1994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94535" cy="8255"/>
                    </a:xfrm>
                    <a:prstGeom prst="rect">
                      <a:avLst/>
                    </a:prstGeom>
                    <a:noFill/>
                  </pic:spPr>
                </pic:pic>
              </a:graphicData>
            </a:graphic>
          </wp:anchor>
        </w:drawing>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b w:val="1"/>
          <w:bCs w:val="1"/>
          <w:color w:val="auto"/>
        </w:rPr>
        <w:t>Bankruptcy, Etc.</w:t>
      </w:r>
      <w:r>
        <w:rPr>
          <w:rFonts w:ascii="Times New Roman" w:cs="Times New Roman" w:eastAsia="Times New Roman" w:hAnsi="Times New Roman"/>
          <w:sz w:val="20"/>
          <w:szCs w:val="20"/>
          <w:color w:val="auto"/>
        </w:rPr>
        <w:t>. (a) 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 by reason of the order, decree or decision of any court or administrative body resulting from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-495300</wp:posOffset>
            </wp:positionV>
            <wp:extent cx="10623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94" w:lineRule="exact"/>
        <w:rPr>
          <w:sz w:val="20"/>
          <w:szCs w:val="20"/>
          <w:color w:val="auto"/>
        </w:rPr>
      </w:pPr>
    </w:p>
    <w:p>
      <w:pPr>
        <w:jc w:val="both"/>
        <w:ind w:firstLine="1304"/>
        <w:spacing w:after="0" w:line="261" w:lineRule="auto"/>
        <w:tabs>
          <w:tab w:leader="none" w:pos="173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if interest on any portion of the Guaranteed Obligations ceases to accrue by operation of law by reason of the commencement of such case or proceeding, such interest as would have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1240"/>
          </w:cols>
          <w:pgMar w:left="320" w:top="1413" w:right="339" w:bottom="1440" w:gutter="0" w:footer="0" w:header="0"/>
        </w:sectPr>
      </w:pPr>
    </w:p>
    <w:bookmarkStart w:id="191" w:name="page192"/>
    <w:bookmarkEnd w:id="191"/>
    <w:p>
      <w:pPr>
        <w:jc w:val="both"/>
        <w:spacing w:after="0" w:line="253" w:lineRule="auto"/>
        <w:rPr>
          <w:sz w:val="20"/>
          <w:szCs w:val="20"/>
          <w:color w:val="auto"/>
        </w:rPr>
      </w:pPr>
      <w:r>
        <w:rPr>
          <w:rFonts w:ascii="Times New Roman" w:cs="Times New Roman" w:eastAsia="Times New Roman" w:hAnsi="Times New Roman"/>
          <w:sz w:val="20"/>
          <w:szCs w:val="20"/>
          <w:color w:val="auto"/>
        </w:rPr>
        <w:t>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in such capacity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38" w:lineRule="exact"/>
        <w:rPr>
          <w:sz w:val="20"/>
          <w:szCs w:val="20"/>
          <w:color w:val="auto"/>
        </w:rPr>
      </w:pPr>
    </w:p>
    <w:p>
      <w:pPr>
        <w:jc w:val="both"/>
        <w:ind w:firstLine="1304"/>
        <w:spacing w:after="0" w:line="271" w:lineRule="auto"/>
        <w:tabs>
          <w:tab w:leader="none" w:pos="18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color w:val="auto"/>
        </w:rPr>
        <w:t>Release of Guarantor</w:t>
      </w:r>
      <w:r>
        <w:rPr>
          <w:rFonts w:ascii="Times New Roman" w:cs="Times New Roman" w:eastAsia="Times New Roman" w:hAnsi="Times New Roman"/>
          <w:sz w:val="20"/>
          <w:szCs w:val="20"/>
          <w:color w:val="auto"/>
        </w:rPr>
        <w:t xml:space="preserve">. If, in compliance with the terms and provisions of the Credit Documents, (i) any Subsidiary Guarantor ceases to be a Restricted Subsidiary in a transaction permitted hereunder or (ii) any Subsidiary Guarantor becomes an Excluded Subsidiary as a result of a transaction or designation permitted hereunder (any such Subsidiary Guarantor, and any Subsidiary Guarantor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Transferred Guarantor</w:t>
      </w:r>
      <w:r>
        <w:rPr>
          <w:rFonts w:ascii="Times New Roman" w:cs="Times New Roman" w:eastAsia="Times New Roman" w:hAnsi="Times New Roman"/>
          <w:sz w:val="20"/>
          <w:szCs w:val="20"/>
          <w:color w:val="auto"/>
        </w:rPr>
        <w:t xml:space="preserve">”), such Transferred Guarantor shall, upon the consummation of such sale or transfer or other transaction, be automatically released from its obligations under this Agreement (including under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hereof) and its obligations to pledge and grant any Collateral owned by it pursuant to any Collateral Document and, in the case of a sale or other transfer of the Capital Stock of the Transferred Guarantor, the pledge of such Capital Stock to Collateral Agent pursuant to the Collateral Documents shall be automatically released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Designated Restricted Subsidiary, after giving effect to such transactions, the portion of the Capital Stock of such Designated Restricted Subsidiary that continues to be owned or held by the Initial Borrower or any Subsidiary Guarantor shall continue to be pledged as Collateral pursuant to the Pledge and Security Agreement), and, so long as the Borrower Representative shall have provided the Agents such certifications as to compliance with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as any Agent shall reasonably request, Collateral Agent shall take such actions as are necessary to effect each release described in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in accordance with the relevant provisions of the Collateral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release of any Subsidiary Guarantor from its obligations under this Agreement if such Subsidiary Guarantor becomes an Excluded Subsidiary of the type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thereof shall only be permitted if at the time such Subsidiary Guarantor becomes an Excluded Subsidiary of such type (1) no Event of Default shall have occurred and be outstanding, (2) the transaction pursuant to which such Subsidiary Guarantor ceases to be a wholly-owned Subsidiary was permitted hereunder and entered into for a bona fide business purpose (as reasonably determined by the Borrower Representative), and (3) after giving pro forma effect to such release and the consummation of the transaction that causes such Person to be an Excluded Subsidiary of such type, the non-controlling interest is not owned by an Affiliate of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no such release shall occur if such Subsidiary Guarantor continues to be a guarantor in respect of any Incremental Equivalent Debt, any Credit Agreement Refinancing Indebtedness, any Indebtedness incurred pursuant to Section 6.01(x) (except to the extent such guarantee was incurred in reliance on the Non-Credit Party Subsidiaries Ratio Debt Sublimit), or any Permitted Refinancing in respect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-3195320</wp:posOffset>
            </wp:positionV>
            <wp:extent cx="12769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Subject to the immediately preceding paragraph of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the Guaranty made herein shall remain in full force and effect until the Obligations have been Paid in Full and the Commitments have been terminated, at which time each Guarantor shall be automatically released from its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1240"/>
          </w:cols>
          <w:pgMar w:left="320" w:top="1413" w:right="339" w:bottom="1440" w:gutter="0" w:footer="0" w:header="0"/>
        </w:sectPr>
      </w:pPr>
    </w:p>
    <w:bookmarkStart w:id="192" w:name="page193"/>
    <w:bookmarkEnd w:id="19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under this Agreement (including under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hereof) and its obligations to pledge and grant any Collateral owned by it pursuant to any Collateral Document.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xml:space="preserve">. The Guarantors jointly and severally agree that, as between the Guarantors and the Secured Parties, the obligations of the Borrowers under this Agreement may be declared to be forthwith due and payable as provided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shall be deemed to have become automatically due and payable in the circumstances provided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-944245</wp:posOffset>
            </wp:positionV>
            <wp:extent cx="6419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color w:val="auto"/>
        </w:rPr>
        <w:t>Instrument for the Payment of Money</w:t>
      </w:r>
      <w:r>
        <w:rPr>
          <w:rFonts w:ascii="Times New Roman" w:cs="Times New Roman" w:eastAsia="Times New Roman" w:hAnsi="Times New Roman"/>
          <w:sz w:val="20"/>
          <w:szCs w:val="20"/>
          <w:color w:val="auto"/>
        </w:rPr>
        <w:t xml:space="preserve"> . Each Guarantor hereby acknowledges that the guaranty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-495300</wp:posOffset>
            </wp:positionV>
            <wp:extent cx="2215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15515" cy="8255"/>
                    </a:xfrm>
                    <a:prstGeom prst="rect">
                      <a:avLst/>
                    </a:prstGeom>
                    <a:noFill/>
                  </pic:spPr>
                </pic:pic>
              </a:graphicData>
            </a:graphic>
          </wp:anchor>
        </w:drawing>
      </w:r>
    </w:p>
    <w:p>
      <w:pPr>
        <w:spacing w:after="0" w:line="1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b w:val="1"/>
          <w:bCs w:val="1"/>
          <w:color w:val="auto"/>
        </w:rPr>
        <w:t>General Limitation on Guaranty Obligations</w:t>
      </w:r>
      <w:r>
        <w:rPr>
          <w:rFonts w:ascii="Times New Roman" w:cs="Times New Roman" w:eastAsia="Times New Roman" w:hAnsi="Times New Roman"/>
          <w:sz w:val="20"/>
          <w:szCs w:val="20"/>
          <w:color w:val="auto"/>
        </w:rPr>
        <w:t xml:space="preserve">. In any action or proceeding involving any state corporate, limited partnership or limited liability company law, or any applicable state, federal or foreign bankruptcy, insolvency, reorganization or other applicable law affecting the rights of creditors generally, if the obligations of any Subsidiary Guarantor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then, notwithstanding any other provision to the contrary, the amount of such liability shall, without any further action by such Subsidiary Guarantor, any Credit Party or any other Person, be automatically limited and reduced to the highest amount (after giving effect to the liability under this Guaranty and the right of contribution established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but before giving effect to any other guarantee) that is valid and enforceable and not subordinated to the claims of other creditors as determined in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-1231265</wp:posOffset>
            </wp:positionV>
            <wp:extent cx="25336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b w:val="1"/>
          <w:bCs w:val="1"/>
          <w:color w:val="auto"/>
        </w:rPr>
        <w:t>Keepwell</w:t>
      </w:r>
      <w:r>
        <w:rPr>
          <w:rFonts w:ascii="Times New Roman" w:cs="Times New Roman" w:eastAsia="Times New Roman" w:hAnsi="Times New Roman"/>
          <w:sz w:val="20"/>
          <w:szCs w:val="20"/>
          <w:color w:val="auto"/>
        </w:rPr>
        <w:t>. Each Qualified ECP Guarantor hereby jointly and severally absolutely, unconditionally, and irrevocably undertakes to provide such funds or other support as may be needed from time to time by each other Credit Party to honor all of its obligations under this Guaranty in respect of any Swap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Qualified ECP Guarantor shall only be liable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for the maximum amount of such liability that can be hereby incurred without rendering its obligations under this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shall remain in full force and effect until the Payment in Full of the Guaranteed Obligations. Each Qualified ECP Guarantor intends that this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shall be deemed to constitute, a “keepwell, support, or other agreement” for the benefit of each other Guarantor for all purposes of Section 1a(18)(A) (v)(II)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-1242060</wp:posOffset>
            </wp:positionV>
            <wp:extent cx="6210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0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Events of Default</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If any one or more of the following conditions or events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0541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59" w:lineRule="exact"/>
        <w:rPr>
          <w:sz w:val="20"/>
          <w:szCs w:val="20"/>
          <w:color w:val="auto"/>
        </w:rPr>
      </w:pPr>
    </w:p>
    <w:p>
      <w:pPr>
        <w:jc w:val="both"/>
        <w:ind w:left="660" w:firstLine="644"/>
        <w:spacing w:after="0" w:line="261" w:lineRule="auto"/>
        <w:tabs>
          <w:tab w:leader="none" w:pos="18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any Credit Party to pay (i) when due the principal of any Loan, whether at stated maturity, by acceleration, by mandatory prepayment or otherwise, but excluding any voluntary prepayment of a Loan; or (ii) when due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1240"/>
          </w:cols>
          <w:pgMar w:left="320" w:top="1413" w:right="339" w:bottom="1440" w:gutter="0" w:footer="0" w:header="0"/>
        </w:sectPr>
      </w:pPr>
    </w:p>
    <w:bookmarkStart w:id="193" w:name="page194"/>
    <w:bookmarkEnd w:id="193"/>
    <w:p>
      <w:pPr>
        <w:ind w:left="4"/>
        <w:spacing w:after="0" w:line="271" w:lineRule="auto"/>
        <w:rPr>
          <w:sz w:val="20"/>
          <w:szCs w:val="20"/>
          <w:color w:val="auto"/>
        </w:rPr>
      </w:pPr>
      <w:r>
        <w:rPr>
          <w:rFonts w:ascii="Times New Roman" w:cs="Times New Roman" w:eastAsia="Times New Roman" w:hAnsi="Times New Roman"/>
          <w:sz w:val="19"/>
          <w:szCs w:val="19"/>
          <w:color w:val="auto"/>
        </w:rPr>
        <w:t xml:space="preserve">any interest on any Loan or any Unreimbursed Amount, which failure, in the case of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only, continues for a period of five (5) Business Days or more; or (iii) any fee, premium or any other amount due hereunder, which failure, in the case of this </w:t>
      </w:r>
      <w:r>
        <w:rPr>
          <w:rFonts w:ascii="Times New Roman" w:cs="Times New Roman" w:eastAsia="Times New Roman" w:hAnsi="Times New Roman"/>
          <w:sz w:val="19"/>
          <w:szCs w:val="19"/>
          <w:u w:val="single" w:color="auto"/>
          <w:color w:val="auto"/>
        </w:rPr>
        <w:t>clause</w:t>
      </w:r>
    </w:p>
    <w:p>
      <w:pPr>
        <w:spacing w:after="0" w:line="1" w:lineRule="exact"/>
        <w:rPr>
          <w:sz w:val="20"/>
          <w:szCs w:val="20"/>
          <w:color w:val="auto"/>
        </w:rPr>
      </w:pPr>
    </w:p>
    <w:p>
      <w:pPr>
        <w:ind w:left="344" w:hanging="344"/>
        <w:spacing w:after="0"/>
        <w:tabs>
          <w:tab w:leader="none" w:pos="344" w:val="left"/>
        </w:tabs>
        <w:numPr>
          <w:ilvl w:val="0"/>
          <w:numId w:val="2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only, continues for a period of ten (10) Business Days or more; or</w:t>
      </w:r>
    </w:p>
    <w:p>
      <w:pPr>
        <w:spacing w:after="0" w:line="153" w:lineRule="exact"/>
        <w:rPr>
          <w:rFonts w:ascii="Times New Roman" w:cs="Times New Roman" w:eastAsia="Times New Roman" w:hAnsi="Times New Roman"/>
          <w:sz w:val="20"/>
          <w:szCs w:val="20"/>
          <w:u w:val="single" w:color="auto"/>
          <w:color w:val="auto"/>
        </w:rPr>
      </w:pPr>
    </w:p>
    <w:p>
      <w:pPr>
        <w:jc w:val="both"/>
        <w:ind w:left="4" w:firstLine="644"/>
        <w:spacing w:after="0" w:line="250" w:lineRule="auto"/>
        <w:tabs>
          <w:tab w:leader="none" w:pos="113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and other than Indebtedness which exists solely by reason of a guaranty by a Credit Party or such Restricted Subsidiary of obligations of other Credit Parties or Restricted Subsidiaries to the extent not prohibited by this Agreement or the other Credit Documents) in a principal amount in excess of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 of Consolidated Adjusted EBITDA for the most recently completed Test Period, in each case, beyond the grace period, if any, provided therefor; or (ii) breach or default by any Credit Party or any of their respective Restricted Subsidiaries with respect to any other term of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failure is unremedied and is not waived by the holders of such Indebtedness prior to any acceleration of the Loans pursuant to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or</w:t>
      </w:r>
    </w:p>
    <w:p>
      <w:pPr>
        <w:spacing w:after="0" w:line="139"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16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(i) The Borrowers or any Restricted Subsidiary fail to perform or observe any term, covenant or agreement contained in any of </w:t>
      </w:r>
      <w:r>
        <w:rPr>
          <w:rFonts w:ascii="Times New Roman" w:cs="Times New Roman" w:eastAsia="Times New Roman" w:hAnsi="Times New Roman"/>
          <w:sz w:val="20"/>
          <w:szCs w:val="20"/>
          <w:u w:val="single" w:color="auto"/>
          <w:color w:val="auto"/>
        </w:rPr>
        <w:t>Sections 5.01(f)(i)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5.02(a) (solely with respect to a Borrower),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covenant in </w:t>
      </w:r>
      <w:r>
        <w:rPr>
          <w:rFonts w:ascii="Times New Roman" w:cs="Times New Roman" w:eastAsia="Times New Roman" w:hAnsi="Times New Roman"/>
          <w:sz w:val="20"/>
          <w:szCs w:val="20"/>
          <w:u w:val="single" w:color="auto"/>
          <w:color w:val="auto"/>
        </w:rPr>
        <w:t>Section 6.08(a)</w:t>
      </w:r>
      <w:r>
        <w:rPr>
          <w:rFonts w:ascii="Times New Roman" w:cs="Times New Roman" w:eastAsia="Times New Roman" w:hAnsi="Times New Roman"/>
          <w:sz w:val="20"/>
          <w:szCs w:val="20"/>
          <w:color w:val="auto"/>
        </w:rPr>
        <w:t xml:space="preserve"> is subject to cure pursuant to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failure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6.08(a)</w:t>
      </w:r>
      <w:r>
        <w:rPr>
          <w:rFonts w:ascii="Times New Roman" w:cs="Times New Roman" w:eastAsia="Times New Roman" w:hAnsi="Times New Roman"/>
          <w:sz w:val="20"/>
          <w:szCs w:val="20"/>
          <w:color w:val="auto"/>
        </w:rPr>
        <w:t xml:space="preserve"> shall not constitute an Event of Default with respect to any Term Loans or Term Loan Commitments unless and until the Requisite Revolving Credit Lenders shall have terminated their Revolving Commitments and declared all amounts outstanding thereunder to be due and payable pursuant to this </w:t>
      </w:r>
      <w:r>
        <w:rPr>
          <w:rFonts w:ascii="Times New Roman" w:cs="Times New Roman" w:eastAsia="Times New Roman" w:hAnsi="Times New Roman"/>
          <w:sz w:val="20"/>
          <w:szCs w:val="20"/>
          <w:u w:val="single" w:color="auto"/>
          <w:color w:val="auto"/>
        </w:rPr>
        <w:t>Section 8.01; or</w:t>
      </w:r>
    </w:p>
    <w:p>
      <w:pPr>
        <w:spacing w:after="0" w:line="136"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08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and such incorrect representation, warranty or certification shall remain incorrect for 30 days after receipt by any Borrower of written notice thereof from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cure period shall not apply in the event such representation, warranty or certification is incapable of being cured, as determined by such Borrower in good faith); or</w:t>
      </w:r>
    </w:p>
    <w:p>
      <w:pPr>
        <w:spacing w:after="0" w:line="125"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5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Credit Documents</w:t>
      </w:r>
      <w:r>
        <w:rPr>
          <w:rFonts w:ascii="Times New Roman" w:cs="Times New Roman" w:eastAsia="Times New Roman" w:hAnsi="Times New Roman"/>
          <w:sz w:val="20"/>
          <w:szCs w:val="20"/>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and such default shall not have been remedied or waived within thirty (30) days after the earlier of (i) a Senior Officer (other than the Chief Information Officer) of such</w:t>
      </w:r>
    </w:p>
    <w:p>
      <w:pPr>
        <w:spacing w:after="0" w:line="37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584"/>
          </w:cols>
          <w:pgMar w:left="976" w:top="1413" w:right="339" w:bottom="1440" w:gutter="0" w:footer="0" w:header="0"/>
        </w:sectPr>
      </w:pPr>
    </w:p>
    <w:bookmarkStart w:id="194" w:name="page195"/>
    <w:bookmarkEnd w:id="194"/>
    <w:p>
      <w:pPr>
        <w:ind w:left="4"/>
        <w:spacing w:after="0" w:line="283" w:lineRule="auto"/>
        <w:rPr>
          <w:sz w:val="20"/>
          <w:szCs w:val="20"/>
          <w:color w:val="auto"/>
        </w:rPr>
      </w:pPr>
      <w:r>
        <w:rPr>
          <w:rFonts w:ascii="Times New Roman" w:cs="Times New Roman" w:eastAsia="Times New Roman" w:hAnsi="Times New Roman"/>
          <w:sz w:val="20"/>
          <w:szCs w:val="20"/>
          <w:color w:val="auto"/>
        </w:rPr>
        <w:t>Credit Party becoming aware of such default, or (ii) receipt by any Borrower of notice from Administrative Agent or any Lender of such default; or</w:t>
      </w:r>
    </w:p>
    <w:p>
      <w:pPr>
        <w:spacing w:after="0" w:line="92" w:lineRule="exact"/>
        <w:rPr>
          <w:sz w:val="20"/>
          <w:szCs w:val="20"/>
          <w:color w:val="auto"/>
        </w:rPr>
      </w:pPr>
    </w:p>
    <w:p>
      <w:pPr>
        <w:jc w:val="both"/>
        <w:ind w:left="4" w:firstLine="644"/>
        <w:spacing w:after="0" w:line="262" w:lineRule="auto"/>
        <w:tabs>
          <w:tab w:leader="none" w:pos="1129"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Involuntary Bankruptcy; Appointment of Receiver, Etc.</w:t>
      </w:r>
      <w:r>
        <w:rPr>
          <w:rFonts w:ascii="Times New Roman" w:cs="Times New Roman" w:eastAsia="Times New Roman" w:hAnsi="Times New Roman"/>
          <w:sz w:val="19"/>
          <w:szCs w:val="19"/>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shall continue for sixty</w:t>
      </w:r>
    </w:p>
    <w:p>
      <w:pPr>
        <w:spacing w:after="0" w:line="6" w:lineRule="exact"/>
        <w:rPr>
          <w:rFonts w:ascii="Times New Roman" w:cs="Times New Roman" w:eastAsia="Times New Roman" w:hAnsi="Times New Roman"/>
          <w:sz w:val="19"/>
          <w:szCs w:val="19"/>
          <w:color w:val="auto"/>
        </w:rPr>
      </w:pPr>
    </w:p>
    <w:p>
      <w:pPr>
        <w:ind w:left="384" w:hanging="384"/>
        <w:spacing w:after="0"/>
        <w:tabs>
          <w:tab w:leader="none" w:pos="38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without having been dismissed, bonded or discharged; or</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121"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generally, to pay its debts as such debts become due; or</w:t>
      </w:r>
    </w:p>
    <w:p>
      <w:pPr>
        <w:spacing w:after="0" w:line="138"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34"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Any money judgment, writ or warrant of attachment or similar process involving in the aggregate at any time an amount in excess of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 of Consolidated Adjusted EBITDA for the most recently completed Test Period (exclusive of amounts covered by insurance provided by a solvent and unaffiliated insurance company that has not denied coverage in writing) shall be entered or filed against any Credit Party or any of its Restricted Subsidiaries or any of their</w:t>
      </w:r>
    </w:p>
    <w:p>
      <w:pPr>
        <w:spacing w:after="0" w:line="38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584"/>
          </w:cols>
          <w:pgMar w:left="976" w:top="1413" w:right="339"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20"/>
          <w:szCs w:val="20"/>
          <w:color w:val="auto"/>
        </w:rPr>
        <w:t>respective assets and shall remain undischarged, unvacated, unbonded or unstayed for a period of sixty (60) days; or</w:t>
      </w:r>
    </w:p>
    <w:p>
      <w:pPr>
        <w:spacing w:after="0" w:line="175" w:lineRule="exact"/>
        <w:rPr>
          <w:sz w:val="20"/>
          <w:szCs w:val="20"/>
          <w:color w:val="auto"/>
        </w:rPr>
      </w:pPr>
    </w:p>
    <w:p>
      <w:pPr>
        <w:ind w:left="1680" w:hanging="376"/>
        <w:spacing w:after="0"/>
        <w:tabs>
          <w:tab w:leader="none" w:pos="168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firstLine="644"/>
        <w:spacing w:after="0" w:line="283" w:lineRule="auto"/>
        <w:tabs>
          <w:tab w:leader="none" w:pos="1693"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There shall occur one or more ERISA Events which result in or would reasonably be expected to result in a Material Adverse Effect; or</w:t>
      </w:r>
    </w:p>
    <w:p>
      <w:pPr>
        <w:spacing w:after="0" w:line="9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occur;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0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Credit Documents</w:t>
      </w:r>
      <w:r>
        <w:rPr>
          <w:rFonts w:ascii="Times New Roman" w:cs="Times New Roman" w:eastAsia="Times New Roman" w:hAnsi="Times New Roman"/>
          <w:sz w:val="20"/>
          <w:szCs w:val="20"/>
          <w:color w:val="auto"/>
        </w:rPr>
        <w:t>. At any time after the execution and delivery thereof, (i) the Guaranty for any reason, other than the Payment in Full of all Obligations, shall cease to be in full force and effect (other than in accordance with its terms) or shall be declared to be null and void or any Guarantor shall repudiate its obligations thereunder, (ii) this Agreement or any material provision of any Collateral Document ceases to be in full force and effect (other than in accordance with its terms) or shall be declared null and void, in each case as to any material portion of the Collateral (other than by reason of a release of Collateral in accordance with the terms hereof or thereof or the Payment in Full of the Obligations),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4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2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Subordination Provisions; Intercreditor Provisions</w:t>
      </w:r>
      <w:r>
        <w:rPr>
          <w:rFonts w:ascii="Times New Roman" w:cs="Times New Roman" w:eastAsia="Times New Roman" w:hAnsi="Times New Roman"/>
          <w:sz w:val="20"/>
          <w:szCs w:val="20"/>
          <w:color w:val="auto"/>
        </w:rPr>
        <w:t>. The subordination provisions of the documents evidencing or governing any Junior Financing of a Credit Party or the intercreditor provisions of the documents evidencing or governing any Junior Financing of a Credit Party, in each case in a principal amount in excess of the greater of (x) $</w:t>
      </w:r>
      <w:r>
        <w:rPr>
          <w:rFonts w:ascii="Times New Roman" w:cs="Times New Roman" w:eastAsia="Times New Roman" w:hAnsi="Times New Roman"/>
          <w:sz w:val="20"/>
          <w:szCs w:val="20"/>
          <w:color w:val="FF0000"/>
          <w:strike w:val="1"/>
        </w:rPr>
        <w:t>26,820,000</w:t>
      </w:r>
      <w:r>
        <w:rPr>
          <w:rFonts w:ascii="Times New Roman" w:cs="Times New Roman" w:eastAsia="Times New Roman" w:hAnsi="Times New Roman"/>
          <w:sz w:val="20"/>
          <w:szCs w:val="20"/>
          <w:u w:val="single" w:color="auto"/>
          <w:color w:val="0000FF"/>
        </w:rPr>
        <w:t>32,835,000</w:t>
      </w:r>
      <w:r>
        <w:rPr>
          <w:rFonts w:ascii="Times New Roman" w:cs="Times New Roman" w:eastAsia="Times New Roman" w:hAnsi="Times New Roman"/>
          <w:sz w:val="20"/>
          <w:szCs w:val="20"/>
          <w:color w:val="auto"/>
        </w:rPr>
        <w:t xml:space="preserve"> and (y) 15% of Consolidated Adjusted EBITDA for the most recently completed Test Period shall, in any case, in whole or in part, terminate, cease to be effective or cease to be legally valid, binding and enforceable against any holder of the applicable Junior Financing, as applicable;</w:t>
      </w:r>
    </w:p>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THEN, (1) upon the occurrence of any Event of Default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xml:space="preserve"> automatically, and (2) upon the occurrence of any other Event of Default that is continuing, at the request of (or with the consent of) Requisite Lenders, upon notice to Borrower Representative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(I) cause Collateral Agent to enforce any and all Liens and security interests created pursuant to Collateral Documents, (II) require the Borrowers to Cash Collateralize the L/C Obligations (in an amount equal to the then Outstanding Amount thereof) and (III)</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1240"/>
          </w:cols>
          <w:pgMar w:left="320" w:top="1413"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exercise any and all of its other rights and remedies under applicable law, hereunder and under the other Credit Documents.</w:t>
      </w:r>
    </w:p>
    <w:p>
      <w:pPr>
        <w:spacing w:after="0" w:line="17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8.02</w:t>
      </w:r>
      <w:r>
        <w:rPr>
          <w:sz w:val="20"/>
          <w:szCs w:val="20"/>
          <w:color w:val="auto"/>
        </w:rPr>
        <w:tab/>
      </w:r>
      <w:r>
        <w:rPr>
          <w:rFonts w:ascii="Times New Roman" w:cs="Times New Roman" w:eastAsia="Times New Roman" w:hAnsi="Times New Roman"/>
          <w:sz w:val="19"/>
          <w:szCs w:val="19"/>
          <w:b w:val="1"/>
          <w:bCs w:val="1"/>
          <w:color w:val="auto"/>
        </w:rPr>
        <w:t>Application of Funds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2496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After the exercise of remedies provided for in </w:t>
      </w:r>
      <w:r>
        <w:rPr>
          <w:rFonts w:ascii="Times New Roman" w:cs="Times New Roman" w:eastAsia="Times New Roman" w:hAnsi="Times New Roman"/>
          <w:sz w:val="19"/>
          <w:szCs w:val="19"/>
          <w:u w:val="single" w:color="auto"/>
          <w:color w:val="auto"/>
        </w:rPr>
        <w:t>Section 8.01</w:t>
      </w:r>
      <w:r>
        <w:rPr>
          <w:rFonts w:ascii="Times New Roman" w:cs="Times New Roman" w:eastAsia="Times New Roman" w:hAnsi="Times New Roman"/>
          <w:sz w:val="19"/>
          <w:szCs w:val="19"/>
          <w:color w:val="auto"/>
        </w:rPr>
        <w:t xml:space="preserve"> (or immediately after an Event of Default specified in either clause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w:t>
      </w:r>
    </w:p>
    <w:p>
      <w:pPr>
        <w:spacing w:after="0" w:line="40" w:lineRule="exact"/>
        <w:rPr>
          <w:sz w:val="20"/>
          <w:szCs w:val="20"/>
          <w:color w:val="auto"/>
        </w:rPr>
      </w:pPr>
    </w:p>
    <w:p>
      <w:pPr>
        <w:ind w:right="20" w:firstLine="8"/>
        <w:spacing w:after="0" w:line="253" w:lineRule="auto"/>
        <w:tabs>
          <w:tab w:leader="none" w:pos="287" w:val="left"/>
        </w:tabs>
        <w:numPr>
          <w:ilvl w:val="0"/>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 amounts (other than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interest, but including Attorney Costs payable under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Sections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payable to Administrative Agent and Collateral Agent, in each case, in its capacity as such;</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in full of any Unfunded Advance/Participation (the amounts so applied to be distributed between or among,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Administrative Agent, the Swing Line Lender and the Issuing Banks on a pro rata basis in accordance with the amount of such Unfunded Advance/Participation owed to them on the date of the relevant distribution);</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Obligations constituting fees, indemnities and other amounts (other than principal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interest) payable to the Lenders and the Issuing Banks (including Attorney Costs payable under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Sections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ratably among them in proportion to the amounts described in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0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Obligations constituting accrued and unpaid interest on the Loans and L/C Borrowings,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any fees, premiums and scheduled periodic payments due under Cash Management Agreements or Secured Interest Rate Agreements, ratably among the Secured Parties in proportion to the respective amounts described in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0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payment of that portion of the Obligations constituting unpaid principal of the Loans and L/C Borrowings (including to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Collateralize that portion of L/C Obligations comprised of the aggregate undrawn amount of Letters of Credit), and any breakage, termination or other payments under Cash Management Agreements or Secured Interest Rate Agreements, ratably among the Secured Parties in proportion to the respective amounts described in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held by them;</w:t>
      </w:r>
    </w:p>
    <w:p>
      <w:pPr>
        <w:spacing w:after="0" w:line="11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the payment of all other Obligations of the Credit Parties that are due and payable to Administrative Agent and the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Secured Parties on such date, ratably based upon the respective aggregate amounts of all such Obligations owing to Administrative Agent and the other Secured Parties on such date; and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Obligations have been paid in full, to the Borrowers or as otherwise required by law.</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the foregoing, no amount received from any Guarantor shall be applied to any Excluded Swap Obligation of such Guarantor.</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amounts used to Cash Collateralize the aggregate undrawn amount of Letters of Credit pursuant to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shall be applied to satisfy drawings under such Letters of Credit as they occur. If any amount remains on deposit as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Collateral after all Letters of Credit have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83" w:lineRule="auto"/>
        <w:rPr>
          <w:sz w:val="20"/>
          <w:szCs w:val="20"/>
          <w:color w:val="auto"/>
        </w:rPr>
      </w:pPr>
      <w:r>
        <w:rPr>
          <w:rFonts w:ascii="Times New Roman" w:cs="Times New Roman" w:eastAsia="Times New Roman" w:hAnsi="Times New Roman"/>
          <w:sz w:val="20"/>
          <w:szCs w:val="20"/>
          <w:color w:val="auto"/>
        </w:rPr>
        <w:t>either been fully drawn or expired, such remaining amount shall be applied to the other Obligations, if any, in the order set forth above and, if no Obligations remain outstanding, to the Borrower.</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 notice, together with such supporting documentation as Administrative Agent may request, from the applicable Lender Counterparty or Cash Management Bank. Each Lender Counterparty or Cash Management Bank not a party to this Agreement that has given the notice contemplated by the preceding sentence shall, by such notice, be deemed to have acknowledged and accepted the appointment of Administrative Agent pursuant to the terms of Section 9 for itself and its Affiliates as if a “Lender” party hereto.</w:t>
      </w:r>
    </w:p>
    <w:p>
      <w:pPr>
        <w:spacing w:after="0" w:line="134"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Agents</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9.01 </w:t>
      </w:r>
      <w:r>
        <w:rPr>
          <w:rFonts w:ascii="Times New Roman" w:cs="Times New Roman" w:eastAsia="Times New Roman" w:hAnsi="Times New Roman"/>
          <w:sz w:val="19"/>
          <w:szCs w:val="19"/>
          <w:b w:val="1"/>
          <w:bCs w:val="1"/>
          <w:color w:val="auto"/>
        </w:rPr>
        <w:t>Appointment of Agents</w:t>
      </w:r>
      <w:r>
        <w:rPr>
          <w:rFonts w:ascii="Times New Roman" w:cs="Times New Roman" w:eastAsia="Times New Roman" w:hAnsi="Times New Roman"/>
          <w:sz w:val="19"/>
          <w:szCs w:val="19"/>
          <w:color w:val="auto"/>
        </w:rPr>
        <w:t xml:space="preserve">. (a) Each Lender (in its capacities as Lender and/or an Issuing Bank (if applicable), hereby irrevocably appoints Truist to act on its behalf as Administrative Agent hereunder and under the other Credit Documents for the benefit of the Secured Parties. The provisions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Times New Roman" w:cs="Times New Roman" w:eastAsia="Times New Roman" w:hAnsi="Times New Roman"/>
          <w:sz w:val="19"/>
          <w:szCs w:val="19"/>
          <w:u w:val="single" w:color="auto"/>
          <w:color w:val="auto"/>
        </w:rPr>
        <w:t>Section 2.06(b)</w:t>
      </w:r>
      <w:r>
        <w:rPr>
          <w:rFonts w:ascii="Times New Roman" w:cs="Times New Roman" w:eastAsia="Times New Roman" w:hAnsi="Times New Roman"/>
          <w:sz w:val="19"/>
          <w:szCs w:val="19"/>
          <w:color w:val="auto"/>
        </w:rPr>
        <w:t xml:space="preserve">). As of the Closing Date, the Lead Arrangers shall not have any obligations but shall be entitled to all the benefits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-955040</wp:posOffset>
            </wp:positionV>
            <wp:extent cx="1522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86" w:lineRule="exact"/>
        <w:rPr>
          <w:sz w:val="20"/>
          <w:szCs w:val="20"/>
          <w:color w:val="auto"/>
        </w:rPr>
      </w:pPr>
    </w:p>
    <w:p>
      <w:pPr>
        <w:jc w:val="both"/>
        <w:ind w:firstLine="1304"/>
        <w:spacing w:after="0" w:line="253" w:lineRule="auto"/>
        <w:tabs>
          <w:tab w:leader="none" w:pos="1861"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shall act on behalf of the Lenders with respect to any Letters of Credit issued by it and the documents associated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Issuing Bank shall have all of the benefits and immunities (i) provided to the Agents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in the definition of “Related Party” included such Issuing Bank with respect to such acts or omissions, and (ii) as additionally provided herein with respect to such Issuing Bank.</w:t>
      </w:r>
    </w:p>
    <w:p>
      <w:pPr>
        <w:spacing w:after="0" w:line="13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as though such co-agents, sub-agents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1240"/>
          </w:cols>
          <w:pgMar w:left="320" w:top="1413"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color w:val="auto"/>
        </w:rPr>
        <w:t>attorneys-in-fact were the “collateral agent” under the Credit Documents) as if set forth in full herein with respect thereto.</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9.02 </w:t>
      </w:r>
      <w:r>
        <w:rPr>
          <w:rFonts w:ascii="Times New Roman" w:cs="Times New Roman" w:eastAsia="Times New Roman" w:hAnsi="Times New Roman"/>
          <w:sz w:val="20"/>
          <w:szCs w:val="20"/>
          <w:b w:val="1"/>
          <w:bCs w:val="1"/>
          <w:color w:val="auto"/>
        </w:rPr>
        <w:t>Powers and Duties</w:t>
      </w:r>
      <w:r>
        <w:rPr>
          <w:rFonts w:ascii="Times New Roman" w:cs="Times New Roman" w:eastAsia="Times New Roman" w:hAnsi="Times New Roman"/>
          <w:sz w:val="20"/>
          <w:szCs w:val="20"/>
          <w:color w:val="auto"/>
        </w:rPr>
        <w:t xml:space="preserve">. Each Lender (in its capacities as a Lender and/or an Issuing Bank) irrevocably authorizes each Agent to take such 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or that may effect a forfeiture, modification or termination of property of a Defaulting Lender in violation of any Debtor Relief Law. Each Agent may exercise such powers, rights and remedies and perform such duties by or through its agents or employees. No Agent shall have, by reason hereof or any of the other Credit Documents, a fiduciary relationship in respect of any Lender (or any other Secured Party),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-2134870</wp:posOffset>
            </wp:positionV>
            <wp:extent cx="1149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2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b w:val="1"/>
          <w:bCs w:val="1"/>
          <w:color w:val="auto"/>
        </w:rPr>
        <w:t>General Immunity</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127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61" w:lineRule="auto"/>
        <w:tabs>
          <w:tab w:leader="none" w:pos="175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27"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46"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or elsewhere herein, other than to confirm receipt of items expressly required to be delivered to Administrative Agent;</w:t>
      </w:r>
    </w:p>
    <w:p>
      <w:pPr>
        <w:spacing w:after="0" w:line="138" w:lineRule="exact"/>
        <w:rPr>
          <w:rFonts w:ascii="Times New Roman" w:cs="Times New Roman" w:eastAsia="Times New Roman" w:hAnsi="Times New Roman"/>
          <w:sz w:val="20"/>
          <w:szCs w:val="20"/>
          <w:color w:val="auto"/>
        </w:rPr>
      </w:pPr>
    </w:p>
    <w:p>
      <w:pPr>
        <w:jc w:val="both"/>
        <w:ind w:firstLine="1952"/>
        <w:spacing w:after="0" w:line="258" w:lineRule="auto"/>
        <w:tabs>
          <w:tab w:leader="none" w:pos="2408"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or (2) in the absence of its own gross negligence or willful misconduct as determined by the final and non-appealable judgment of a court of competent jurisdiction;</w:t>
      </w:r>
    </w:p>
    <w:p>
      <w:pPr>
        <w:spacing w:after="0" w:line="118"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47"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1240"/>
          </w:cols>
          <w:pgMar w:left="320" w:top="1413" w:right="339" w:bottom="1440" w:gutter="0" w:footer="0" w:header="0"/>
        </w:sectPr>
      </w:pPr>
    </w:p>
    <w:bookmarkStart w:id="199" w:name="page200"/>
    <w:bookmarkEnd w:id="199"/>
    <w:p>
      <w:pPr>
        <w:spacing w:after="0" w:line="283" w:lineRule="auto"/>
        <w:rPr>
          <w:sz w:val="20"/>
          <w:szCs w:val="20"/>
          <w:color w:val="auto"/>
        </w:rPr>
      </w:pPr>
      <w:r>
        <w:rPr>
          <w:rFonts w:ascii="Times New Roman" w:cs="Times New Roman" w:eastAsia="Times New Roman" w:hAnsi="Times New Roman"/>
          <w:sz w:val="20"/>
          <w:szCs w:val="20"/>
          <w:color w:val="auto"/>
        </w:rPr>
        <w:t>arising under any agency doctrine of any applicable law and instead, such term is used merely as a matter of market custom, and is intended to create or reflect only an administrative relationship between independent contracting parties;</w:t>
      </w:r>
    </w:p>
    <w:p>
      <w:pPr>
        <w:spacing w:after="0" w:line="92" w:lineRule="exact"/>
        <w:rPr>
          <w:sz w:val="20"/>
          <w:szCs w:val="20"/>
          <w:color w:val="auto"/>
        </w:rPr>
      </w:pPr>
    </w:p>
    <w:p>
      <w:pPr>
        <w:jc w:val="both"/>
        <w:ind w:firstLine="1952"/>
        <w:spacing w:after="0" w:line="257" w:lineRule="auto"/>
        <w:tabs>
          <w:tab w:leader="none" w:pos="24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118" w:lineRule="exact"/>
        <w:rPr>
          <w:rFonts w:ascii="Times New Roman" w:cs="Times New Roman" w:eastAsia="Times New Roman" w:hAnsi="Times New Roman"/>
          <w:sz w:val="20"/>
          <w:szCs w:val="20"/>
          <w:color w:val="auto"/>
        </w:rPr>
      </w:pPr>
    </w:p>
    <w:p>
      <w:pPr>
        <w:jc w:val="both"/>
        <w:ind w:firstLine="1952"/>
        <w:spacing w:after="0" w:line="261" w:lineRule="auto"/>
        <w:tabs>
          <w:tab w:leader="none" w:pos="23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Credit Documents, have any duty to disclose, and shall not be liable for the failure to disclose, any information relating to the Initial Borrower or any of its Affiliates that is communicated to or obtained by the Person serving as Administrative Agent or any of its Affiliates in any capacity;</w:t>
      </w:r>
    </w:p>
    <w:p>
      <w:pPr>
        <w:spacing w:after="0" w:line="127"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3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the negligence or misconduct of any sub-agent that it selects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9.11</w:t>
      </w:r>
      <w:r>
        <w:rPr>
          <w:rFonts w:ascii="Times New Roman" w:cs="Times New Roman" w:eastAsia="Times New Roman" w:hAnsi="Times New Roman"/>
          <w:sz w:val="20"/>
          <w:szCs w:val="20"/>
          <w:color w:val="auto"/>
        </w:rPr>
        <w:t xml:space="preserve"> absent bad faith, gross negligence or willful misconduct by Administrative Agent (as determined in a final non-appealable judgment by a court of competent jurisdiction) in the selection of such sub-agents; and</w:t>
      </w:r>
    </w:p>
    <w:p>
      <w:pPr>
        <w:spacing w:after="0" w:line="127" w:lineRule="exact"/>
        <w:rPr>
          <w:rFonts w:ascii="Times New Roman" w:cs="Times New Roman" w:eastAsia="Times New Roman" w:hAnsi="Times New Roman"/>
          <w:sz w:val="20"/>
          <w:szCs w:val="20"/>
          <w:color w:val="auto"/>
        </w:rPr>
      </w:pPr>
    </w:p>
    <w:p>
      <w:pPr>
        <w:jc w:val="both"/>
        <w:ind w:firstLine="1952"/>
        <w:spacing w:after="0" w:line="253" w:lineRule="auto"/>
        <w:tabs>
          <w:tab w:leader="none" w:pos="267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 Each Agent may consult with legal counsel (who may be counsel for the Borrowers), independent accountants and other expects selected by it, and shall not be liable for any action taken or not taken by it in accordance with the advice of any such counsel, accountants or experts.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Representative shall promptly (and, in any case, not less than three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1240"/>
          </w:cols>
          <w:pgMar w:left="320" w:top="1413" w:right="339" w:bottom="1440" w:gutter="0" w:footer="0" w:header="0"/>
        </w:sectPr>
      </w:pPr>
    </w:p>
    <w:bookmarkStart w:id="200" w:name="page201"/>
    <w:bookmarkEnd w:id="200"/>
    <w:p>
      <w:pPr>
        <w:jc w:val="both"/>
        <w:ind w:firstLine="8"/>
        <w:spacing w:after="0" w:line="261" w:lineRule="auto"/>
        <w:tabs>
          <w:tab w:leader="none" w:pos="30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(or such shorter period as agreed to by Administrative Agent) prior to the proposed effective date of any amendment, consent or waiver pursuant to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provide to Administrative Agent, a complete list of all Affiliated Lenders holding Term Loans at such time.</w:t>
      </w:r>
    </w:p>
    <w:p>
      <w:pPr>
        <w:spacing w:after="0" w:line="1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 required to be filed or recorded pursuant to the Credit Documents and the notification to Administrative Agent, of, among other things, the upcoming lapse or expiration thereof, and that each of such service providers will be deemed to be acting at the request and on behalf of Borrowers and the other Credit Parties. Administrative Agent shall not be liable for any action taken or not taken by any such service provider. Neither Administrative Agent nor any of its officers, partners, directors, employees or agents shall be liable to the Lenders for any action taken or omitted by Administrative Agent under or in connection with any of the Credit Documents.</w:t>
      </w:r>
    </w:p>
    <w:p>
      <w:pPr>
        <w:spacing w:after="0" w:line="139" w:lineRule="exact"/>
        <w:rPr>
          <w:sz w:val="20"/>
          <w:szCs w:val="20"/>
          <w:color w:val="auto"/>
        </w:rPr>
      </w:pPr>
    </w:p>
    <w:p>
      <w:pPr>
        <w:jc w:val="both"/>
        <w:ind w:firstLine="1304"/>
        <w:spacing w:after="0" w:line="250" w:lineRule="auto"/>
        <w:tabs>
          <w:tab w:leader="none" w:pos="1967"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9.04 </w:t>
      </w:r>
      <w:r>
        <w:rPr>
          <w:rFonts w:ascii="Times New Roman" w:cs="Times New Roman" w:eastAsia="Times New Roman" w:hAnsi="Times New Roman"/>
          <w:sz w:val="20"/>
          <w:szCs w:val="20"/>
          <w:b w:val="1"/>
          <w:bCs w:val="1"/>
          <w:color w:val="auto"/>
        </w:rPr>
        <w:t>Agents Entitled to Act as Lender</w:t>
      </w:r>
      <w:r>
        <w:rPr>
          <w:rFonts w:ascii="Times New Roman" w:cs="Times New Roman" w:eastAsia="Times New Roman" w:hAnsi="Times New Roman"/>
          <w:sz w:val="20"/>
          <w:szCs w:val="20"/>
          <w:color w:val="auto"/>
        </w:rPr>
        <w:t>. The agency hereby created shall in no way impair or affect any of the rights 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-1242060</wp:posOffset>
            </wp:positionV>
            <wp:extent cx="1925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25320" cy="8890"/>
                    </a:xfrm>
                    <a:prstGeom prst="rect">
                      <a:avLst/>
                    </a:prstGeom>
                    <a:noFill/>
                  </pic:spPr>
                </pic:pic>
              </a:graphicData>
            </a:graphic>
          </wp:anchor>
        </w:drawing>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9.05 </w:t>
      </w:r>
      <w:r>
        <w:rPr>
          <w:rFonts w:ascii="Times New Roman" w:cs="Times New Roman" w:eastAsia="Times New Roman" w:hAnsi="Times New Roman"/>
          <w:sz w:val="20"/>
          <w:szCs w:val="20"/>
          <w:b w:val="1"/>
          <w:bCs w:val="1"/>
          <w:color w:val="auto"/>
        </w:rPr>
        <w:t>Lenders’ Representations, Warranties and Acknowledgment</w:t>
      </w:r>
      <w:r>
        <w:rPr>
          <w:rFonts w:ascii="Times New Roman" w:cs="Times New Roman" w:eastAsia="Times New Roman" w:hAnsi="Times New Roman"/>
          <w:sz w:val="20"/>
          <w:szCs w:val="20"/>
          <w:color w:val="auto"/>
        </w:rPr>
        <w:t xml:space="preserve">. (a) Each Lender and each Issuing Bank represents and warrants that it has made its own independent investigation and credit analysis of the financial condition and affairs of the Initial Borrower and its Subsidiaries based on the financial statements referred to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 such other documents and information as it has deemed appropriate in connection with Credit Extensions hereunder and that it has made and shall continue to make its own appraisal of the creditworthiness of the Initial Borrower and its Subsidiaries. Administrative Agent shall not have any duty or responsibility, either initially or on a continuing basis,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-789940</wp:posOffset>
            </wp:positionV>
            <wp:extent cx="35267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26790"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1240"/>
          </w:cols>
          <w:pgMar w:left="320" w:top="1413" w:right="339" w:bottom="1440" w:gutter="0" w:footer="0" w:header="0"/>
        </w:sectPr>
      </w:pPr>
    </w:p>
    <w:bookmarkStart w:id="201" w:name="page202"/>
    <w:bookmarkEnd w:id="201"/>
    <w:p>
      <w:pPr>
        <w:jc w:val="both"/>
        <w:spacing w:after="0" w:line="258" w:lineRule="auto"/>
        <w:rPr>
          <w:sz w:val="20"/>
          <w:szCs w:val="20"/>
          <w:color w:val="auto"/>
        </w:rPr>
      </w:pPr>
      <w:r>
        <w:rPr>
          <w:rFonts w:ascii="Times New Roman" w:cs="Times New Roman" w:eastAsia="Times New Roman" w:hAnsi="Times New Roman"/>
          <w:sz w:val="20"/>
          <w:szCs w:val="20"/>
          <w:color w:val="auto"/>
        </w:rPr>
        <w:t>make any such investigation or any such appraisal on behalf of Lenders and any Issuing Bank or to provide any Lender or any Issuing Bank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 or the Issuing Bank.</w:t>
      </w:r>
    </w:p>
    <w:p>
      <w:pPr>
        <w:spacing w:after="0" w:line="118" w:lineRule="exact"/>
        <w:rPr>
          <w:sz w:val="20"/>
          <w:szCs w:val="20"/>
          <w:color w:val="auto"/>
        </w:rPr>
      </w:pPr>
    </w:p>
    <w:p>
      <w:pPr>
        <w:jc w:val="both"/>
        <w:ind w:firstLine="656"/>
        <w:spacing w:after="0" w:line="258" w:lineRule="auto"/>
        <w:tabs>
          <w:tab w:leader="none" w:pos="110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by delivering its signature page to this Agreement as of the Closing Date or thereafter pursuant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and/or funding its Initial Term Loans and/or Revolving Loans on the Closing Date </w:t>
      </w:r>
      <w:r>
        <w:rPr>
          <w:rFonts w:ascii="Times New Roman" w:cs="Times New Roman" w:eastAsia="Times New Roman" w:hAnsi="Times New Roman"/>
          <w:sz w:val="20"/>
          <w:szCs w:val="20"/>
          <w:color w:val="0000FF"/>
        </w:rPr>
        <w:t>or thereafter</w:t>
      </w:r>
      <w:r>
        <w:rPr>
          <w:rFonts w:ascii="Times New Roman" w:cs="Times New Roman" w:eastAsia="Times New Roman" w:hAnsi="Times New Roman"/>
          <w:sz w:val="20"/>
          <w:szCs w:val="20"/>
          <w:color w:val="auto"/>
        </w:rPr>
        <w:t>, shall be deemed to have acknowledged receipt of, and/or consented to and approved, each Credit Document and each other document required to be approved by Administrative Agent, the Requisite Lenders and/or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-338455</wp:posOffset>
            </wp:positionV>
            <wp:extent cx="6743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9.06 </w:t>
      </w:r>
      <w:r>
        <w:rPr>
          <w:rFonts w:ascii="Times New Roman" w:cs="Times New Roman" w:eastAsia="Times New Roman" w:hAnsi="Times New Roman"/>
          <w:sz w:val="19"/>
          <w:szCs w:val="19"/>
          <w:b w:val="1"/>
          <w:bCs w:val="1"/>
          <w:color w:val="auto"/>
        </w:rPr>
        <w:t>Right to Indemnity</w:t>
      </w:r>
      <w:r>
        <w:rPr>
          <w:rFonts w:ascii="Times New Roman" w:cs="Times New Roman" w:eastAsia="Times New Roman" w:hAnsi="Times New Roman"/>
          <w:sz w:val="19"/>
          <w:szCs w:val="19"/>
          <w:color w:val="auto"/>
        </w:rPr>
        <w:t>. Each Lender, in proportion to its Pro Rata Share, severally agrees to indemnify Administrative Agent, Issuing Bank, their respective Affiliates and their respective officers, partners, directors, trustees, employees, attorneys-in-fact, administrators, managers, advisors, representatives and agents of Administrative Agent and its Affiliates, as applicable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Agent Party</w:t>
      </w:r>
      <w:r>
        <w:rPr>
          <w:rFonts w:ascii="Times New Roman" w:cs="Times New Roman" w:eastAsia="Times New Roman" w:hAnsi="Times New Roman"/>
          <w:sz w:val="19"/>
          <w:szCs w:val="19"/>
          <w:color w:val="auto"/>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Times New Roman" w:cs="Times New Roman" w:eastAsia="Times New Roman" w:hAnsi="Times New Roman"/>
          <w:sz w:val="19"/>
          <w:szCs w:val="19"/>
          <w:u w:val="single" w:color="auto"/>
          <w:color w:val="auto"/>
        </w:rPr>
        <w:t>Indemnified Costs</w:t>
      </w:r>
      <w:r>
        <w:rPr>
          <w:rFonts w:ascii="Times New Roman" w:cs="Times New Roman" w:eastAsia="Times New Roman" w:hAnsi="Times New Roman"/>
          <w:sz w:val="19"/>
          <w:szCs w:val="19"/>
          <w:color w:val="auto"/>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action taken in accordance with the direction of the Requisite Lenders shall be deemed to constitute gross negligence or willful misconduct for purposes of this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Borrowers under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to the extent that such Indemnitee Agent Party is not promptly reimbursed for such costs and expenses by the Borrower 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reimbursement by the Lenders pursuant to this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9.06</w:t>
      </w:r>
      <w:r>
        <w:rPr>
          <w:rFonts w:ascii="Times New Roman" w:cs="Times New Roman" w:eastAsia="Times New Roman" w:hAnsi="Times New Roman"/>
          <w:sz w:val="19"/>
          <w:szCs w:val="19"/>
          <w:color w:val="auto"/>
        </w:rPr>
        <w:t xml:space="preserve"> applies whether any such investigation, litigation or proceeding is brought by any Lender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-3345815</wp:posOffset>
            </wp:positionV>
            <wp:extent cx="1194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35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9.07 </w:t>
      </w:r>
      <w:r>
        <w:rPr>
          <w:rFonts w:ascii="Times New Roman" w:cs="Times New Roman" w:eastAsia="Times New Roman" w:hAnsi="Times New Roman"/>
          <w:sz w:val="20"/>
          <w:szCs w:val="20"/>
          <w:b w:val="1"/>
          <w:bCs w:val="1"/>
          <w:color w:val="auto"/>
        </w:rPr>
        <w:t>Successor Agents</w:t>
      </w:r>
      <w:r>
        <w:rPr>
          <w:rFonts w:ascii="Times New Roman" w:cs="Times New Roman" w:eastAsia="Times New Roman" w:hAnsi="Times New Roman"/>
          <w:sz w:val="20"/>
          <w:szCs w:val="20"/>
          <w:color w:val="auto"/>
        </w:rPr>
        <w:t>. Any Agent may resign at any time by giving thirty (30) days’ prior written notice thereof to the Lenders, each Issuing Bank and the Borrower Representative. Upon notice of such resignation, the Requisite Lenders shall have the right to appoint a successor Agent (which, unless a Specified Event of Default has occurred and is continuing at the time of such appointment,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1076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1240"/>
          </w:cols>
          <w:pgMar w:left="320" w:top="1413" w:right="339" w:bottom="1440" w:gutter="0" w:footer="0" w:header="0"/>
        </w:sectPr>
      </w:pPr>
    </w:p>
    <w:bookmarkStart w:id="202" w:name="page203"/>
    <w:bookmarkEnd w:id="202"/>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subject to the prior written consent of the Borrower Representative, which consent shall not be unreasonably withheld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 Specified Event of Default shall have occurred and is continuing, shall be subject to the prior written consent of the Borrower Representative, which consent shall not be unreasonably withheld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and, in the case of a successor Collateral Agent, upon the execution and filing or recording of such financing statements, or amendments thereto, and such other instruments or notices, as may be necessary or desirable, or as the Requisite Lenders may reasonably request, in order to continue the perfection of the Liens granted or purported to be granted by the Collateral Documents,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Times New Roman" w:cs="Times New Roman" w:eastAsia="Times New Roman" w:hAnsi="Times New Roman"/>
          <w:sz w:val="19"/>
          <w:szCs w:val="19"/>
          <w:u w:val="single" w:color="auto"/>
          <w:color w:val="auto"/>
        </w:rPr>
        <w:t>Section 9.07</w:t>
      </w:r>
      <w:r>
        <w:rPr>
          <w:rFonts w:ascii="Times New Roman" w:cs="Times New Roman" w:eastAsia="Times New Roman" w:hAnsi="Times New Roman"/>
          <w:sz w:val="19"/>
          <w:szCs w:val="19"/>
          <w:color w:val="auto"/>
        </w:rPr>
        <w:t xml:space="preserve"> no successor Agent shall have been appointed and shall have accepted such appointment, then on such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Arrangers under this </w:t>
      </w:r>
      <w:r>
        <w:rPr>
          <w:rFonts w:ascii="Times New Roman" w:cs="Times New Roman" w:eastAsia="Times New Roman" w:hAnsi="Times New Roman"/>
          <w:sz w:val="19"/>
          <w:szCs w:val="19"/>
          <w:u w:val="single" w:color="auto"/>
          <w:color w:val="auto"/>
        </w:rPr>
        <w:t>Section 9.07</w:t>
      </w:r>
      <w:r>
        <w:rPr>
          <w:rFonts w:ascii="Times New Roman" w:cs="Times New Roman" w:eastAsia="Times New Roman" w:hAnsi="Times New Roman"/>
          <w:sz w:val="19"/>
          <w:szCs w:val="19"/>
          <w:color w:val="auto"/>
        </w:rPr>
        <w:t>.</w:t>
      </w:r>
    </w:p>
    <w:p>
      <w:pPr>
        <w:spacing w:after="0" w:line="36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Any resignation by Truist as Administrative Agent pursuant to this </w:t>
      </w:r>
      <w:r>
        <w:rPr>
          <w:rFonts w:ascii="Times New Roman" w:cs="Times New Roman" w:eastAsia="Times New Roman" w:hAnsi="Times New Roman"/>
          <w:sz w:val="19"/>
          <w:szCs w:val="19"/>
          <w:u w:val="single" w:color="auto"/>
          <w:color w:val="auto"/>
        </w:rPr>
        <w:t>Section 9.07</w:t>
      </w:r>
      <w:r>
        <w:rPr>
          <w:rFonts w:ascii="Times New Roman" w:cs="Times New Roman" w:eastAsia="Times New Roman" w:hAnsi="Times New Roman"/>
          <w:sz w:val="19"/>
          <w:szCs w:val="19"/>
          <w:color w:val="auto"/>
        </w:rPr>
        <w:t xml:space="preserve"> shall also constitute its resignation as Issuing Bank and Swing Line Lender, in which case such resigning Issuing Bank and Swing Line Lender (x) shall not be required to issue any further Letters of Credit or extend any further Swing Line Loans hereunder and (y) shall maintain all of its rights as Issuing Bank or Swing Line Lender with respect to any Letters of Credit issued by it or Swing Line Loans extended by it, as applicable, prior to the date of such resignation so long as such Letters of Credit, L/C Obligations or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and Swing Line Lender,</w:t>
      </w:r>
    </w:p>
    <w:p>
      <w:pPr>
        <w:jc w:val="both"/>
        <w:ind w:firstLine="8"/>
        <w:spacing w:after="0" w:line="251" w:lineRule="auto"/>
        <w:tabs>
          <w:tab w:leader="none" w:pos="291"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retiring Issuing Bank and Swing Line Lender shall be discharged from all of their respective duties and obligations hereunder or under the other Credit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9.08</w:t>
      </w:r>
      <w:r>
        <w:rPr>
          <w:sz w:val="20"/>
          <w:szCs w:val="20"/>
          <w:color w:val="auto"/>
        </w:rPr>
        <w:tab/>
      </w:r>
      <w:r>
        <w:rPr>
          <w:rFonts w:ascii="Times New Roman" w:cs="Times New Roman" w:eastAsia="Times New Roman" w:hAnsi="Times New Roman"/>
          <w:sz w:val="19"/>
          <w:szCs w:val="19"/>
          <w:b w:val="1"/>
          <w:bCs w:val="1"/>
          <w:color w:val="auto"/>
        </w:rPr>
        <w:t>Collateral Documents and Guaranty</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2083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8" w:lineRule="auto"/>
        <w:tabs>
          <w:tab w:leader="none" w:pos="180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Agents under Collateral Documents and Guaranty</w:t>
      </w:r>
      <w:r>
        <w:rPr>
          <w:rFonts w:ascii="Times New Roman" w:cs="Times New Roman" w:eastAsia="Times New Roman" w:hAnsi="Times New Roman"/>
          <w:sz w:val="20"/>
          <w:szCs w:val="20"/>
          <w:color w:val="auto"/>
        </w:rPr>
        <w:t>.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 the Guaranty,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1240"/>
          </w:cols>
          <w:pgMar w:left="320" w:top="1413" w:right="339" w:bottom="1440" w:gutter="0" w:footer="0" w:header="0"/>
        </w:sectPr>
      </w:pPr>
    </w:p>
    <w:bookmarkStart w:id="203" w:name="page204"/>
    <w:bookmarkEnd w:id="203"/>
    <w:p>
      <w:pPr>
        <w:jc w:val="both"/>
        <w:spacing w:after="0" w:line="264" w:lineRule="auto"/>
        <w:rPr>
          <w:sz w:val="20"/>
          <w:szCs w:val="20"/>
          <w:color w:val="auto"/>
        </w:rPr>
      </w:pPr>
      <w:r>
        <w:rPr>
          <w:rFonts w:ascii="Times New Roman" w:cs="Times New Roman" w:eastAsia="Times New Roman" w:hAnsi="Times New Roman"/>
          <w:sz w:val="19"/>
          <w:szCs w:val="19"/>
          <w:color w:val="auto"/>
        </w:rPr>
        <w:t>Collateral and the Collateral Documents. Without further written consent or authorization from Lenders, Administrative Agent or Collateral Agent, as applicable, (i) may enter into and sign for and on behalf of the Lenders as Secured Parties, the Collateral Documents for the benefit of the Lenders and the other Secured Parties, (ii) upon the request of the Borrower Representative, will promptly execute any documents or instruments necessary to release any Liens on any property granted to or held by Collateral Agent under any Credit Document and to terminate the perfection of such Liens (1) upon termination of all Commitments and Payment in Full of all Obligations and the Credit Parties agree to enter into a customary payoff letter, customary release and/or other similar agreement in respect thereto with Administrative Agent,</w:t>
      </w:r>
    </w:p>
    <w:p>
      <w:pPr>
        <w:spacing w:after="0" w:line="4" w:lineRule="exact"/>
        <w:rPr>
          <w:sz w:val="20"/>
          <w:szCs w:val="20"/>
          <w:color w:val="auto"/>
        </w:rPr>
      </w:pPr>
    </w:p>
    <w:p>
      <w:pPr>
        <w:jc w:val="both"/>
        <w:ind w:firstLine="8"/>
        <w:spacing w:after="0" w:line="248" w:lineRule="auto"/>
        <w:tabs>
          <w:tab w:leader="none" w:pos="292"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property is the subject of a sale or other disposition of assets permitted by this Agreement or under any other Credit Document, (3) to which Requisite Lenders (or such other Lenders as may be required to give such consent under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have otherwise consented, approved, authorized or ratified in writing, (4) to the extent such property is owned by a Subsidiary Guarantor that is released from its obligations pursuant to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and (5) upon such property constituting Excluded Assets and (iii) upon the request of the Borrower Representative, will promptly release or (if acceptable to the applicable secured creditor) subordinate any Lien on a property granted to or held by Collateral Agent under any Credit Document to the holder of any Lien on such property that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Upon request by Administrative Agent or Collateral Agent at any time, the Requisite Lenders (or, if necessary, all Lenders) will promptly confirm in writing the authority of the Agents to release its interest in particular types or items of property, or to release any Guarantor from its obligations under the applicable Guaranty pursuant to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Administrative Agent and Collateral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release such Guarantor from its obligations under the applicable Guaranty, in each case, in accordance with the terms of the Credit Documents and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jc w:val="both"/>
        <w:ind w:firstLine="1304"/>
        <w:spacing w:after="0" w:line="250" w:lineRule="auto"/>
        <w:tabs>
          <w:tab w:leader="none" w:pos="184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Realize on Collateral and Enforce Guaranty</w:t>
      </w:r>
      <w:r>
        <w:rPr>
          <w:rFonts w:ascii="Times New Roman" w:cs="Times New Roman" w:eastAsia="Times New Roman" w:hAnsi="Times New Roman"/>
          <w:sz w:val="20"/>
          <w:szCs w:val="20"/>
          <w:color w:val="auto"/>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 (ii) 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 any of the Obligations as a credit on account of the purchase price for any Collateral payable by Collateral Agent at such sale or other disposition.</w:t>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9.09 </w:t>
      </w:r>
      <w:r>
        <w:rPr>
          <w:rFonts w:ascii="Times New Roman" w:cs="Times New Roman" w:eastAsia="Times New Roman" w:hAnsi="Times New Roman"/>
          <w:sz w:val="20"/>
          <w:szCs w:val="20"/>
          <w:b w:val="1"/>
          <w:bCs w:val="1"/>
          <w:color w:val="auto"/>
        </w:rPr>
        <w:t>Cash Management Agreements and Secured Interest Rate Agreements</w:t>
      </w:r>
      <w:r>
        <w:rPr>
          <w:rFonts w:ascii="Times New Roman" w:cs="Times New Roman" w:eastAsia="Times New Roman" w:hAnsi="Times New Roman"/>
          <w:sz w:val="20"/>
          <w:szCs w:val="20"/>
          <w:color w:val="auto"/>
        </w:rPr>
        <w:t xml:space="preserve">. Except as otherwise expressly set forth herein, no Cash Management Bank or Lender Counterparty that obtains the benefits of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any Guaranty or any Collateral by virtue of the provisions hereof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-342265</wp:posOffset>
            </wp:positionV>
            <wp:extent cx="39281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28110"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1240"/>
          </w:cols>
          <w:pgMar w:left="320" w:top="1413" w:right="339" w:bottom="1440" w:gutter="0" w:footer="0" w:header="0"/>
        </w:sectPr>
      </w:pPr>
    </w:p>
    <w:bookmarkStart w:id="204" w:name="page205"/>
    <w:bookmarkEnd w:id="20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Collateral Document shall have any right to notice of any action or to consent to or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to the contrary, Administrative Agent shall not be required to verify the payment of, or that other satisfactory arrangements have been made with respect to, Obligations arising under Cash Management Agreements and Secured Interest Rate Agreements unless Administrative Agent has received written notice of such Obligations, together with such supporting documentation as Administrative Agent may request, from the applicable Cash Management Bank or Lender Counterparty, as the case may be.</w:t>
      </w:r>
    </w:p>
    <w:p>
      <w:pPr>
        <w:spacing w:after="0" w:line="125" w:lineRule="exact"/>
        <w:rPr>
          <w:sz w:val="20"/>
          <w:szCs w:val="20"/>
          <w:color w:val="auto"/>
        </w:rPr>
      </w:pPr>
    </w:p>
    <w:p>
      <w:pPr>
        <w:jc w:val="both"/>
        <w:ind w:firstLine="257"/>
        <w:spacing w:after="0" w:line="258" w:lineRule="auto"/>
        <w:rPr>
          <w:sz w:val="20"/>
          <w:szCs w:val="20"/>
          <w:color w:val="auto"/>
        </w:rPr>
      </w:pPr>
      <w:r>
        <w:rPr>
          <w:rFonts w:ascii="Times New Roman" w:cs="Times New Roman" w:eastAsia="Times New Roman" w:hAnsi="Times New Roman"/>
          <w:sz w:val="20"/>
          <w:szCs w:val="20"/>
          <w:color w:val="auto"/>
        </w:rPr>
        <w:t>The Lender Counterparties hereby authorize Administrative Agent to enter into any Acceptable Intercreditor Agreement, Subordination Agreement or other intercreditor agreement or subordination agreement permitted under this Agreement, and any amendment, modification, supplement or joinder with respect thereto, and any such intercreditor agreement or subordination agreement is binding upon the Lender Counterparties.</w:t>
      </w:r>
    </w:p>
    <w:p>
      <w:pPr>
        <w:spacing w:after="0" w:line="1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b w:val="1"/>
          <w:bCs w:val="1"/>
          <w:color w:val="auto"/>
        </w:rPr>
        <w:t>Administrative Agent May File Proofs of Claim</w:t>
      </w:r>
      <w:r>
        <w:rPr>
          <w:rFonts w:ascii="Times New Roman" w:cs="Times New Roman" w:eastAsia="Times New Roman" w:hAnsi="Times New Roman"/>
          <w:sz w:val="20"/>
          <w:szCs w:val="20"/>
          <w:color w:val="auto"/>
        </w:rPr>
        <w:t>. In case of the pendency of any receivership, insolvency, liquidation, bankruptcy, reorganization, arrangement, adjustment, composition or other judicial proceeding related to any Credit Party, Administrative Agent (irrespective of whether the principal of any Loan or L/C Obligation shall then be due and payable as herein expressed or by declaration or otherwise and irrespective of whether Administrative Agent shall have made any demand on the Borrower Representative)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-635000</wp:posOffset>
            </wp:positionV>
            <wp:extent cx="28352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35275" cy="8255"/>
                    </a:xfrm>
                    <a:prstGeom prst="rect">
                      <a:avLst/>
                    </a:prstGeom>
                    <a:noFill/>
                  </pic:spPr>
                </pic:pic>
              </a:graphicData>
            </a:graphic>
          </wp:anchor>
        </w:drawing>
      </w:r>
    </w:p>
    <w:p>
      <w:pPr>
        <w:spacing w:after="0" w:line="117" w:lineRule="exact"/>
        <w:rPr>
          <w:sz w:val="20"/>
          <w:szCs w:val="20"/>
          <w:color w:val="auto"/>
        </w:rPr>
      </w:pPr>
    </w:p>
    <w:p>
      <w:pPr>
        <w:jc w:val="both"/>
        <w:ind w:firstLine="1304"/>
        <w:spacing w:after="0" w:line="253" w:lineRule="auto"/>
        <w:tabs>
          <w:tab w:leader="none" w:pos="1751"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allowed in such judicial proceeding; and</w:t>
      </w:r>
    </w:p>
    <w:p>
      <w:pPr>
        <w:spacing w:after="0" w:line="124"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 of any Lender or any other Secured Party or to authorize Administrative Agent to vote in respect of the claim of any Lender or any other Secured Party in any such proceeding.</w:t>
      </w:r>
    </w:p>
    <w:p>
      <w:pPr>
        <w:spacing w:after="0" w:line="1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color w:val="auto"/>
        </w:rPr>
        <w:t>Delegation of Duties</w:t>
      </w:r>
      <w:r>
        <w:rPr>
          <w:rFonts w:ascii="Times New Roman" w:cs="Times New Roman" w:eastAsia="Times New Roman" w:hAnsi="Times New Roman"/>
          <w:sz w:val="20"/>
          <w:szCs w:val="20"/>
          <w:color w:val="auto"/>
        </w:rPr>
        <w:t>. Administrative Agent and/or Collateral Agent may perform any and all of its duties and exercise its rights and powers hereunder or under any other Credit Document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-211455</wp:posOffset>
            </wp:positionV>
            <wp:extent cx="12674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1240"/>
          </w:cols>
          <w:pgMar w:left="320" w:top="1413" w:right="339" w:bottom="1440" w:gutter="0" w:footer="0" w:header="0"/>
        </w:sectPr>
      </w:pPr>
    </w:p>
    <w:bookmarkStart w:id="205" w:name="page206"/>
    <w:bookmarkEnd w:id="20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or through any one or more co-agents, sub agents or attorneys-in-fact appointed by Administrative Agent and/or Collateral Agent. Administrative Agent and/or Collateral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apply to any such sub agent and to the Related Parties of Administrative Agent and/or Collateral Agent and any such sub agent, and shall apply to their respective activities in connection with the syndication of the credit facilities provided for herein as well as activities as Administrative Agent. Administrative Agent and/or Collateral Agent shall not be responsible for the negligence or misconduct of any sub agents, except to the extent that a court of competent jurisdiction determines in a final and non-appealable judgment that Administrative Agent or Collateral Agent, as applicable, acted with gross negligence or willful misconduct in the selection of such sub agents. Notwithstanding anything herein to the contrary, with respect to each sub-agent appointed by Administrative Agent and/or Collateral Agent, (i) 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14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b w:val="1"/>
          <w:bCs w:val="1"/>
          <w:color w:val="auto"/>
        </w:rPr>
        <w:t>Lead Arrangers Have No Liability</w:t>
      </w:r>
      <w:r>
        <w:rPr>
          <w:rFonts w:ascii="Times New Roman" w:cs="Times New Roman" w:eastAsia="Times New Roman" w:hAnsi="Times New Roman"/>
          <w:sz w:val="20"/>
          <w:szCs w:val="20"/>
          <w:color w:val="auto"/>
        </w:rPr>
        <w:t>. It is understood and agreed that no Lead Arranger shall have any duties, responsibilities or liabilities under or in respect of this Agreement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-194310</wp:posOffset>
            </wp:positionV>
            <wp:extent cx="19919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spacing w:after="0" w:line="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b w:val="1"/>
          <w:bCs w:val="1"/>
          <w:color w:val="auto"/>
        </w:rPr>
        <w:t>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2750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49" w:lineRule="auto"/>
        <w:tabs>
          <w:tab w:leader="none" w:pos="180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an Issuing Bank or any other Secured Party, or any Person who has received funds on behalf of a Lender, an Issuing Bank or any other Secured Party (any such Lender, Issuing Bank,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other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1240"/>
          </w:cols>
          <w:pgMar w:left="320" w:top="1413"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0"/>
          <w:szCs w:val="20"/>
          <w:color w:val="auto"/>
        </w:rPr>
        <w:t xml:space="preserve">Administrative Agent to any Payment Recipient under this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shall be conclusive, absent manifest error.</w:t>
      </w:r>
    </w:p>
    <w:p>
      <w:pPr>
        <w:spacing w:after="0" w:line="175" w:lineRule="exact"/>
        <w:rPr>
          <w:sz w:val="20"/>
          <w:szCs w:val="20"/>
          <w:color w:val="auto"/>
        </w:rPr>
      </w:pPr>
    </w:p>
    <w:p>
      <w:pPr>
        <w:jc w:val="both"/>
        <w:ind w:firstLine="1304"/>
        <w:spacing w:after="0" w:line="251" w:lineRule="auto"/>
        <w:tabs>
          <w:tab w:leader="none" w:pos="1802"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immediately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each Lender, each Issuing Bank, each Secured Party, or any other Person who has received funds on behalf of a Lender, an Issuing Bank or any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27" w:lineRule="exact"/>
        <w:rPr>
          <w:rFonts w:ascii="Times New Roman" w:cs="Times New Roman" w:eastAsia="Times New Roman" w:hAnsi="Times New Roman"/>
          <w:sz w:val="20"/>
          <w:szCs w:val="20"/>
          <w:color w:val="auto"/>
        </w:rPr>
      </w:pPr>
    </w:p>
    <w:p>
      <w:pPr>
        <w:jc w:val="both"/>
        <w:ind w:firstLine="1952"/>
        <w:spacing w:after="0" w:line="268" w:lineRule="auto"/>
        <w:tabs>
          <w:tab w:leader="none" w:pos="2422"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07" w:lineRule="exact"/>
        <w:rPr>
          <w:rFonts w:ascii="Times New Roman" w:cs="Times New Roman" w:eastAsia="Times New Roman" w:hAnsi="Times New Roman"/>
          <w:sz w:val="20"/>
          <w:szCs w:val="20"/>
          <w:color w:val="auto"/>
        </w:rPr>
      </w:pPr>
    </w:p>
    <w:p>
      <w:pPr>
        <w:jc w:val="both"/>
        <w:ind w:firstLine="1952"/>
        <w:spacing w:after="0" w:line="258" w:lineRule="auto"/>
        <w:tabs>
          <w:tab w:leader="none" w:pos="240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Bank or other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9.15(b)</w:t>
      </w:r>
      <w:r>
        <w:rPr>
          <w:rFonts w:ascii="Times New Roman" w:cs="Times New Roman" w:eastAsia="Times New Roman" w:hAnsi="Times New Roman"/>
          <w:sz w:val="20"/>
          <w:szCs w:val="20"/>
          <w:color w:val="auto"/>
        </w:rPr>
        <w:t>.</w:t>
      </w:r>
    </w:p>
    <w:p>
      <w:pPr>
        <w:spacing w:after="0" w:line="13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1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and other Secured Party hereby authorizes the Administrative Agent to set off, net and apply any and all amounts at any time owing to such Lender, Issuing Bank or other Secured Party under any Credit Document, or otherwise payable or distributable by the Administrative Agent to such Lender, Issuing Bank or other Secured Party from any source, against any amount due to the Administrative Agent under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under the indemnification provisions of this Agreement.</w:t>
      </w:r>
    </w:p>
    <w:p>
      <w:pPr>
        <w:spacing w:after="0" w:line="13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2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Erroneous Payment (or portion thereof) is not recovered by the Administrative Agent for any reason, after demand therefor by the Administrative Agent in accordance with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 Impacted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the Borrower Representative) deemed to execute and deliver an Assignment Agreement (or, to the extent applicable, an agreement incorporating an Assignment Agreement by reference pursuant to a Platform as to which the Administrative Agent and such parties are participants) with respect to such Erroneous Payment Deficiency Assignment, and such Lender or Issuing Bank shall deliver any promissory notes evidencing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1240"/>
          </w:cols>
          <w:pgMar w:left="320" w:top="1413" w:right="339" w:bottom="1440" w:gutter="0" w:footer="0" w:header="0"/>
        </w:sectPr>
      </w:pPr>
    </w:p>
    <w:bookmarkStart w:id="207" w:name="page208"/>
    <w:bookmarkEnd w:id="207"/>
    <w:p>
      <w:pPr>
        <w:jc w:val="both"/>
        <w:spacing w:after="0" w:line="264" w:lineRule="auto"/>
        <w:rPr>
          <w:sz w:val="20"/>
          <w:szCs w:val="20"/>
          <w:color w:val="auto"/>
        </w:rPr>
      </w:pPr>
      <w:r>
        <w:rPr>
          <w:rFonts w:ascii="Times New Roman" w:cs="Times New Roman" w:eastAsia="Times New Roman" w:hAnsi="Times New Roman"/>
          <w:sz w:val="19"/>
          <w:szCs w:val="19"/>
          <w:color w:val="auto"/>
        </w:rPr>
        <w:t>such Loans to the Borrower Representative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w:t>
      </w:r>
    </w:p>
    <w:p>
      <w:pPr>
        <w:spacing w:after="0" w:line="4" w:lineRule="exact"/>
        <w:rPr>
          <w:sz w:val="20"/>
          <w:szCs w:val="20"/>
          <w:color w:val="auto"/>
        </w:rPr>
      </w:pPr>
    </w:p>
    <w:p>
      <w:pPr>
        <w:jc w:val="both"/>
        <w:ind w:firstLine="8"/>
        <w:spacing w:after="0" w:line="249" w:lineRule="auto"/>
        <w:tabs>
          <w:tab w:leader="none" w:pos="35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other Secured Party under the Credit Documents with respect to each Erroneous Payment Return Deficiency.</w:t>
      </w:r>
    </w:p>
    <w:p>
      <w:pPr>
        <w:spacing w:after="0" w:line="12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2"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Borrowers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such Erroneous Payment.</w:t>
      </w:r>
    </w:p>
    <w:p>
      <w:pPr>
        <w:spacing w:after="0" w:line="11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 xml:space="preserve">Each party’s obligations, agreements and waivers under this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shall survive the resignation or replacement of the Administrative Agent, any transfer of rights or obligations by, or the replacement of, a Lender or Issuing Bank, and/or the payment in full of the Obligations.</w:t>
      </w:r>
    </w:p>
    <w:p>
      <w:pPr>
        <w:spacing w:after="0" w:line="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b w:val="1"/>
          <w:bCs w:val="1"/>
          <w:color w:val="auto"/>
        </w:rPr>
        <w:t>Certain ERISA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-8255</wp:posOffset>
            </wp:positionV>
            <wp:extent cx="1409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54" w:lineRule="auto"/>
        <w:tabs>
          <w:tab w:leader="none" w:pos="185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33" w:lineRule="exact"/>
        <w:rPr>
          <w:rFonts w:ascii="Times New Roman" w:cs="Times New Roman" w:eastAsia="Times New Roman" w:hAnsi="Times New Roman"/>
          <w:sz w:val="20"/>
          <w:szCs w:val="20"/>
          <w:color w:val="auto"/>
        </w:rPr>
      </w:pPr>
    </w:p>
    <w:p>
      <w:pPr>
        <w:ind w:firstLine="1952"/>
        <w:spacing w:after="0" w:line="283" w:lineRule="auto"/>
        <w:tabs>
          <w:tab w:leader="none" w:pos="2366"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1240"/>
          </w:cols>
          <w:pgMar w:left="320" w:top="1413"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0"/>
          <w:szCs w:val="20"/>
          <w:color w:val="auto"/>
        </w:rPr>
        <w:t>participation in, administration of and performance of the Loans, the Credit Extensions the Commitments or this Agreement,</w:t>
      </w:r>
    </w:p>
    <w:p>
      <w:pPr>
        <w:spacing w:after="0" w:line="175" w:lineRule="exact"/>
        <w:rPr>
          <w:sz w:val="20"/>
          <w:szCs w:val="20"/>
          <w:color w:val="auto"/>
        </w:rPr>
      </w:pPr>
    </w:p>
    <w:p>
      <w:pPr>
        <w:jc w:val="both"/>
        <w:ind w:firstLine="1952"/>
        <w:spacing w:after="0" w:line="253" w:lineRule="auto"/>
        <w:tabs>
          <w:tab w:leader="none" w:pos="2462"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Credit Extensions, the Commitments and this Agreement,</w:t>
      </w:r>
    </w:p>
    <w:p>
      <w:pPr>
        <w:spacing w:after="0" w:line="12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32"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Credit Extensions, the Commitments and this Agreement, (C) the entrance into, participation in, administration of and performance of the Loans, the Credit Extensions,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Credit Extensions, the Commitments and this Agreement, or</w:t>
      </w:r>
    </w:p>
    <w:p>
      <w:pPr>
        <w:spacing w:after="0" w:line="125" w:lineRule="exact"/>
        <w:rPr>
          <w:rFonts w:ascii="Times New Roman" w:cs="Times New Roman" w:eastAsia="Times New Roman" w:hAnsi="Times New Roman"/>
          <w:sz w:val="20"/>
          <w:szCs w:val="20"/>
          <w:color w:val="auto"/>
        </w:rPr>
      </w:pPr>
    </w:p>
    <w:p>
      <w:pPr>
        <w:ind w:firstLine="1952"/>
        <w:spacing w:after="0" w:line="283" w:lineRule="auto"/>
        <w:tabs>
          <w:tab w:leader="none" w:pos="252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Credit Extensions, the Commitments and this Agreement (including in connection with the reservation or exercise of any rights by the Administrative Agent under this Agreement, any Credit Document or any documents related hereto or thereto).</w:t>
      </w:r>
    </w:p>
    <w:p>
      <w:pPr>
        <w:spacing w:after="0" w:line="12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516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3" w:lineRule="auto"/>
        <w:tabs>
          <w:tab w:leader="none" w:pos="171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Unless otherwise specifically provided herein, any notice or other communication herein required or permitted to be given to a Credit Party or any Agent shall be sent to such Person’s address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in the other relevant Credit Documents, and in the case of any Lender, the address as indicated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otherwise indicated to Administrative Agent in writing. Each notice hereunder shall be in writing and may be personally served, sent by facsimile or e-mail or mailed by certified or registered mail or overnight courier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e-mail or facsimile shall be deemed to have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1240"/>
          </w:cols>
          <w:pgMar w:left="320" w:top="1413" w:right="339" w:bottom="1440" w:gutter="0" w:footer="0" w:header="0"/>
        </w:sectPr>
      </w:pPr>
    </w:p>
    <w:bookmarkStart w:id="209" w:name="page210"/>
    <w:bookmarkEnd w:id="209"/>
    <w:p>
      <w:pPr>
        <w:spacing w:after="0" w:line="283" w:lineRule="auto"/>
        <w:rPr>
          <w:sz w:val="20"/>
          <w:szCs w:val="20"/>
          <w:color w:val="auto"/>
        </w:rPr>
      </w:pPr>
      <w:r>
        <w:rPr>
          <w:rFonts w:ascii="Times New Roman" w:cs="Times New Roman" w:eastAsia="Times New Roman" w:hAnsi="Times New Roman"/>
          <w:sz w:val="20"/>
          <w:szCs w:val="20"/>
          <w:color w:val="auto"/>
        </w:rPr>
        <w:t>been given when sent (except that, if not given during normal business hours for the recipient, shall be deemed to have been given at the opening of business on the next Business Day for the recipient).</w:t>
      </w:r>
    </w:p>
    <w:p>
      <w:pPr>
        <w:spacing w:after="0" w:line="92" w:lineRule="exact"/>
        <w:rPr>
          <w:sz w:val="20"/>
          <w:szCs w:val="20"/>
          <w:color w:val="auto"/>
        </w:rPr>
      </w:pPr>
    </w:p>
    <w:p>
      <w:pPr>
        <w:jc w:val="both"/>
        <w:ind w:firstLine="1304"/>
        <w:spacing w:after="0" w:line="251" w:lineRule="auto"/>
        <w:tabs>
          <w:tab w:leader="none" w:pos="173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the Swing Line Lender and the Issuing Bank hereunder may be delivered or furnished by electronic communication (including e-mail and Internet or intranet websites, including the Platform)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the Swing Line Lender or the Issuing Bank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if such Lender, the Swing Line Lender or the Issuing Bank, as applicable, has notified Administrative Agent that it is incapable of receiving notices under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by electronic communication. Administrative Agent or the Borrower Representative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25" w:lineRule="exact"/>
        <w:rPr>
          <w:sz w:val="20"/>
          <w:szCs w:val="20"/>
          <w:color w:val="auto"/>
        </w:rPr>
      </w:pPr>
    </w:p>
    <w:p>
      <w:pPr>
        <w:ind w:firstLine="1304"/>
        <w:spacing w:after="0" w:line="283" w:lineRule="auto"/>
        <w:tabs>
          <w:tab w:leader="none" w:pos="175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Any party hereto may change its address or telecopier number or electronic mail address for notices and other communications hereunder by written notice to the other parties hereto.</w:t>
      </w:r>
    </w:p>
    <w:p>
      <w:pPr>
        <w:spacing w:after="0" w:line="9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6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Posting</w:t>
      </w:r>
      <w:r>
        <w:rPr>
          <w:rFonts w:ascii="Times New Roman" w:cs="Times New Roman" w:eastAsia="Times New Roman" w:hAnsi="Times New Roman"/>
          <w:sz w:val="20"/>
          <w:szCs w:val="20"/>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by transmitting the Communications in an electronic/soft medium 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shall prejudice the right of the Agents, any Lender or any Credit Party to give any notice or other communication pursuant to this Agreement or any other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1240"/>
          </w:cols>
          <w:pgMar w:left="320" w:top="1413"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color w:val="auto"/>
        </w:rPr>
        <w:t>Credit Document in any other manner specified in this Agreement or any other Credit Document or as any such Agent shall require.</w:t>
      </w:r>
    </w:p>
    <w:p>
      <w:pPr>
        <w:spacing w:after="0" w:line="175" w:lineRule="exact"/>
        <w:rPr>
          <w:sz w:val="20"/>
          <w:szCs w:val="20"/>
          <w:color w:val="auto"/>
        </w:rPr>
      </w:pPr>
    </w:p>
    <w:p>
      <w:pPr>
        <w:jc w:val="both"/>
        <w:ind w:firstLine="1304"/>
        <w:spacing w:after="0" w:line="265" w:lineRule="auto"/>
        <w:tabs>
          <w:tab w:leader="none" w:pos="174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Each Credit Party further agrees that any Agent may make the Communications available to the Lenders by posting the Communications on IntraLinks or SyndTrak or a substantially similar secure electronic transmission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non-appealable judgment by a court of competent jurisdiction to have resulted from such Person’s bad faith, gross negligence or willful misconduct.</w:t>
      </w:r>
    </w:p>
    <w:p>
      <w:pPr>
        <w:spacing w:after="0" w:line="113" w:lineRule="exact"/>
        <w:rPr>
          <w:rFonts w:ascii="Times New Roman" w:cs="Times New Roman" w:eastAsia="Times New Roman" w:hAnsi="Times New Roman"/>
          <w:sz w:val="19"/>
          <w:szCs w:val="19"/>
          <w:color w:val="auto"/>
        </w:rPr>
      </w:pPr>
    </w:p>
    <w:p>
      <w:pPr>
        <w:ind w:left="1700" w:hanging="396"/>
        <w:spacing w:after="0"/>
        <w:tabs>
          <w:tab w:leader="none" w:pos="17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Public/Private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50" w:lineRule="auto"/>
        <w:tabs>
          <w:tab w:leader="none" w:pos="2354"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authorizes Administrative Agent to distribute (A) to Public Siders (as defined below) all Communications that the Borrower Representative identifies in writing contains no MNPI (“</w:t>
      </w:r>
      <w:r>
        <w:rPr>
          <w:rFonts w:ascii="Times New Roman" w:cs="Times New Roman" w:eastAsia="Times New Roman" w:hAnsi="Times New Roman"/>
          <w:sz w:val="20"/>
          <w:szCs w:val="20"/>
          <w:u w:val="single" w:color="auto"/>
          <w:color w:val="auto"/>
        </w:rPr>
        <w:t>Public Side Communications</w:t>
      </w:r>
      <w:r>
        <w:rPr>
          <w:rFonts w:ascii="Times New Roman" w:cs="Times New Roman" w:eastAsia="Times New Roman" w:hAnsi="Times New Roman"/>
          <w:sz w:val="20"/>
          <w:szCs w:val="20"/>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Times New Roman" w:cs="Times New Roman" w:eastAsia="Times New Roman" w:hAnsi="Times New Roman"/>
          <w:sz w:val="20"/>
          <w:szCs w:val="20"/>
          <w:u w:val="single" w:color="auto"/>
          <w:color w:val="auto"/>
        </w:rPr>
        <w:t>Private Side Communications</w:t>
      </w:r>
      <w:r>
        <w:rPr>
          <w:rFonts w:ascii="Times New Roman" w:cs="Times New Roman" w:eastAsia="Times New Roman" w:hAnsi="Times New Roman"/>
          <w:sz w:val="20"/>
          <w:szCs w:val="20"/>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as Private Side Communications. “</w:t>
      </w:r>
      <w:r>
        <w:rPr>
          <w:rFonts w:ascii="Times New Roman" w:cs="Times New Roman" w:eastAsia="Times New Roman" w:hAnsi="Times New Roman"/>
          <w:sz w:val="20"/>
          <w:szCs w:val="20"/>
          <w:u w:val="single" w:color="auto"/>
          <w:color w:val="auto"/>
        </w:rPr>
        <w:t>Private Siders</w:t>
      </w:r>
      <w:r>
        <w:rPr>
          <w:rFonts w:ascii="Times New Roman" w:cs="Times New Roman" w:eastAsia="Times New Roman" w:hAnsi="Times New Roman"/>
          <w:sz w:val="20"/>
          <w:szCs w:val="20"/>
          <w:color w:val="auto"/>
        </w:rPr>
        <w:t>” means Lenders that have personnel who wish to receive MNPI. “</w:t>
      </w:r>
      <w:r>
        <w:rPr>
          <w:rFonts w:ascii="Times New Roman" w:cs="Times New Roman" w:eastAsia="Times New Roman" w:hAnsi="Times New Roman"/>
          <w:sz w:val="20"/>
          <w:szCs w:val="20"/>
          <w:u w:val="single" w:color="auto"/>
          <w:color w:val="auto"/>
        </w:rPr>
        <w:t>Public Siders</w:t>
      </w:r>
      <w:r>
        <w:rPr>
          <w:rFonts w:ascii="Times New Roman" w:cs="Times New Roman" w:eastAsia="Times New Roman" w:hAnsi="Times New Roman"/>
          <w:sz w:val="20"/>
          <w:szCs w:val="20"/>
          <w:color w:val="auto"/>
        </w:rPr>
        <w:t>” means Lenders that have personnel who do not wish to receive MNPI; it being understood that Public Siders may be engaged in investment and other market-related activities with respect to PRTH’s, the Borrowers’ or their respective Affiliates’ securities or loans. “</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 means material non-public information (within the meaning of U.S. federal and state securities laws) with respect to PRTH, the Initial Borrower, its Affiliates, its Subsidiaries and any of their respective securities.</w:t>
      </w:r>
    </w:p>
    <w:p>
      <w:pPr>
        <w:spacing w:after="0" w:line="125" w:lineRule="exact"/>
        <w:rPr>
          <w:rFonts w:ascii="Times New Roman" w:cs="Times New Roman" w:eastAsia="Times New Roman" w:hAnsi="Times New Roman"/>
          <w:sz w:val="20"/>
          <w:szCs w:val="20"/>
          <w:color w:val="auto"/>
        </w:rPr>
      </w:pPr>
    </w:p>
    <w:p>
      <w:pPr>
        <w:jc w:val="both"/>
        <w:ind w:firstLine="1952"/>
        <w:spacing w:after="0" w:line="258" w:lineRule="auto"/>
        <w:tabs>
          <w:tab w:leader="none" w:pos="2465"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3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81"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1240"/>
          </w:cols>
          <w:pgMar w:left="320" w:top="1413" w:right="339" w:bottom="1440" w:gutter="0" w:footer="0" w:header="0"/>
        </w:sectPr>
      </w:pPr>
    </w:p>
    <w:bookmarkStart w:id="211" w:name="page212"/>
    <w:bookmarkEnd w:id="211"/>
    <w:p>
      <w:pPr>
        <w:jc w:val="both"/>
        <w:spacing w:after="0" w:line="261" w:lineRule="auto"/>
        <w:rPr>
          <w:sz w:val="20"/>
          <w:szCs w:val="20"/>
          <w:color w:val="auto"/>
        </w:rPr>
      </w:pPr>
      <w:r>
        <w:rPr>
          <w:rFonts w:ascii="Times New Roman" w:cs="Times New Roman" w:eastAsia="Times New Roman" w:hAnsi="Times New Roman"/>
          <w:sz w:val="20"/>
          <w:szCs w:val="20"/>
          <w:color w:val="auto"/>
        </w:rPr>
        <w:t>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127" w:lineRule="exact"/>
        <w:rPr>
          <w:sz w:val="20"/>
          <w:szCs w:val="20"/>
          <w:color w:val="auto"/>
        </w:rPr>
      </w:pPr>
    </w:p>
    <w:p>
      <w:pPr>
        <w:jc w:val="both"/>
        <w:ind w:firstLine="1304"/>
        <w:spacing w:after="0" w:line="252" w:lineRule="auto"/>
        <w:tabs>
          <w:tab w:leader="none" w:pos="173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Issuing Bank and Lenders</w:t>
      </w:r>
      <w:r>
        <w:rPr>
          <w:rFonts w:ascii="Times New Roman" w:cs="Times New Roman" w:eastAsia="Times New Roman" w:hAnsi="Times New Roman"/>
          <w:sz w:val="20"/>
          <w:szCs w:val="20"/>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10.02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xml:space="preserve">. The Borrowers shall pay, promptly following written demand therefor: (i) (A) all reasonable and documented out-of-pocket expenses incurred by the Agents and their respective Affiliates in connection with the syndication of the credit facilities provided for herein (including the obtaining and maintaining of CUSIP numbers for the Loans), the preparation, negotiation, execution and delivery of the Agreement and other Credit Documents and (B) all reasonable and documented out-of-pocket costs and expenses incurred by Administrative Agent, Collateral Agent and their respective Affiliates in connection with the administration of this Agreement and the other Credit Documents, the monitoring and perfection of Liens and any amendment, amendment and restatement, modification or waiver of the provisions hereof or thereof (whether or not the transactions contemplated hereby or thereby shall be consummated), including in connection with post-closing costs and expenses, including costs related to searches to confirm that security filings and recordations have been properly made (limited,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to the reasonable and documented out-of-pocket fees charges and disbursements of one counsel to the Lead Arrangers, Administrative Agent, Collateral Agent and their respective Affiliates, taken as a whole, and, if reasonably necessary, one local counsel in any relevant jurisdiction, in each case, incurred in connection with the Facilities and any related documentation (including this Agreement and any other Credit Document)), (ii) all reasonable and documented out-of-pocket expenses incurred by the Issuing Bank in connection with the issuance, amendment or extension of any Letter of Credit or any demand for payment thereunder, (iii) all reasonable and documented out-of-pocket expenses incurred by the Swing Line Lender in connection with any Swing Line Loans or amendment, renewal or extension thereof or any demand for payment thereunder, (iv) all reasonable and documented out-of-pocket expenses incurred by the Lead Arrangers, Administrative Agent, Collateral Agent, any Lender or the Issuing Bank and their respective Affiliates (limited to the reasonable and documented out-of-pocket fees, charges and disbursements of one counsel to the Agents, the Lenders and the Issuing Bank and their respective Affiliates, taken as a whole, and after notice to the Borrower Representative,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after notice to the Borrower Representative, one additional counsel in each relevant jurisdiction due to an actual or perceived conflict of interest for each group of similarly affected parties) (including, upon consultation with the Borrower Representative, consultants, for Administrative Agent, Collateral Agent, any Lender or the Issuing Bank) in connection with the enforcement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-3498850</wp:posOffset>
            </wp:positionV>
            <wp:extent cx="6210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1240"/>
          </w:cols>
          <w:pgMar w:left="320" w:top="1413" w:right="339" w:bottom="1440" w:gutter="0" w:footer="0" w:header="0"/>
        </w:sectPr>
      </w:pPr>
    </w:p>
    <w:bookmarkStart w:id="212" w:name="page213"/>
    <w:bookmarkEnd w:id="21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protection of its rights (A) in connection with this Agreement and the other Credit Documents, including its rights under this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or (B) in connection with the Loans made or Letters of Credit issued hereunder, including all such out-of-pocket expenses incurred during any workout, restructuring or negotiations in respect of such Loans or Letters of Credit.</w:t>
      </w:r>
    </w:p>
    <w:p>
      <w:pPr>
        <w:spacing w:after="0" w:line="12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10.03</w:t>
      </w:r>
      <w:r>
        <w:rPr>
          <w:sz w:val="20"/>
          <w:szCs w:val="20"/>
          <w:color w:val="auto"/>
        </w:rPr>
        <w:tab/>
      </w:r>
      <w:r>
        <w:rPr>
          <w:rFonts w:ascii="Times New Roman" w:cs="Times New Roman" w:eastAsia="Times New Roman" w:hAnsi="Times New Roman"/>
          <w:sz w:val="19"/>
          <w:szCs w:val="19"/>
          <w:b w:val="1"/>
          <w:bCs w:val="1"/>
          <w:color w:val="auto"/>
        </w:rPr>
        <w:t>Indemnity</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683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48" w:lineRule="auto"/>
        <w:tabs>
          <w:tab w:leader="none" w:pos="178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indemnify the Lead Arrangers, Administrative Agent (and any sub-agent thereof), Collateral Agent (and any sub-agent thereof), each Lender, the Issuing Bank, the Swing Line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penalties, costs, reasonable and documented out-of-pocket and invoiced expenses other than Taxes (limited to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or (iii) any actual or alleged presence or Release or threatened Release of Hazardous Materials on, at, under or from any Real Estate Asset or facility now or hereafter owned, leased or operated by any Credit Party or any of their Subsidiaries at any time, or any Environmental Claim related in any way to any Credit Party or any of their Subsidiaries, or (iv) any actual or prospective claim, litigation, investigation or proceeding relating to any of the foregoing, whether based on contract, tort or any other theory, whether brought by a third party or by the Borrowers or any other Person,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(w) are determined in a final and non-appealable judgment of a court of competent jurisdiction to have resulted from the bad faith, gross negligence or willful misconduct of such Indemnitee or its Related Parties, (x) are caused following foreclosure by any Indemnitee or following any Indemnitee having become the successor-in-interest to any Credit Party, (y) result from a claim brought by the Borrowers or any other Credit Party against an Indemnitee or its Related Parties for material breach of such Indemnitee’s obligations hereunder or under any other Credit Document (as determined by a court of competent jurisdiction in a final and non-appealable decision) or (z) arise from disputes arising solely among Indemnitees, other than any claims against an Indemnitee in its capacity or in fulfilling its role as Administrative Agent, Collateral Agent, the Issuing Bank, the Swing Line Lender or a Lead Arranger (or other Agent role) under this Agreement or the other Credit Documents, that do not involve any act or omission by the Borrowers or any of their respective Restricted Subsidiaries or Affiliates.</w:t>
      </w:r>
    </w:p>
    <w:p>
      <w:pPr>
        <w:spacing w:after="0" w:line="16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1240"/>
          </w:cols>
          <w:pgMar w:left="320" w:top="1413" w:right="339" w:bottom="1440" w:gutter="0" w:footer="0" w:header="0"/>
        </w:sectPr>
      </w:pPr>
    </w:p>
    <w:bookmarkStart w:id="213" w:name="page214"/>
    <w:bookmarkEnd w:id="21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agreement or instrument contemplated hereby, the transactions contemplated hereby or thereby, any Loan or Letter of Credit or the use of the proceeds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in this sentence shall limit the Credit Parties’ indemnification obligations pursuant to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to the extent set forth therein to the extent such special, indirect, consequential or punitive damages are included in any third party claim in connection with which such Indemnitee is entitled to indemnification hereunder.</w:t>
      </w:r>
    </w:p>
    <w:p>
      <w:pPr>
        <w:spacing w:after="0" w:line="118" w:lineRule="exact"/>
        <w:rPr>
          <w:sz w:val="20"/>
          <w:szCs w:val="20"/>
          <w:color w:val="auto"/>
        </w:rPr>
      </w:pPr>
    </w:p>
    <w:p>
      <w:pPr>
        <w:jc w:val="both"/>
        <w:ind w:firstLine="1304"/>
        <w:spacing w:after="0" w:line="268" w:lineRule="auto"/>
        <w:tabs>
          <w:tab w:leader="none" w:pos="180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Section 10.03 (other than amounts required to be paid on the Closing Date pursuant to </w:t>
      </w:r>
      <w:r>
        <w:rPr>
          <w:rFonts w:ascii="Times New Roman" w:cs="Times New Roman" w:eastAsia="Times New Roman" w:hAnsi="Times New Roman"/>
          <w:sz w:val="20"/>
          <w:szCs w:val="20"/>
          <w:u w:val="single" w:color="auto"/>
          <w:color w:val="auto"/>
        </w:rPr>
        <w:t>Section 3.01(h)</w:t>
      </w:r>
      <w:r>
        <w:rPr>
          <w:rFonts w:ascii="Times New Roman" w:cs="Times New Roman" w:eastAsia="Times New Roman" w:hAnsi="Times New Roman"/>
          <w:sz w:val="20"/>
          <w:szCs w:val="20"/>
          <w:color w:val="auto"/>
        </w:rPr>
        <w:t>) shall be payable not later than thirty (30) Business Days after written demand (including detailed invoices) therefor.</w:t>
      </w:r>
    </w:p>
    <w:p>
      <w:pPr>
        <w:spacing w:after="0" w:line="10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obligations of the Credit Parties under this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2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10.04 </w:t>
      </w:r>
      <w:r>
        <w:rPr>
          <w:rFonts w:ascii="Times New Roman" w:cs="Times New Roman" w:eastAsia="Times New Roman" w:hAnsi="Times New Roman"/>
          <w:sz w:val="20"/>
          <w:szCs w:val="20"/>
          <w:b w:val="1"/>
          <w:bCs w:val="1"/>
          <w:color w:val="auto"/>
        </w:rPr>
        <w:t>Set-Off</w:t>
      </w:r>
      <w:r>
        <w:rPr>
          <w:rFonts w:ascii="Times New Roman" w:cs="Times New Roman" w:eastAsia="Times New Roman" w:hAnsi="Times New Roman"/>
          <w:sz w:val="20"/>
          <w:szCs w:val="20"/>
          <w:color w:val="auto"/>
        </w:rPr>
        <w:t xml:space="preserve">. In addition to any rights now or hereafter granted under applicable law and not by way of limitation of any such rights, upon the occurrence and during the continuation of any Event of Default, each Lender and its Affiliates are hereby authorized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the Issuing Bank and their respective Affiliates under this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are in addition to other rights and remedies (including other rights of setoff) that such Lender, the Issuing Bank or their respective Affiliates may have. Any Person exercising rights of set-off under this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use its reasonable efforts to provide to the Borrower Representative and Administrative Agent prompt notice of the exercise of such rights;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failure of such Person to provide such notice shall not in any manner affect the validity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-2589530</wp:posOffset>
            </wp:positionV>
            <wp:extent cx="5505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2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10.05</w:t>
      </w:r>
      <w:r>
        <w:rPr>
          <w:sz w:val="20"/>
          <w:szCs w:val="20"/>
          <w:color w:val="auto"/>
        </w:rPr>
        <w:tab/>
      </w:r>
      <w:r>
        <w:rPr>
          <w:rFonts w:ascii="Times New Roman" w:cs="Times New Roman" w:eastAsia="Times New Roman" w:hAnsi="Times New Roman"/>
          <w:sz w:val="19"/>
          <w:szCs w:val="19"/>
          <w:b w:val="1"/>
          <w:bCs w:val="1"/>
          <w:color w:val="auto"/>
        </w:rPr>
        <w:t>Amendments and Waivers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1535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35430"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8" w:lineRule="auto"/>
        <w:tabs>
          <w:tab w:leader="none" w:pos="1835"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Requisite Lenders’ Consent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10.05(b)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10.05(c)</w:t>
      </w:r>
      <w:r>
        <w:rPr>
          <w:rFonts w:ascii="Times New Roman" w:cs="Times New Roman" w:eastAsia="Times New Roman" w:hAnsi="Times New Roman"/>
          <w:sz w:val="20"/>
          <w:szCs w:val="20"/>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31" w:lineRule="exact"/>
        <w:rPr>
          <w:rFonts w:ascii="Times New Roman" w:cs="Times New Roman" w:eastAsia="Times New Roman" w:hAnsi="Times New Roman"/>
          <w:sz w:val="20"/>
          <w:szCs w:val="20"/>
          <w:color w:val="auto"/>
        </w:rPr>
      </w:pPr>
    </w:p>
    <w:p>
      <w:pPr>
        <w:ind w:right="20" w:firstLine="1304"/>
        <w:spacing w:after="0" w:line="269" w:lineRule="auto"/>
        <w:tabs>
          <w:tab w:leader="none" w:pos="173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Affected Lenders’ Consent</w:t>
      </w:r>
      <w:r>
        <w:rPr>
          <w:rFonts w:ascii="Times New Roman" w:cs="Times New Roman" w:eastAsia="Times New Roman" w:hAnsi="Times New Roman"/>
          <w:sz w:val="20"/>
          <w:szCs w:val="20"/>
          <w:color w:val="auto"/>
        </w:rPr>
        <w:t>. Without the written consent of each Lender (other than a Defaulting Lender) that would be directly and adversely affected thereby (but not the consent of</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1240"/>
          </w:cols>
          <w:pgMar w:left="320" w:top="1413"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color w:val="auto"/>
        </w:rPr>
        <w:t>the Requisite Lenders), no amendment, modification, termination, or consent shall be effective if the effect thereof would:</w:t>
      </w:r>
    </w:p>
    <w:p>
      <w:pPr>
        <w:spacing w:after="0" w:line="175" w:lineRule="exact"/>
        <w:rPr>
          <w:sz w:val="20"/>
          <w:szCs w:val="20"/>
          <w:color w:val="auto"/>
        </w:rPr>
      </w:pPr>
    </w:p>
    <w:p>
      <w:pPr>
        <w:jc w:val="both"/>
        <w:ind w:left="1300" w:firstLine="652"/>
        <w:spacing w:after="0" w:line="254" w:lineRule="auto"/>
        <w:tabs>
          <w:tab w:leader="none" w:pos="2484"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without the written consent of such Lender (it being understood that a waiver of any condition precedent set forth in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or of any Default, Event of Default, mandatory prepayment or mandatory reduction of any Commitment shall not constitute an extension or increase of any Commitment of any Lender);</w:t>
      </w:r>
    </w:p>
    <w:p>
      <w:pPr>
        <w:spacing w:after="0" w:line="133" w:lineRule="exact"/>
        <w:rPr>
          <w:rFonts w:ascii="Times New Roman" w:cs="Times New Roman" w:eastAsia="Times New Roman" w:hAnsi="Times New Roman"/>
          <w:sz w:val="20"/>
          <w:szCs w:val="20"/>
          <w:color w:val="auto"/>
        </w:rPr>
      </w:pPr>
    </w:p>
    <w:p>
      <w:pPr>
        <w:jc w:val="both"/>
        <w:ind w:left="1300" w:firstLine="652"/>
        <w:spacing w:after="0" w:line="252" w:lineRule="auto"/>
        <w:tabs>
          <w:tab w:leader="none" w:pos="2425"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or forgive the principal amount of, the rate of interest specified herein on, or the premiums (if any) on payments of, any Loan or L/C Borrowing, or any fees, interest or other amounts payable hereunder or under any other Credit Document, it being understood that (x) any waiver of (or amendment to the terms of) any mandatory prepayment of the Loans or mandatory reduction of any Commitments or any Default or Event of Default (other than a payment Default or Event of Default) shall not constitute such a reduction or forgiveness, and (y) any change to the definition of “Total Net Leverage Ratio” or, in each case, in the component definitions thereof shall not constitute a reduction or forgiveness in any rate of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Requisite Lenders shall be necessary to amend the definition of “Default Rate” or to waive any obligation of the Borrowers to pay any amount at the Default Rate and such waiver shall not constitute a reduction of the rate of interest hereunder;</w:t>
      </w:r>
    </w:p>
    <w:p>
      <w:pPr>
        <w:spacing w:after="0" w:line="12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2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any date scheduled for any payment of interest, fees or principal (including final maturity) under </w:t>
      </w:r>
      <w:r>
        <w:rPr>
          <w:rFonts w:ascii="Times New Roman" w:cs="Times New Roman" w:eastAsia="Times New Roman" w:hAnsi="Times New Roman"/>
          <w:sz w:val="20"/>
          <w:szCs w:val="20"/>
          <w:u w:val="single" w:color="auto"/>
          <w:color w:val="auto"/>
        </w:rPr>
        <w:t>Sections 2.07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respectively, it being understood that the waiver of (or amendment to the terms of) (i) any Default or Event of Default (other than a payment Default or Event of Default) shall not constitute a postponement of any date scheduled for the payment of principal, fees or interest;</w:t>
      </w:r>
    </w:p>
    <w:p>
      <w:pPr>
        <w:spacing w:after="0" w:line="131"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03"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Times New Roman" w:cs="Times New Roman" w:eastAsia="Times New Roman" w:hAnsi="Times New Roman"/>
          <w:sz w:val="20"/>
          <w:szCs w:val="20"/>
          <w:u w:val="single" w:color="auto"/>
          <w:color w:val="auto"/>
        </w:rPr>
        <w:t>Sections 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respectively; or</w:t>
      </w:r>
    </w:p>
    <w:p>
      <w:pPr>
        <w:spacing w:after="0" w:line="133"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terminate or waive any provision of this </w:t>
      </w:r>
      <w:r>
        <w:rPr>
          <w:rFonts w:ascii="Times New Roman" w:cs="Times New Roman" w:eastAsia="Times New Roman" w:hAnsi="Times New Roman"/>
          <w:sz w:val="20"/>
          <w:szCs w:val="20"/>
          <w:u w:val="single" w:color="auto"/>
          <w:color w:val="auto"/>
        </w:rPr>
        <w:t>Section 10.05(b)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10.05(c)</w:t>
      </w:r>
      <w:r>
        <w:rPr>
          <w:rFonts w:ascii="Times New Roman" w:cs="Times New Roman" w:eastAsia="Times New Roman" w:hAnsi="Times New Roman"/>
          <w:sz w:val="20"/>
          <w:szCs w:val="20"/>
          <w:color w:val="auto"/>
        </w:rPr>
        <w:t>; or</w:t>
      </w:r>
    </w:p>
    <w:p>
      <w:pPr>
        <w:spacing w:after="0" w:line="175" w:lineRule="exact"/>
        <w:rPr>
          <w:rFonts w:ascii="Times New Roman" w:cs="Times New Roman" w:eastAsia="Times New Roman" w:hAnsi="Times New Roman"/>
          <w:sz w:val="20"/>
          <w:szCs w:val="20"/>
          <w:color w:val="auto"/>
        </w:rPr>
      </w:pPr>
    </w:p>
    <w:p>
      <w:pPr>
        <w:ind w:left="1300" w:firstLine="652"/>
        <w:spacing w:after="0" w:line="269" w:lineRule="auto"/>
        <w:tabs>
          <w:tab w:leader="none" w:pos="2511"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the payment priority of the Obligations to the obligations in respect of any other Indebtedness (other than with respect to any “debtor-in-possession” financing).</w:t>
      </w:r>
    </w:p>
    <w:p>
      <w:pPr>
        <w:spacing w:after="0" w:line="118" w:lineRule="exact"/>
        <w:rPr>
          <w:rFonts w:ascii="Times New Roman" w:cs="Times New Roman" w:eastAsia="Times New Roman" w:hAnsi="Times New Roman"/>
          <w:sz w:val="20"/>
          <w:szCs w:val="20"/>
          <w:color w:val="auto"/>
        </w:rPr>
      </w:pPr>
    </w:p>
    <w:p>
      <w:pPr>
        <w:ind w:firstLine="1304"/>
        <w:spacing w:after="0" w:line="269" w:lineRule="auto"/>
        <w:tabs>
          <w:tab w:leader="none" w:pos="179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Consents</w:t>
      </w:r>
      <w:r>
        <w:rPr>
          <w:rFonts w:ascii="Times New Roman" w:cs="Times New Roman" w:eastAsia="Times New Roman" w:hAnsi="Times New Roman"/>
          <w:sz w:val="20"/>
          <w:szCs w:val="20"/>
          <w:color w:val="auto"/>
        </w:rPr>
        <w:t>. No amendment, modification, termination or waiver of any provision of the Credit Documents, or consent to any departure by any Credit Party therefrom, shall:</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368"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voting percentages in the definition of “Requisite Lenders”, “Requisite Revolving Credit Lenders”, “Requisite Class Lenders” or any other provision of any Credit Document (including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specifying the number or percentage of Lenders required to amend, waive or otherwise modify any rights hereunder and thereunder or make any determination or grant any consent hereunder,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1240"/>
          </w:cols>
          <w:pgMar w:left="320" w:top="1413" w:right="339" w:bottom="1440" w:gutter="0" w:footer="0" w:header="0"/>
        </w:sectPr>
      </w:pPr>
    </w:p>
    <w:bookmarkStart w:id="215" w:name="page216"/>
    <w:bookmarkEnd w:id="215"/>
    <w:p>
      <w:pPr>
        <w:jc w:val="both"/>
        <w:ind w:left="180"/>
        <w:spacing w:after="0" w:line="258" w:lineRule="auto"/>
        <w:rPr>
          <w:sz w:val="20"/>
          <w:szCs w:val="20"/>
          <w:color w:val="auto"/>
        </w:rPr>
      </w:pPr>
      <w:r>
        <w:rPr>
          <w:rFonts w:ascii="Times New Roman" w:cs="Times New Roman" w:eastAsia="Times New Roman" w:hAnsi="Times New Roman"/>
          <w:sz w:val="20"/>
          <w:szCs w:val="20"/>
          <w:color w:val="auto"/>
        </w:rPr>
        <w:t>without the written consent of each Lender, each Revolving Lender or each Lender of such Class, as applicable,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118" w:lineRule="exact"/>
        <w:rPr>
          <w:sz w:val="20"/>
          <w:szCs w:val="20"/>
          <w:color w:val="auto"/>
        </w:rPr>
      </w:pPr>
    </w:p>
    <w:p>
      <w:pPr>
        <w:jc w:val="both"/>
        <w:ind w:left="180" w:firstLine="652"/>
        <w:spacing w:after="0" w:line="258" w:lineRule="auto"/>
        <w:tabs>
          <w:tab w:leader="none" w:pos="1300"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value of the Collateral, or subordinate the Liens on all or substantially all of the value of the Collateral under the Credit Documents to Liens securing other Indebtedness (other than with respect to any “debtor-in-possession” financing), in either case, in any transaction or series of related transactions, without the written consent of each Lender;</w:t>
      </w:r>
    </w:p>
    <w:p>
      <w:pPr>
        <w:spacing w:after="0" w:line="131"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value of the Guarantees without the written consent of each Lender;</w:t>
      </w:r>
    </w:p>
    <w:p>
      <w:pPr>
        <w:spacing w:after="0" w:line="161" w:lineRule="exact"/>
        <w:rPr>
          <w:rFonts w:ascii="Times New Roman" w:cs="Times New Roman" w:eastAsia="Times New Roman" w:hAnsi="Times New Roman"/>
          <w:sz w:val="20"/>
          <w:szCs w:val="20"/>
          <w:color w:val="auto"/>
        </w:rPr>
      </w:pPr>
    </w:p>
    <w:p>
      <w:pPr>
        <w:jc w:val="both"/>
        <w:ind w:left="180" w:firstLine="652"/>
        <w:spacing w:after="0" w:line="251" w:lineRule="auto"/>
        <w:tabs>
          <w:tab w:leader="none" w:pos="1336"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amendments, waivers and modifications described in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shall not require the consent of any Lenders other than</w:t>
      </w:r>
    </w:p>
    <w:p>
      <w:pPr>
        <w:spacing w:after="0" w:line="5" w:lineRule="exact"/>
        <w:rPr>
          <w:rFonts w:ascii="Times New Roman" w:cs="Times New Roman" w:eastAsia="Times New Roman" w:hAnsi="Times New Roman"/>
          <w:sz w:val="20"/>
          <w:szCs w:val="20"/>
          <w:color w:val="auto"/>
        </w:rPr>
      </w:pPr>
    </w:p>
    <w:p>
      <w:pPr>
        <w:jc w:val="both"/>
        <w:ind w:left="180" w:firstLine="4"/>
        <w:spacing w:after="0" w:line="253" w:lineRule="auto"/>
        <w:tabs>
          <w:tab w:leader="none" w:pos="46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Requisite Revolving Credit Lenders or the Requisite Class Lenders under such Class or Classes, as applicable, and (y) in the case of any waiver that otherwise would be subject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each directly and adversely affected Lender (as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under the applicable Class or Classes of Commitments;</w:t>
      </w:r>
    </w:p>
    <w:p>
      <w:pPr>
        <w:spacing w:after="0" w:line="121" w:lineRule="exact"/>
        <w:rPr>
          <w:rFonts w:ascii="Times New Roman" w:cs="Times New Roman" w:eastAsia="Times New Roman" w:hAnsi="Times New Roman"/>
          <w:sz w:val="20"/>
          <w:szCs w:val="20"/>
          <w:color w:val="auto"/>
        </w:rPr>
      </w:pPr>
    </w:p>
    <w:p>
      <w:pPr>
        <w:jc w:val="both"/>
        <w:ind w:left="180" w:firstLine="652"/>
        <w:spacing w:after="0" w:line="251" w:lineRule="auto"/>
        <w:tabs>
          <w:tab w:leader="none" w:pos="1298"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amendments, waivers and modifications described in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shall not require the consent of any Lenders other than (x) the Requisite Class Lenders under such applicable Term Loans and (y) in the case of any waiver that otherwise would be subject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each directly and adversely affected Lender (as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under the applicable Class or Classes of Term Loans;</w:t>
      </w:r>
    </w:p>
    <w:p>
      <w:pPr>
        <w:spacing w:after="0" w:line="141"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342"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w:t>
      </w: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20"/>
          </w:cols>
          <w:pgMar w:left="1440" w:top="1413" w:right="339" w:bottom="1440" w:gutter="0" w:footer="0" w:header="0"/>
        </w:sectPr>
      </w:pPr>
    </w:p>
    <w:bookmarkStart w:id="216" w:name="page217"/>
    <w:bookmarkEnd w:id="216"/>
    <w:p>
      <w:pPr>
        <w:ind w:left="1300" w:right="20"/>
        <w:spacing w:after="0" w:line="283" w:lineRule="auto"/>
        <w:rPr>
          <w:sz w:val="20"/>
          <w:szCs w:val="20"/>
          <w:color w:val="auto"/>
        </w:rPr>
      </w:pPr>
      <w:r>
        <w:rPr>
          <w:rFonts w:ascii="Times New Roman" w:cs="Times New Roman" w:eastAsia="Times New Roman" w:hAnsi="Times New Roman"/>
          <w:sz w:val="20"/>
          <w:szCs w:val="20"/>
          <w:color w:val="auto"/>
        </w:rPr>
        <w:t>Revolving Credit Lenders, if any, who have not executed such amendment, and if applicable the other Issuing Bank, if any who have not executed such amendment, are not adversely affected thereby;</w:t>
      </w:r>
    </w:p>
    <w:p>
      <w:pPr>
        <w:spacing w:after="0" w:line="92" w:lineRule="exact"/>
        <w:rPr>
          <w:sz w:val="20"/>
          <w:szCs w:val="20"/>
          <w:color w:val="auto"/>
        </w:rPr>
      </w:pPr>
    </w:p>
    <w:p>
      <w:pPr>
        <w:jc w:val="both"/>
        <w:ind w:left="1300" w:firstLine="652"/>
        <w:spacing w:after="0" w:line="253" w:lineRule="auto"/>
        <w:tabs>
          <w:tab w:leader="none" w:pos="2533"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38"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63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or waive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or the definition of “Total Net Leverage Ratio” or any component definition thereof (in each case, solely as such definition is used for purposes of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without the prior written consent of the Requisite Revolving Credit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amendments, waivers and modifications described in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shall not require the consent of any Lenders other than the Requisite Revolving Credit Lenders; or</w:t>
      </w:r>
    </w:p>
    <w:p>
      <w:pPr>
        <w:spacing w:after="0" w:line="137"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13"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w:t>
      </w:r>
    </w:p>
    <w:p>
      <w:pPr>
        <w:spacing w:after="0" w:line="1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modification, termination, waiver, supplement or change hereunder (and any amendment, modification, waiver, supplement, termination or change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amendment, modification, supplement, waiver or change requiring the consent of all Lenders or each affected Lender that by its terms affects any Defaulting Lender more adversely than other affected Lenders shall require the consent of such Defaulting Lender.</w:t>
      </w:r>
    </w:p>
    <w:p>
      <w:pPr>
        <w:spacing w:after="0" w:line="139" w:lineRule="exact"/>
        <w:rPr>
          <w:sz w:val="20"/>
          <w:szCs w:val="20"/>
          <w:color w:val="auto"/>
        </w:rPr>
      </w:pPr>
    </w:p>
    <w:p>
      <w:pPr>
        <w:jc w:val="both"/>
        <w:ind w:firstLine="1304"/>
        <w:spacing w:after="0" w:line="253" w:lineRule="auto"/>
        <w:tabs>
          <w:tab w:leader="none" w:pos="172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Amendments, Etc.</w:t>
      </w:r>
      <w:r>
        <w:rPr>
          <w:rFonts w:ascii="Times New Roman" w:cs="Times New Roman" w:eastAsia="Times New Roman" w:hAnsi="Times New Roman"/>
          <w:sz w:val="20"/>
          <w:szCs w:val="20"/>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 be binding upon each Lender at the time outstanding, each future Lender and, if signed by a Credit Party, on such Credit Party.</w:t>
      </w:r>
    </w:p>
    <w:p>
      <w:pPr>
        <w:spacing w:after="0" w:line="12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21"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Technical Amendment</w:t>
      </w:r>
      <w:r>
        <w:rPr>
          <w:rFonts w:ascii="Times New Roman" w:cs="Times New Roman" w:eastAsia="Times New Roman" w:hAnsi="Times New Roman"/>
          <w:sz w:val="20"/>
          <w:szCs w:val="20"/>
          <w:color w:val="auto"/>
        </w:rPr>
        <w:t>. If Administrative Agent and the Borrower Representative shall have jointly identified any ambiguity, error (including, but not limited to, an incorrect cross-reference), omission, mistake or defect, or any necessary or desirable change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61" w:lineRule="auto"/>
        <w:rPr>
          <w:sz w:val="20"/>
          <w:szCs w:val="20"/>
          <w:color w:val="auto"/>
        </w:rPr>
      </w:pPr>
      <w:r>
        <w:rPr>
          <w:rFonts w:ascii="Times New Roman" w:cs="Times New Roman" w:eastAsia="Times New Roman" w:hAnsi="Times New Roman"/>
          <w:sz w:val="20"/>
          <w:szCs w:val="20"/>
          <w:color w:val="auto"/>
        </w:rPr>
        <w:t>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w:t>
      </w:r>
    </w:p>
    <w:p>
      <w:pPr>
        <w:spacing w:after="0" w:line="127" w:lineRule="exact"/>
        <w:rPr>
          <w:sz w:val="20"/>
          <w:szCs w:val="20"/>
          <w:color w:val="auto"/>
        </w:rPr>
      </w:pPr>
    </w:p>
    <w:p>
      <w:pPr>
        <w:jc w:val="both"/>
        <w:ind w:firstLine="1304"/>
        <w:spacing w:after="0" w:line="258" w:lineRule="auto"/>
        <w:tabs>
          <w:tab w:leader="none" w:pos="178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in this Agreement or any other Credit Document to the contrary, this Agreement may be amended, restated, amended and restated, supplemented or otherwise modified to effect any requisite changes set forth in Section 2.27 and such other related changes as may be applicable thereto, in each case, with only the consent (if any) of the Persons set forth in Section 2.27 and such amendment, restatement, amendment and restatement, supplement or modification shall not be subject to this Section 10.05.</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Notwithstanding the foregoing, this Agreement may be amended (or amended and restated) with the written consent of the Requisite Lenders, the Administrative Agent, and the Borrowers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Revolving Loans and L/C Obligations and the accrued interest and fees in respect thereof and (b) to include appropriately the Lenders holding such credit facilities in any determination of the Requisite Lenders. No Lender consent is required to effect an Incremental Amendment, Refinancing Amendment or Extension Amendment (except as expressly provided in </w:t>
      </w:r>
      <w:r>
        <w:rPr>
          <w:rFonts w:ascii="Times New Roman" w:cs="Times New Roman" w:eastAsia="Times New Roman" w:hAnsi="Times New Roman"/>
          <w:sz w:val="20"/>
          <w:szCs w:val="20"/>
          <w:u w:val="single" w:color="auto"/>
          <w:color w:val="auto"/>
        </w:rPr>
        <w:t>Sections 2.24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2.26</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b w:val="1"/>
          <w:bCs w:val="1"/>
          <w:color w:val="auto"/>
        </w:rPr>
        <w:t>Successors and Assigns; Participations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21951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0" w:lineRule="auto"/>
        <w:tabs>
          <w:tab w:leader="none" w:pos="1794"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This Agreement shall be binding upon the parties hereto and their respective successors and assigns and shall inure to the benefit of the parties hereto and the successors and assigns of Lenders. Except as otherwise expressly permitted hereunder, no Credit Party’s rights or obligations hereunder nor any interest herein may be assigned or delegated by any Credit Party without the prior written consent of Administrative Agent, Collateral Agent, the Issuing Bank, the Swing Line Lender and each Lender (and any attempted assignment or transfer by any Credit Party shall be null and void)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(iii) by way of pledge or assignment of a security interest in accordance with </w:t>
      </w:r>
      <w:r>
        <w:rPr>
          <w:rFonts w:ascii="Times New Roman" w:cs="Times New Roman" w:eastAsia="Times New Roman" w:hAnsi="Times New Roman"/>
          <w:sz w:val="20"/>
          <w:szCs w:val="20"/>
          <w:u w:val="single" w:color="auto"/>
          <w:color w:val="auto"/>
        </w:rPr>
        <w:t>paragraph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or (iv) to an Affiliated Lender in accordance with the provisions of </w:t>
      </w:r>
      <w:r>
        <w:rPr>
          <w:rFonts w:ascii="Times New Roman" w:cs="Times New Roman" w:eastAsia="Times New Roman" w:hAnsi="Times New Roman"/>
          <w:sz w:val="20"/>
          <w:szCs w:val="20"/>
          <w:u w:val="single" w:color="auto"/>
          <w:color w:val="auto"/>
        </w:rPr>
        <w:t>paragraph</w:t>
      </w:r>
    </w:p>
    <w:p>
      <w:pPr>
        <w:spacing w:after="0" w:line="2" w:lineRule="exact"/>
        <w:rPr>
          <w:rFonts w:ascii="Times New Roman" w:cs="Times New Roman" w:eastAsia="Times New Roman" w:hAnsi="Times New Roman"/>
          <w:sz w:val="20"/>
          <w:szCs w:val="20"/>
          <w:color w:val="auto"/>
        </w:rPr>
      </w:pPr>
    </w:p>
    <w:p>
      <w:pPr>
        <w:jc w:val="both"/>
        <w:ind w:firstLine="8"/>
        <w:spacing w:after="0" w:line="253" w:lineRule="auto"/>
        <w:tabs>
          <w:tab w:leader="none" w:pos="259" w:val="left"/>
        </w:tabs>
        <w:numPr>
          <w:ilvl w:val="0"/>
          <w:numId w:val="2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Indemnitee Agent Parties under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Indemnitees under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21" w:lineRule="exact"/>
        <w:rPr>
          <w:rFonts w:ascii="Times New Roman" w:cs="Times New Roman" w:eastAsia="Times New Roman" w:hAnsi="Times New Roman"/>
          <w:sz w:val="20"/>
          <w:szCs w:val="20"/>
          <w:u w:val="single" w:color="auto"/>
          <w:color w:val="auto"/>
        </w:rPr>
      </w:pPr>
    </w:p>
    <w:p>
      <w:pPr>
        <w:jc w:val="both"/>
        <w:ind w:firstLine="1304"/>
        <w:spacing w:after="0" w:line="268" w:lineRule="auto"/>
        <w:tabs>
          <w:tab w:leader="none" w:pos="1751"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Credit Parties, Administrative Agent, the Issuing Bank and the Lenders shall deem and treat the Persons listed as Lenders in the Register as the holders and owners of the corresponding Commitments and Loans listed therein for all purposes hereof, and no assignment or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19"/>
          <w:szCs w:val="19"/>
          <w:u w:val="single" w:color="auto"/>
          <w:color w:val="auto"/>
        </w:rPr>
        <w:t>Section 10.06(d)</w:t>
      </w:r>
      <w:r>
        <w:rPr>
          <w:rFonts w:ascii="Times New Roman" w:cs="Times New Roman" w:eastAsia="Times New Roman" w:hAnsi="Times New Roman"/>
          <w:sz w:val="19"/>
          <w:szCs w:val="19"/>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Times New Roman" w:cs="Times New Roman" w:eastAsia="Times New Roman" w:hAnsi="Times New Roman"/>
          <w:sz w:val="19"/>
          <w:szCs w:val="19"/>
          <w:u w:val="single" w:color="auto"/>
          <w:color w:val="auto"/>
        </w:rPr>
        <w:t>Section 10.06(b)</w:t>
      </w:r>
      <w:r>
        <w:rPr>
          <w:rFonts w:ascii="Times New Roman" w:cs="Times New Roman" w:eastAsia="Times New Roman" w:hAnsi="Times New Roman"/>
          <w:sz w:val="19"/>
          <w:szCs w:val="19"/>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28" w:lineRule="exact"/>
        <w:rPr>
          <w:sz w:val="20"/>
          <w:szCs w:val="20"/>
          <w:color w:val="auto"/>
        </w:rPr>
      </w:pPr>
    </w:p>
    <w:p>
      <w:pPr>
        <w:jc w:val="both"/>
        <w:ind w:firstLine="1304"/>
        <w:spacing w:after="0" w:line="253" w:lineRule="auto"/>
        <w:tabs>
          <w:tab w:leader="none" w:pos="1808"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Assign by Lenders</w:t>
      </w:r>
      <w:r>
        <w:rPr>
          <w:rFonts w:ascii="Times New Roman" w:cs="Times New Roman" w:eastAsia="Times New Roman" w:hAnsi="Times New Roman"/>
          <w:sz w:val="20"/>
          <w:szCs w:val="20"/>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24" w:lineRule="exact"/>
        <w:rPr>
          <w:rFonts w:ascii="Times New Roman" w:cs="Times New Roman" w:eastAsia="Times New Roman" w:hAnsi="Times New Roman"/>
          <w:sz w:val="20"/>
          <w:szCs w:val="20"/>
          <w:color w:val="auto"/>
        </w:rPr>
      </w:pPr>
    </w:p>
    <w:p>
      <w:pPr>
        <w:jc w:val="both"/>
        <w:ind w:firstLine="1952"/>
        <w:spacing w:after="0" w:line="251" w:lineRule="auto"/>
        <w:tabs>
          <w:tab w:leader="none" w:pos="2482"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any assignment to a Lender or an Affiliate of a Lender or a Related Fund, each such assignment pursuant to this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xml:space="preserve"> shall be in an aggregate amount of not less than (A) $2,500,000 (or such lesser amount as may be agreed to by Borrower Representative and Administrative Agent or as shall constitute the aggregate amount of the Revolving Commitments and Revolving Loans of the assigning Lender) with respect to the assignment of the Revolving Commitments and Revolving Loans and (B) $1,000,000 (or such lesser amount as may be agreed to by Borrower Representative and Administrative Agent or as shall constitute the aggregate amount of the Term Loan Commitments and Term Loans of the assigning Lender) with respect to the assignment of the Term Loan Commitments and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contemporaneous assignments to or by two (2) or more affiliated Related Funds shall be aggregated for purposes of meeting such minimum transfer amount);</w:t>
      </w:r>
    </w:p>
    <w:p>
      <w:pPr>
        <w:spacing w:after="0" w:line="14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4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Anti-Terrorism Laws, including the PATRIOT Act and Beneficial Ownership Regulation;</w:t>
      </w:r>
    </w:p>
    <w:p>
      <w:pPr>
        <w:spacing w:after="0" w:line="12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0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assignment shall be made to a Disqualified Institution without the Borrower Representative’s consent in writing (which consent may be withheld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request of any Lender, the list of Disqualified Institutions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shall be made available to such Lender; and</w:t>
      </w:r>
    </w:p>
    <w:p>
      <w:pPr>
        <w:spacing w:after="0" w:line="127" w:lineRule="exact"/>
        <w:rPr>
          <w:rFonts w:ascii="Times New Roman" w:cs="Times New Roman" w:eastAsia="Times New Roman" w:hAnsi="Times New Roman"/>
          <w:sz w:val="20"/>
          <w:szCs w:val="20"/>
          <w:color w:val="auto"/>
        </w:rPr>
      </w:pPr>
    </w:p>
    <w:p>
      <w:pPr>
        <w:ind w:firstLine="1952"/>
        <w:spacing w:after="0" w:line="283" w:lineRule="auto"/>
        <w:tabs>
          <w:tab w:leader="none" w:pos="2536"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xml:space="preserve"> or any other provision of this Agreement, each Lender shall have the right at any time to sell,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1240"/>
          </w:cols>
          <w:pgMar w:left="320" w:top="1413" w:right="339" w:bottom="1440" w:gutter="0" w:footer="0" w:header="0"/>
        </w:sectPr>
      </w:pPr>
    </w:p>
    <w:bookmarkStart w:id="219" w:name="page220"/>
    <w:bookmarkEnd w:id="219"/>
    <w:p>
      <w:pPr>
        <w:ind w:right="20"/>
        <w:spacing w:after="0" w:line="283" w:lineRule="auto"/>
        <w:rPr>
          <w:sz w:val="20"/>
          <w:szCs w:val="20"/>
          <w:color w:val="auto"/>
        </w:rPr>
      </w:pPr>
      <w:r>
        <w:rPr>
          <w:rFonts w:ascii="Times New Roman" w:cs="Times New Roman" w:eastAsia="Times New Roman" w:hAnsi="Times New Roman"/>
          <w:sz w:val="20"/>
          <w:szCs w:val="20"/>
          <w:color w:val="auto"/>
        </w:rPr>
        <w:t>assign or transfer all or a portion of its Term Loans to PRTH, the Initial Borrower and its Restricted Subsidiaries on a non-pro rata basis, subject to the following limitations:</w:t>
      </w:r>
    </w:p>
    <w:p>
      <w:pPr>
        <w:spacing w:after="0" w:line="92" w:lineRule="exact"/>
        <w:rPr>
          <w:sz w:val="20"/>
          <w:szCs w:val="20"/>
          <w:color w:val="auto"/>
        </w:rPr>
      </w:pPr>
    </w:p>
    <w:p>
      <w:pPr>
        <w:ind w:left="3180" w:hanging="580"/>
        <w:spacing w:after="0"/>
        <w:tabs>
          <w:tab w:leader="none" w:pos="318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then continuing, or would result immediately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therefrom;</w:t>
      </w:r>
    </w:p>
    <w:p>
      <w:pPr>
        <w:spacing w:after="0" w:line="200" w:lineRule="exact"/>
        <w:rPr>
          <w:sz w:val="20"/>
          <w:szCs w:val="20"/>
          <w:color w:val="auto"/>
        </w:rPr>
      </w:pPr>
    </w:p>
    <w:p>
      <w:pPr>
        <w:ind w:left="660" w:firstLine="1940"/>
        <w:spacing w:after="0" w:line="283" w:lineRule="auto"/>
        <w:tabs>
          <w:tab w:leader="none" w:pos="3139"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PRTH, the Initial Borrower or any Restricted Subsidiary shall repurchase such Term Loans through either (x) conducting one or more Dutch Auctions or (y) open market purchases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w:t>
      </w:r>
    </w:p>
    <w:p>
      <w:pPr>
        <w:spacing w:after="0" w:line="159" w:lineRule="exact"/>
        <w:rPr>
          <w:rFonts w:ascii="Times New Roman" w:cs="Times New Roman" w:eastAsia="Times New Roman" w:hAnsi="Times New Roman"/>
          <w:sz w:val="20"/>
          <w:szCs w:val="20"/>
          <w:color w:val="auto"/>
        </w:rPr>
      </w:pPr>
    </w:p>
    <w:p>
      <w:pPr>
        <w:jc w:val="both"/>
        <w:ind w:left="660" w:firstLine="1940"/>
        <w:spacing w:after="0" w:line="251" w:lineRule="auto"/>
        <w:tabs>
          <w:tab w:leader="none" w:pos="3243"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repurchases made by PRTH, the Initial Borrower or any Restricted Subsidiary pursuant to this </w:t>
      </w:r>
      <w:r>
        <w:rPr>
          <w:rFonts w:ascii="Times New Roman" w:cs="Times New Roman" w:eastAsia="Times New Roman" w:hAnsi="Times New Roman"/>
          <w:sz w:val="20"/>
          <w:szCs w:val="20"/>
          <w:u w:val="single" w:color="auto"/>
          <w:color w:val="auto"/>
        </w:rPr>
        <w:t>Section 10.06(c)(iv)</w:t>
      </w:r>
      <w:r>
        <w:rPr>
          <w:rFonts w:ascii="Times New Roman" w:cs="Times New Roman" w:eastAsia="Times New Roman" w:hAnsi="Times New Roman"/>
          <w:sz w:val="20"/>
          <w:szCs w:val="20"/>
          <w:color w:val="auto"/>
        </w:rPr>
        <w:t xml:space="preserve">, (w) all assignees to the relevant Assignment Agreement shall render customary “big-boy” disclaimer letters or any such disclaimers shall be incorporated into the terms of such Assignment Agreement, (x) neither the Initial Borrower nor the Restricted Subsidiaries shall use the proceeds of any Revolving Loans or Swing Line Loans to acquire such Term Loans and (y) the assigning Lender and PRTH, the Initial Borrower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660" w:firstLine="1940"/>
        <w:spacing w:after="0" w:line="250" w:lineRule="auto"/>
        <w:tabs>
          <w:tab w:leader="none" w:pos="3185"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repurchase by PRTH, the Initial Borrower or any Restricted Subsidiary pursuant to this </w:t>
      </w:r>
      <w:r>
        <w:rPr>
          <w:rFonts w:ascii="Times New Roman" w:cs="Times New Roman" w:eastAsia="Times New Roman" w:hAnsi="Times New Roman"/>
          <w:sz w:val="20"/>
          <w:szCs w:val="20"/>
          <w:u w:val="single" w:color="auto"/>
          <w:color w:val="auto"/>
        </w:rPr>
        <w:t>Section 10.06(c)(iv)</w:t>
      </w:r>
      <w:r>
        <w:rPr>
          <w:rFonts w:ascii="Times New Roman" w:cs="Times New Roman" w:eastAsia="Times New Roman" w:hAnsi="Times New Roman"/>
          <w:sz w:val="20"/>
          <w:szCs w:val="20"/>
          <w:color w:val="auto"/>
        </w:rPr>
        <w:t xml:space="preserve">, the Term Loans so repurchased shall, without further action by any Person, be deemed (x) in the case of PRTH or any Restricted Subsidiary, to have been contributed or distributed, as applicable, to the Initial Borrower and (y)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PRTH, the Initial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PRTH, the Initial Borrower and/or any Restricted Subsidiary). In connection with any Term Loans repurchased and cancelled pursuant to this </w:t>
      </w:r>
      <w:r>
        <w:rPr>
          <w:rFonts w:ascii="Times New Roman" w:cs="Times New Roman" w:eastAsia="Times New Roman" w:hAnsi="Times New Roman"/>
          <w:sz w:val="20"/>
          <w:szCs w:val="20"/>
          <w:u w:val="single" w:color="auto"/>
          <w:color w:val="auto"/>
        </w:rPr>
        <w:t>Section 10.06(c)(iv)(D)</w:t>
      </w:r>
      <w:r>
        <w:rPr>
          <w:rFonts w:ascii="Times New Roman" w:cs="Times New Roman" w:eastAsia="Times New Roman" w:hAnsi="Times New Roman"/>
          <w:sz w:val="20"/>
          <w:szCs w:val="20"/>
          <w:color w:val="auto"/>
        </w:rPr>
        <w:t xml:space="preserve">, Administrative Agent is authorized to make appropriate entries in the Register to reflect any such cancellation;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reduced on a pro rata basis by the full par value of the aggregate principal amount of any applicable Term Loans so cancelled.</w:t>
      </w:r>
    </w:p>
    <w:p>
      <w:pPr>
        <w:spacing w:after="0" w:line="179"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3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Assignment</w:t>
      </w:r>
      <w:r>
        <w:rPr>
          <w:rFonts w:ascii="Times New Roman" w:cs="Times New Roman" w:eastAsia="Times New Roman" w:hAnsi="Times New Roman"/>
          <w:sz w:val="20"/>
          <w:szCs w:val="20"/>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1240"/>
          </w:cols>
          <w:pgMar w:left="320" w:top="1413" w:right="339" w:bottom="1440" w:gutter="0" w:footer="0" w:header="0"/>
        </w:sectPr>
      </w:pPr>
    </w:p>
    <w:bookmarkStart w:id="220" w:name="page221"/>
    <w:bookmarkEnd w:id="220"/>
    <w:p>
      <w:pPr>
        <w:spacing w:after="0" w:line="283" w:lineRule="auto"/>
        <w:rPr>
          <w:sz w:val="20"/>
          <w:szCs w:val="20"/>
          <w:color w:val="auto"/>
        </w:rPr>
      </w:pPr>
      <w:r>
        <w:rPr>
          <w:rFonts w:ascii="Times New Roman" w:cs="Times New Roman" w:eastAsia="Times New Roman" w:hAnsi="Times New Roman"/>
          <w:sz w:val="20"/>
          <w:szCs w:val="20"/>
          <w:color w:val="auto"/>
        </w:rPr>
        <w:t>Agreement in the Register, shall give prompt notice thereof to Borrower Representative and shall maintain a copy of such Assignment Agreement.</w:t>
      </w:r>
    </w:p>
    <w:p>
      <w:pPr>
        <w:spacing w:after="0" w:line="92" w:lineRule="exact"/>
        <w:rPr>
          <w:sz w:val="20"/>
          <w:szCs w:val="20"/>
          <w:color w:val="auto"/>
        </w:rPr>
      </w:pPr>
    </w:p>
    <w:p>
      <w:pPr>
        <w:ind w:left="1720" w:hanging="416"/>
        <w:spacing w:after="0"/>
        <w:tabs>
          <w:tab w:leader="none" w:pos="17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19"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Assignment</w:t>
      </w:r>
      <w:r>
        <w:rPr>
          <w:rFonts w:ascii="Times New Roman" w:cs="Times New Roman" w:eastAsia="Times New Roman" w:hAnsi="Times New Roman"/>
          <w:sz w:val="20"/>
          <w:szCs w:val="20"/>
          <w:color w:val="auto"/>
        </w:rPr>
        <w:t xml:space="preserve">. Subject to the terms and conditions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anything contained in any of the Credit Documents to the contrary notwithstanding, such assigning Lender shall continue to be entitled to the benefit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10.03 and 10.04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Borrowers shall issue and deliver new Notes, if so requested by the assignee and/or assigning Lender, to such assignee and/or to such assigning Lender, with appropriate insertions, to reflect the new Commitments and/or outstanding Loans of the assignee and/or the assigning Lender. Except to the extent otherwise expressly agreed by the affected parties, no assignment by a Defaulting Lender will constitute a waiver or release of any claim of any party hereunder arising from that Lender’s having been a Defaulting Lender.</w:t>
      </w:r>
    </w:p>
    <w:p>
      <w:pPr>
        <w:spacing w:after="0" w:line="14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805"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Each Lender shall have the right at any time, without the consent of, or notice to, any Credit Party, Administrative Agent, or the Issuing Bank to sell one or more participations to any Person (other than a natural person, the Borrowers or their respective Subsidiaries or any of their respective Affiliates or any Disqualified Institution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that, upon request of any Lender, the DQ List shall be made available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Lender may rely on a certificate from a Person that such Person is not a Disqualified Institution, and such Lender shall have no liability for selling a participation to such Person in reliance upon such certification)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any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(x) described in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10.05(b)</w:t>
      </w:r>
      <w:r>
        <w:rPr>
          <w:rFonts w:ascii="Times New Roman" w:cs="Times New Roman" w:eastAsia="Times New Roman" w:hAnsi="Times New Roman"/>
          <w:sz w:val="20"/>
          <w:szCs w:val="20"/>
          <w:color w:val="auto"/>
        </w:rPr>
        <w:t xml:space="preserve"> that directly affects such Participant or any amendment, modification or waiver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that requires the consent of each Lender. Each Credit Party agrees that each Participant shall be entitled to the benefits of </w:t>
      </w:r>
      <w:r>
        <w:rPr>
          <w:rFonts w:ascii="Times New Roman" w:cs="Times New Roman" w:eastAsia="Times New Roman" w:hAnsi="Times New Roman"/>
          <w:sz w:val="20"/>
          <w:szCs w:val="20"/>
          <w:u w:val="single" w:color="auto"/>
          <w:color w:val="auto"/>
        </w:rPr>
        <w:t>Sections 2.17(c)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xml:space="preserve"> shall be delivered to the participating Lender)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-3897630</wp:posOffset>
            </wp:positionV>
            <wp:extent cx="866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1240"/>
          </w:cols>
          <w:pgMar w:left="320" w:top="1413" w:right="339" w:bottom="1440" w:gutter="0" w:footer="0" w:header="0"/>
        </w:sectPr>
      </w:pPr>
    </w:p>
    <w:bookmarkStart w:id="221" w:name="page222"/>
    <w:bookmarkEnd w:id="221"/>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extent as if it were a Lender and had acquired its interest by assignment pursuant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 a participant shall not be entitled to receive any greater payment under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unless Borrower Representative is notified of the participation sold to such Participant and such Participant agrees, for the benefit of the Credit Parties, to comply with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as though it were a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Participant agrees to be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though it were a Lender. In the event that any Lender sells participations in the Commitments and/or Loans (a “</w:t>
      </w:r>
      <w:r>
        <w:rPr>
          <w:rFonts w:ascii="Times New Roman" w:cs="Times New Roman" w:eastAsia="Times New Roman" w:hAnsi="Times New Roman"/>
          <w:sz w:val="19"/>
          <w:szCs w:val="19"/>
          <w:u w:val="single" w:color="auto"/>
          <w:color w:val="auto"/>
        </w:rPr>
        <w:t>Registered Loan</w:t>
      </w:r>
      <w:r>
        <w:rPr>
          <w:rFonts w:ascii="Times New Roman" w:cs="Times New Roman" w:eastAsia="Times New Roman" w:hAnsi="Times New Roman"/>
          <w:sz w:val="19"/>
          <w:szCs w:val="19"/>
          <w:color w:val="auto"/>
        </w:rPr>
        <w:t>”), such Lender, as a non-fiduciary agent of the Borrowers,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and Section 1.163-5(b) of the United States Proposed Treasury Regulations (or, in each case, any amended or successor version) and, solely with respect to disclosure to the Borrowers,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including any sale of participations to a Disqualified Institution in violation hereof by any Lender.</w:t>
      </w:r>
    </w:p>
    <w:p>
      <w:pPr>
        <w:spacing w:after="0" w:line="382" w:lineRule="exact"/>
        <w:rPr>
          <w:sz w:val="20"/>
          <w:szCs w:val="20"/>
          <w:color w:val="auto"/>
        </w:rPr>
      </w:pPr>
    </w:p>
    <w:p>
      <w:pPr>
        <w:jc w:val="both"/>
        <w:ind w:firstLine="1304"/>
        <w:spacing w:after="0" w:line="250" w:lineRule="auto"/>
        <w:tabs>
          <w:tab w:leader="none" w:pos="1765"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Other Assignments</w:t>
      </w:r>
      <w:r>
        <w:rPr>
          <w:rFonts w:ascii="Times New Roman" w:cs="Times New Roman" w:eastAsia="Times New Roman" w:hAnsi="Times New Roman"/>
          <w:sz w:val="20"/>
          <w:szCs w:val="20"/>
          <w:color w:val="auto"/>
        </w:rPr>
        <w:t xml:space="preserve">. In addition to any other assignment permitted pursuant to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any Lender may assign, pledge and/or grant a security interest in, all or any portion of its Loans, the other Obligations owed by or to such Lender, and its Notes, if any, to secure obligations of such Lender to (but not limited to) any Federal Reserve Bank or similar central bank as collateral security pursuant to Regulation A of the Board of Governors of the Federal Reserve System or any similar regulation and any operating circular issued by such Federal Reserve Bank or similar central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Lender, as between the Credit Parties and such Lender, shall be relieved of any of its obligations hereunder as a result of any such assignment and pledge,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in no event shall the applicable Federal Reserve Bank or similar central bank, pledgee or trustee be considered to be a “Lender” or be entitled to require the assigning Lender to take or omit to take any action hereunder,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may assign, pledge and/or grant a security interest in, all or any portion of its Loans, the other Obligations owed by or to such Lender, or its Notes, if any, to or in favor of any Disqualified Institution.</w:t>
      </w:r>
    </w:p>
    <w:p>
      <w:pPr>
        <w:spacing w:after="0" w:line="14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Affiliated Lenders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1952"/>
        <w:spacing w:after="0" w:line="283" w:lineRule="auto"/>
        <w:tabs>
          <w:tab w:leader="none" w:pos="2354"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other rights provided in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each Lender may assign all or a portion of any of its Term Loans on a non-pro rata basis to any Person who, after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1240"/>
          </w:cols>
          <w:pgMar w:left="320" w:top="1413" w:right="339" w:bottom="1440" w:gutter="0" w:footer="0" w:header="0"/>
        </w:sectPr>
      </w:pPr>
    </w:p>
    <w:bookmarkStart w:id="222" w:name="page223"/>
    <w:bookmarkEnd w:id="222"/>
    <w:p>
      <w:pPr>
        <w:spacing w:after="0" w:line="283" w:lineRule="auto"/>
        <w:rPr>
          <w:sz w:val="20"/>
          <w:szCs w:val="20"/>
          <w:color w:val="auto"/>
        </w:rPr>
      </w:pPr>
      <w:r>
        <w:rPr>
          <w:rFonts w:ascii="Times New Roman" w:cs="Times New Roman" w:eastAsia="Times New Roman" w:hAnsi="Times New Roman"/>
          <w:sz w:val="20"/>
          <w:szCs w:val="20"/>
          <w:color w:val="auto"/>
        </w:rPr>
        <w:t xml:space="preserve">giving effect to such assignment, would be an Affiliated Lender through either (a) a Dutch Auction or (b) open market purchases on a non-pro rata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92" w:lineRule="exact"/>
        <w:rPr>
          <w:sz w:val="20"/>
          <w:szCs w:val="20"/>
          <w:color w:val="auto"/>
        </w:rPr>
      </w:pPr>
    </w:p>
    <w:p>
      <w:pPr>
        <w:jc w:val="both"/>
        <w:ind w:left="1300" w:firstLine="652"/>
        <w:spacing w:after="0" w:line="261" w:lineRule="auto"/>
        <w:tabs>
          <w:tab w:leader="none" w:pos="2623"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7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assigning Lender and the Affiliated Lender purchasing such Lender’s Loans shall execute and deliver to Administrative Agent an assignment agreement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hereto (an “</w:t>
      </w:r>
      <w:r>
        <w:rPr>
          <w:rFonts w:ascii="Times New Roman" w:cs="Times New Roman" w:eastAsia="Times New Roman" w:hAnsi="Times New Roman"/>
          <w:sz w:val="20"/>
          <w:szCs w:val="20"/>
          <w:u w:val="single" w:color="auto"/>
          <w:color w:val="auto"/>
        </w:rPr>
        <w:t>Affiliated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w:t>
      </w:r>
    </w:p>
    <w:p>
      <w:pPr>
        <w:spacing w:after="0" w:line="137"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1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543"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xml:space="preserve"> or to make capital contributions or assignments of Term Loans and Commitments directly or indirectly to any Borrower in accordance with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Term Loans then outstanding or to the extent necessary to cause such limit not to be exceeded.</w:t>
      </w:r>
    </w:p>
    <w:p>
      <w:pPr>
        <w:spacing w:after="0" w:line="147" w:lineRule="exact"/>
        <w:rPr>
          <w:sz w:val="20"/>
          <w:szCs w:val="20"/>
          <w:color w:val="auto"/>
        </w:rPr>
      </w:pPr>
    </w:p>
    <w:p>
      <w:pPr>
        <w:jc w:val="both"/>
        <w:ind w:firstLine="1952"/>
        <w:spacing w:after="0" w:line="252" w:lineRule="auto"/>
        <w:tabs>
          <w:tab w:leader="none" w:pos="239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any Borrower solely in exchange for Permitted Stock Issuances of the Initial Borrower (or any direct or indirect parent of the Initial Borrower) upon written notice to Administrative Agent. Immediately upon any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no Borrower shall obtain or otherwise have any rights as a Lender hereunder or under the other Credit Documents by virtue of such capital contribution or assignment; provided that, upon such prepayment, termination, extinguishment and cancellation, the aggregate outstanding principal amount of the relevant Class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1240"/>
          </w:cols>
          <w:pgMar w:left="320" w:top="1413" w:right="339" w:bottom="1440" w:gutter="0" w:footer="0" w:header="0"/>
        </w:sectPr>
      </w:pPr>
    </w:p>
    <w:bookmarkStart w:id="223" w:name="page224"/>
    <w:bookmarkEnd w:id="223"/>
    <w:p>
      <w:pPr>
        <w:jc w:val="both"/>
        <w:spacing w:after="0" w:line="258" w:lineRule="auto"/>
        <w:rPr>
          <w:sz w:val="20"/>
          <w:szCs w:val="20"/>
          <w:color w:val="auto"/>
        </w:rPr>
      </w:pPr>
      <w:r>
        <w:rPr>
          <w:rFonts w:ascii="Times New Roman" w:cs="Times New Roman" w:eastAsia="Times New Roman" w:hAnsi="Times New Roman"/>
          <w:sz w:val="20"/>
          <w:szCs w:val="20"/>
          <w:color w:val="auto"/>
        </w:rPr>
        <w:t>Term Loans shall be deemed reduced, as of the date of such contribution, by the full par value of the aggregate principal amount of Term Loans so contributed and cancelled, and each principal repayment installment with respect to such Class of Term Loans pursuant to Section 2.11 shall be reduced on a pro rata basis by the full par value of the aggregate principal amount of any applicable Term Loans so contributed and cancelled.</w:t>
      </w:r>
    </w:p>
    <w:p>
      <w:pPr>
        <w:spacing w:after="0" w:line="118" w:lineRule="exact"/>
        <w:rPr>
          <w:sz w:val="20"/>
          <w:szCs w:val="20"/>
          <w:color w:val="auto"/>
        </w:rPr>
      </w:pPr>
    </w:p>
    <w:p>
      <w:pPr>
        <w:jc w:val="both"/>
        <w:ind w:firstLine="1952"/>
        <w:spacing w:after="0" w:line="253" w:lineRule="auto"/>
        <w:tabs>
          <w:tab w:leader="none" w:pos="2479"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38" w:lineRule="exact"/>
        <w:rPr>
          <w:rFonts w:ascii="Times New Roman" w:cs="Times New Roman" w:eastAsia="Times New Roman" w:hAnsi="Times New Roman"/>
          <w:sz w:val="20"/>
          <w:szCs w:val="20"/>
          <w:color w:val="auto"/>
        </w:rPr>
      </w:pPr>
    </w:p>
    <w:p>
      <w:pPr>
        <w:jc w:val="both"/>
        <w:ind w:firstLine="1952"/>
        <w:spacing w:after="0" w:line="248" w:lineRule="auto"/>
        <w:tabs>
          <w:tab w:leader="none" w:pos="257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u w:val="single" w:color="auto"/>
          <w:color w:val="auto"/>
        </w:rPr>
        <w:t>Requisite Lenders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Requisite Class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each Affiliated Lender hereby agrees (x) subject to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xml:space="preserve"> below, not to vote on such Plan, (y) if such Affiliated Lender does vote on such Plan notwithstanding the restriction in the foregoing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in each case, under this </w:t>
      </w:r>
      <w:r>
        <w:rPr>
          <w:rFonts w:ascii="Times New Roman" w:cs="Times New Roman" w:eastAsia="Times New Roman" w:hAnsi="Times New Roman"/>
          <w:sz w:val="20"/>
          <w:szCs w:val="20"/>
          <w:u w:val="single" w:color="auto"/>
          <w:color w:val="auto"/>
        </w:rPr>
        <w:t>clause (iv)(B)</w:t>
      </w:r>
      <w:r>
        <w:rPr>
          <w:rFonts w:ascii="Times New Roman" w:cs="Times New Roman" w:eastAsia="Times New Roman" w:hAnsi="Times New Roman"/>
          <w:sz w:val="20"/>
          <w:szCs w:val="20"/>
          <w:color w:val="auto"/>
        </w:rPr>
        <w:t xml:space="preserve"> unless such Plan adversely affects such Affiliated Lender more than other Term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Term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1240"/>
          </w:cols>
          <w:pgMar w:left="320" w:top="1413" w:right="339" w:bottom="1440" w:gutter="0" w:footer="0" w:header="0"/>
        </w:sectPr>
      </w:pPr>
    </w:p>
    <w:bookmarkStart w:id="224" w:name="page225"/>
    <w:bookmarkEnd w:id="224"/>
    <w:p>
      <w:pPr>
        <w:spacing w:after="0" w:line="258" w:lineRule="auto"/>
        <w:rPr>
          <w:sz w:val="20"/>
          <w:szCs w:val="20"/>
          <w:color w:val="auto"/>
        </w:rPr>
      </w:pPr>
      <w:r>
        <w:rPr>
          <w:rFonts w:ascii="Times New Roman" w:cs="Times New Roman" w:eastAsia="Times New Roman" w:hAnsi="Times New Roman"/>
          <w:sz w:val="20"/>
          <w:szCs w:val="20"/>
          <w:color w:val="auto"/>
        </w:rPr>
        <w:t xml:space="preserve">Agent may deem reasonably necessary or appropriate to carry out the provisions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including to ensure that any vote of such Affiliated Lender on any Plan is withdrawn or otherwise not counted (other than any vote of such Affiliated Lender contemplated by </w:t>
      </w:r>
      <w:r>
        <w:rPr>
          <w:rFonts w:ascii="Times New Roman" w:cs="Times New Roman" w:eastAsia="Times New Roman" w:hAnsi="Times New Roman"/>
          <w:sz w:val="20"/>
          <w:szCs w:val="20"/>
          <w:u w:val="single" w:color="auto"/>
          <w:color w:val="auto"/>
        </w:rPr>
        <w:t>clause</w:t>
      </w:r>
    </w:p>
    <w:p>
      <w:pPr>
        <w:spacing w:after="0"/>
        <w:rPr>
          <w:sz w:val="20"/>
          <w:szCs w:val="20"/>
          <w:color w:val="auto"/>
        </w:rPr>
      </w:pP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For the avoidance of doubt, the Lenders and each Affiliated Lender agree and acknowledge that the provisions set forth in this clause</w:t>
      </w:r>
    </w:p>
    <w:p>
      <w:pPr>
        <w:spacing w:after="0" w:line="6" w:lineRule="exact"/>
        <w:rPr>
          <w:sz w:val="20"/>
          <w:szCs w:val="20"/>
          <w:color w:val="auto"/>
        </w:rPr>
      </w:pPr>
    </w:p>
    <w:p>
      <w:pPr>
        <w:ind w:firstLine="8"/>
        <w:spacing w:after="0" w:line="253" w:lineRule="auto"/>
        <w:tabs>
          <w:tab w:leader="none" w:pos="34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134"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75"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 Notwithstanding anything to the contrary contained herein, no assignment or participation shall be made to any Person that was a Disqualified Institution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21"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35" w:val="left"/>
        </w:tabs>
        <w:numPr>
          <w:ilvl w:val="2"/>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24" w:lineRule="exact"/>
        <w:rPr>
          <w:rFonts w:ascii="Times New Roman" w:cs="Times New Roman" w:eastAsia="Times New Roman" w:hAnsi="Times New Roman"/>
          <w:sz w:val="20"/>
          <w:szCs w:val="20"/>
          <w:color w:val="auto"/>
        </w:rPr>
      </w:pPr>
    </w:p>
    <w:p>
      <w:pPr>
        <w:jc w:val="both"/>
        <w:ind w:firstLine="1952"/>
        <w:spacing w:after="0" w:line="252" w:lineRule="auto"/>
        <w:tabs>
          <w:tab w:leader="none" w:pos="2405" w:val="left"/>
        </w:tabs>
        <w:numPr>
          <w:ilvl w:val="2"/>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Disqualified Institutions (i) will not (x) have the right to receive information, reports or other materials provided to Lenders by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1240"/>
          </w:cols>
          <w:pgMar w:left="320" w:top="1413" w:right="339" w:bottom="1440" w:gutter="0" w:footer="0" w:header="0"/>
        </w:sectPr>
      </w:pPr>
    </w:p>
    <w:bookmarkStart w:id="225" w:name="page226"/>
    <w:bookmarkEnd w:id="22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restriction in the 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2480" w:hanging="528"/>
        <w:spacing w:after="0"/>
        <w:tabs>
          <w:tab w:leader="none" w:pos="248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hereby expressly authorize Administrative Agent to provide the DQ List to each Lender upon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request.</w:t>
      </w:r>
    </w:p>
    <w:p>
      <w:pPr>
        <w:spacing w:after="0" w:line="1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10.07 </w:t>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 xml:space="preserve"> To the extent that the Credit Documents provide support, through a guarantee or otherwise, for hedge agreements or any other agreement or instrument that is a QFC (such support, “</w:t>
      </w:r>
      <w:r>
        <w:rPr>
          <w:rFonts w:ascii="Times New Roman" w:cs="Times New Roman" w:eastAsia="Times New Roman" w:hAnsi="Times New Roman"/>
          <w:sz w:val="19"/>
          <w:szCs w:val="19"/>
          <w:b w:val="1"/>
          <w:b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b w:val="1"/>
          <w:bCs w:val="1"/>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02" w:lineRule="exact"/>
        <w:rPr>
          <w:sz w:val="20"/>
          <w:szCs w:val="20"/>
          <w:color w:val="auto"/>
        </w:rPr>
      </w:pPr>
    </w:p>
    <w:p>
      <w:pPr>
        <w:jc w:val="both"/>
        <w:ind w:firstLine="1304"/>
        <w:spacing w:after="0" w:line="251" w:lineRule="auto"/>
        <w:tabs>
          <w:tab w:leader="none" w:pos="1827"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10.08 </w:t>
      </w:r>
      <w:r>
        <w:rPr>
          <w:rFonts w:ascii="Times New Roman" w:cs="Times New Roman" w:eastAsia="Times New Roman" w:hAnsi="Times New Roman"/>
          <w:sz w:val="20"/>
          <w:szCs w:val="20"/>
          <w:b w:val="1"/>
          <w:bCs w:val="1"/>
          <w:color w:val="auto"/>
        </w:rPr>
        <w:t>Survival of Representations, Warranties and Agreements</w:t>
      </w:r>
      <w:r>
        <w:rPr>
          <w:rFonts w:ascii="Times New Roman" w:cs="Times New Roman" w:eastAsia="Times New Roman" w:hAnsi="Times New Roman"/>
          <w:sz w:val="20"/>
          <w:szCs w:val="20"/>
          <w:color w:val="auto"/>
        </w:rPr>
        <w:t xml:space="preserve">.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the Issuing Bank and each Lender, regardless of any investigation made by Administrative Agent, Issuing Bank or any Lender or on their behalf and notwithstanding that Administrative Agent, the Issuing Bank or any Lender may have had notice or knowledge of any Default at the time of any Credit Extension, and shall continue in full force and effect until the Payment in Full of the Obligations hereunder. Notwithstanding anything herein or implied by law to the contrary and without affecting any other survival language as set forth herein or in any other Credit Document, the provisions of </w:t>
      </w:r>
      <w:r>
        <w:rPr>
          <w:rFonts w:ascii="Times New Roman" w:cs="Times New Roman" w:eastAsia="Times New Roman" w:hAnsi="Times New Roman"/>
          <w:sz w:val="20"/>
          <w:szCs w:val="20"/>
          <w:u w:val="single" w:color="auto"/>
          <w:color w:val="auto"/>
        </w:rPr>
        <w:t>Sections 2.17(c)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-1242060</wp:posOffset>
            </wp:positionV>
            <wp:extent cx="32194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19450" cy="88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11240"/>
          </w:cols>
          <w:pgMar w:left="320" w:top="1413" w:right="339" w:bottom="1440" w:gutter="0" w:footer="0" w:header="0"/>
        </w:sectPr>
      </w:pPr>
    </w:p>
    <w:bookmarkStart w:id="226" w:name="page227"/>
    <w:bookmarkEnd w:id="226"/>
    <w:p>
      <w:pPr>
        <w:jc w:val="both"/>
        <w:spacing w:after="0" w:line="283" w:lineRule="auto"/>
        <w:rPr>
          <w:sz w:val="20"/>
          <w:szCs w:val="20"/>
          <w:color w:val="auto"/>
        </w:rPr>
      </w:pPr>
      <w:r>
        <w:rPr>
          <w:rFonts w:ascii="Times New Roman" w:cs="Times New Roman" w:eastAsia="Times New Roman" w:hAnsi="Times New Roman"/>
          <w:sz w:val="20"/>
          <w:szCs w:val="20"/>
          <w:color w:val="auto"/>
        </w:rPr>
        <w:t>other provision in any Credit Document which expressly so states shall survive the payment of the Obligations and the termination of the Aggregate Commitments.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10.09 </w:t>
      </w:r>
      <w:r>
        <w:rPr>
          <w:rFonts w:ascii="Times New Roman" w:cs="Times New Roman" w:eastAsia="Times New Roman" w:hAnsi="Times New Roman"/>
          <w:sz w:val="20"/>
          <w:szCs w:val="20"/>
          <w:b w:val="1"/>
          <w:bCs w:val="1"/>
          <w:color w:val="auto"/>
        </w:rPr>
        <w:t>No Waiver; Remedies Cumulative</w:t>
      </w:r>
      <w:r>
        <w:rPr>
          <w:rFonts w:ascii="Times New Roman" w:cs="Times New Roman" w:eastAsia="Times New Roman" w:hAnsi="Times New Roman"/>
          <w:sz w:val="20"/>
          <w:szCs w:val="20"/>
          <w:color w:val="auto"/>
        </w:rPr>
        <w:t>. No failure or delay on the part of any Agent, any Lender, any Issuing Bank or the Swing Line Lender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each Issuing Bank and each Lender hereunder or under any other Credit Documents are cumulative and not exclusive and shall be in addition to and independent of all rights, powers and remedies existing by virtue of any statute or rule of law or in any of the other Credit Documents or any of the Interest Rate Agreements entered into with a Secured Party.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-1242060</wp:posOffset>
            </wp:positionV>
            <wp:extent cx="2044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b w:val="1"/>
          <w:bCs w:val="1"/>
          <w:color w:val="auto"/>
        </w:rPr>
        <w:t>Marshalling; Payments Set Aside</w:t>
      </w:r>
      <w:r>
        <w:rPr>
          <w:rFonts w:ascii="Times New Roman" w:cs="Times New Roman" w:eastAsia="Times New Roman" w:hAnsi="Times New Roman"/>
          <w:sz w:val="20"/>
          <w:szCs w:val="20"/>
          <w:color w:val="auto"/>
        </w:rPr>
        <w:t>. Neither any Agent nor any Lender shall be under any obligation to marshal any assets in favor of any Credit Party or any other Person or against or in payment of any or all of the Obligations. To the extent that any Credit Party makes a payment or payments to Administrative Agent, any Issuing Bank or the Lenders (or to Administrative Agent, on behalf of the Lenders), or Administrative Agent, Collateral Agent, any Issuing Bank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such Issuing Bank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rights and remedies therefor or related thereto, shall be revived and continued in full force and effect as if such payment or payments had not been made or such enforcement or setoff had not occurred and (b) each Lender and each Issuing Bank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-1839595</wp:posOffset>
            </wp:positionV>
            <wp:extent cx="19088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8810" cy="8255"/>
                    </a:xfrm>
                    <a:prstGeom prst="rect">
                      <a:avLst/>
                    </a:prstGeom>
                    <a:noFill/>
                  </pic:spPr>
                </pic:pic>
              </a:graphicData>
            </a:graphic>
          </wp:anchor>
        </w:drawing>
      </w:r>
    </w:p>
    <w:p>
      <w:pPr>
        <w:spacing w:after="0" w:line="1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xml:space="preserve">. In case any provision in or obligation hereunder or under any Note or other Credit Document shall be invalid, illegal or 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-944245</wp:posOffset>
            </wp:positionV>
            <wp:extent cx="784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b w:val="1"/>
          <w:bCs w:val="1"/>
          <w:color w:val="auto"/>
        </w:rPr>
        <w:t>Obligations Several; Actions in Concert</w:t>
      </w:r>
      <w:r>
        <w:rPr>
          <w:rFonts w:ascii="Times New Roman" w:cs="Times New Roman" w:eastAsia="Times New Roman" w:hAnsi="Times New Roman"/>
          <w:sz w:val="20"/>
          <w:szCs w:val="20"/>
          <w:color w:val="auto"/>
        </w:rPr>
        <w:t>. The obligations of the Issuing Bank and the Lenders hereunder are several and no Issuing Bank or Lender shall be responsible for the obligations or Commitment of any other Issuing Bank or Lender hereunder. Nothing contained herein or in any other Credit Document, and no action taken by the Issuing Bank or Lenders pursuant hereto or thereto, shall be deemed to constitute the Issuing Bank and Lenders as a partnership, an association, a joint venture or any other kind of entity. Anything in this Agreement or any other Credit Document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-647065</wp:posOffset>
            </wp:positionV>
            <wp:extent cx="22542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11240"/>
          </w:cols>
          <w:pgMar w:left="320" w:top="1413" w:right="339" w:bottom="1440" w:gutter="0" w:footer="0" w:header="0"/>
        </w:sectPr>
      </w:pPr>
    </w:p>
    <w:bookmarkStart w:id="227" w:name="page228"/>
    <w:bookmarkEnd w:id="227"/>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each Issuing Bank and each Lender hereby agrees with each other Issuing Bank and each other Lender that no Issuing Bank or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Issuing Bank and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b w:val="1"/>
          <w:bCs w:val="1"/>
          <w:color w:val="auto"/>
        </w:rPr>
        <w:t>Headings</w:t>
      </w:r>
      <w:r>
        <w:rPr>
          <w:rFonts w:ascii="Times New Roman" w:cs="Times New Roman" w:eastAsia="Times New Roman" w:hAnsi="Times New Roman"/>
          <w:sz w:val="20"/>
          <w:szCs w:val="20"/>
          <w:color w:val="auto"/>
        </w:rPr>
        <w:t>. Section headings and the Table of Contents used herein or in any other Credit Document are for convenience of reference only, shall not constitute a part of this Agreement or any other Credit Document and shall not affect the construction of or be given any substantive effect in interpreting this Agreement or any other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-342265</wp:posOffset>
            </wp:positionV>
            <wp:extent cx="64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THIS AGREEMENT AND EACH OTHER CREDIT DOCUMENT AND THE RIGHTS AND OBLIGATIONS OF THE PARTIES HEREUNDER OR THEREUNDER, INCLUDING, BUT NOT LIMITED TO, THE VALIDITY, INTERPRETATION, CONSTRUCTION, BREACH, ENFORCEMENT OR TERMINATION HEREOF AND THEREOF, AND WHETHER ARISING IN CONTRACT OR TORT OR OTHERWISE, SHALL BE GOVERNED BY, AND SHALL BE CONSTRUED AND ENFORCED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-647065</wp:posOffset>
            </wp:positionV>
            <wp:extent cx="13404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b w:val="1"/>
          <w:bCs w:val="1"/>
          <w:color w:val="auto"/>
        </w:rPr>
        <w:t>CONSENT TO JURISDICTION, SERVICE OF PROCESS, ETC</w:t>
      </w:r>
      <w:r>
        <w:rPr>
          <w:rFonts w:ascii="Times New Roman" w:cs="Times New Roman" w:eastAsia="Times New Roman" w:hAnsi="Times New Roman"/>
          <w:sz w:val="20"/>
          <w:szCs w:val="20"/>
          <w:color w:val="auto"/>
        </w:rPr>
        <w:t xml:space="preserve">. THE BORROWERS AND EACH OTHER CREDIT PARTY HEREBY 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(D) AGREES THAT THE AGENTS, THE ISSUING BANK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COLLATERAL DOCUMENTS OR AGAINST ANY COLLATERAL OR ANY OTHER PROPERTY OF ANY CREDIT PARTY IN ANY OTHER FORUM IN WHICH JURISDICTION CAN BE ESTABLISHED. WITHOUT LIMITING THE OTHER PROVISIONS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AND IN ADDITION TO THE SERVICE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-3195320</wp:posOffset>
            </wp:positionV>
            <wp:extent cx="36785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78555"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11240"/>
          </w:cols>
          <w:pgMar w:left="320" w:top="1413" w:right="339" w:bottom="1440" w:gutter="0" w:footer="0" w:header="0"/>
        </w:sectPr>
      </w:pPr>
    </w:p>
    <w:bookmarkStart w:id="228" w:name="page229"/>
    <w:bookmarkEnd w:id="228"/>
    <w:p>
      <w:pPr>
        <w:jc w:val="both"/>
        <w:spacing w:after="0" w:line="253" w:lineRule="auto"/>
        <w:rPr>
          <w:sz w:val="20"/>
          <w:szCs w:val="20"/>
          <w:color w:val="auto"/>
        </w:rPr>
      </w:pPr>
      <w:r>
        <w:rPr>
          <w:rFonts w:ascii="Times New Roman" w:cs="Times New Roman" w:eastAsia="Times New Roman" w:hAnsi="Times New Roman"/>
          <w:sz w:val="20"/>
          <w:szCs w:val="20"/>
          <w:color w:val="auto"/>
        </w:rPr>
        <w:t>PROCESS PROVIDED FOR HEREIN, EACH BORROWER HEREBY IRREVOCABLY DESIGNATES, APPOINTS AND EMPOWERS THE BORROWER REPRESENTATIVE (AND THE BORROWER REPRESENTATIVE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w:t>
      </w:r>
    </w:p>
    <w:p>
      <w:pPr>
        <w:spacing w:after="0" w:line="3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b w:val="1"/>
          <w:bCs w:val="1"/>
          <w:color w:val="auto"/>
        </w:rPr>
        <w:t>WAIVER OF JURY TRIAL</w:t>
      </w:r>
      <w:r>
        <w:rPr>
          <w:rFonts w:ascii="Times New Roman" w:cs="Times New Roman" w:eastAsia="Times New Roman" w:hAnsi="Times New Roman"/>
          <w:sz w:val="19"/>
          <w:szCs w:val="19"/>
          <w:color w:val="auto"/>
        </w:rPr>
        <w:t xml:space="preserve">. EACH OF THE PARTIES HERETO HEREBY AGREES TO WAIVE, TO THE FULLEST EXTENT 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9"/>
          <w:szCs w:val="19"/>
          <w:u w:val="single" w:color="auto"/>
          <w:color w:val="auto"/>
        </w:rPr>
        <w:t>SECTION 10.16</w:t>
      </w:r>
      <w:r>
        <w:rPr>
          <w:rFonts w:ascii="Times New Roman" w:cs="Times New Roman" w:eastAsia="Times New Roman" w:hAnsi="Times New Roman"/>
          <w:sz w:val="19"/>
          <w:szCs w:val="19"/>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-2750820</wp:posOffset>
            </wp:positionV>
            <wp:extent cx="1680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xml:space="preserve">. Each Agent and each Lender shall hold all non-public information regarding each Credit Party and its Subsidiaries and their businesses obtained by such Lender confidential, it being understood and agreed by the Credit Parties that, in any event, each Agent, the Issuing Bank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such contemplated assignees, counterparties and advisors are not Disqualified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-1395730</wp:posOffset>
            </wp:positionV>
            <wp:extent cx="9950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Institutions (provided that the DQ List is made available to any contemplated assignees, Participants, counterparties and advisors who specifically requests a copy thereof) and are advised of and agree to be bound by either the provisions of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or other provisions at least as restrictive as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(iii) disclosure to any rating agency for the purpose of obtaining a credit rating applicable to any Credit Party or the credit facilities hereunder or to the CUSIP Service Bureau or any similar organization;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any disclosure, such financing source is advised of and agrees to be bound by either the provisions of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or other provisions at least as restrictive as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Administrative Agent or such Lender, as applicable, agrees that it will notify the Borrower Representative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(y) becomes available to Administrative Agent, any Lender, the Issuing Bank or any of their respective Affiliates on a non-confidential basis from a source other than a Credit Party who is not known by Administrative Agent, any Lender, the Issuing Bank or any of their respective Affiliates to be bound by any confidentiality obligation to any Credit Party or (z) is independently developed by Administrative Agent, any Lender or the Issuing Bank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(x) disclosure of such information with the consent of the Borrower Representative and (xi) in connection with a pledge or assignment permitted under </w:t>
      </w:r>
      <w:r>
        <w:rPr>
          <w:rFonts w:ascii="Times New Roman" w:cs="Times New Roman" w:eastAsia="Times New Roman" w:hAnsi="Times New Roman"/>
          <w:sz w:val="20"/>
          <w:szCs w:val="20"/>
          <w:u w:val="single" w:color="auto"/>
          <w:color w:val="auto"/>
        </w:rPr>
        <w:t>Section 10.06(h)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unless specifically prohibited by applicable law or court order, each applicable Agent or Lender shall (A) make reasonable efforts to notify, to the extent practicable and legally permissible, Borrower Representative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 (B) reasonably cooperate with the Borrowers in attempting to obtain, at the expense of the Borrowers, any protective relief which the Borrowers seek with respect to the disclosure of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Agent or Lender shall be required to initiate any litigation or proceeding or to take any other action that it believes in good faith would be disadvantageous or adverse in any respect to it). In addition, each of the Administrative Agent and the Lenders may disclose the existence of this Agreement and the terms of this Agreement to market data collectors, credit and political risk insurance providers, similar service providers to the lending industry and service providers to the Administrative Agent and the Lenders in connection with the administration of this Agreement, the other Credit Documents and the Commitments, including the CUSIP Service Bureau. Notwithstanding the foregoing, on or after the Closing Date, Administrative Agent may, at its own expense, issue news releases and publish “tombstone” advertisements and other announcements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1240"/>
          </w:cols>
          <w:pgMar w:left="320" w:top="1413" w:right="339" w:bottom="1440" w:gutter="0" w:footer="0" w:header="0"/>
        </w:sectPr>
      </w:pPr>
    </w:p>
    <w:bookmarkStart w:id="230" w:name="page231"/>
    <w:bookmarkEnd w:id="230"/>
    <w:p>
      <w:pPr>
        <w:jc w:val="both"/>
        <w:spacing w:after="0" w:line="258" w:lineRule="auto"/>
        <w:rPr>
          <w:sz w:val="20"/>
          <w:szCs w:val="20"/>
          <w:color w:val="auto"/>
        </w:rPr>
      </w:pPr>
      <w:r>
        <w:rPr>
          <w:rFonts w:ascii="Times New Roman" w:cs="Times New Roman" w:eastAsia="Times New Roman" w:hAnsi="Times New Roman"/>
          <w:sz w:val="20"/>
          <w:szCs w:val="20"/>
          <w:color w:val="auto"/>
        </w:rPr>
        <w:t>relating to this transaction in newspapers, trade journals and other appropriate media (which may include use of logos of one or more of the Credit Parties) (collectively, “</w:t>
      </w:r>
      <w:r>
        <w:rPr>
          <w:rFonts w:ascii="Times New Roman" w:cs="Times New Roman" w:eastAsia="Times New Roman" w:hAnsi="Times New Roman"/>
          <w:sz w:val="20"/>
          <w:szCs w:val="20"/>
          <w:u w:val="single" w:color="auto"/>
          <w:color w:val="auto"/>
        </w:rPr>
        <w:t>Trade Announcements</w:t>
      </w:r>
      <w:r>
        <w:rPr>
          <w:rFonts w:ascii="Times New Roman" w:cs="Times New Roman" w:eastAsia="Times New Roman" w:hAnsi="Times New Roman"/>
          <w:sz w:val="20"/>
          <w:szCs w:val="20"/>
          <w:color w:val="auto"/>
        </w:rPr>
        <w:t>”). No Credit Party shall issue any Trade Announcement except (i) disclosures required by applicable law, regulation, legal process or the rules of the Securities and Exchange Commission or (ii) with the prior approval of Administrative Agent.</w:t>
      </w:r>
    </w:p>
    <w:p>
      <w:pPr>
        <w:spacing w:after="0" w:line="11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b w:val="1"/>
          <w:bCs w:val="1"/>
          <w:color w:val="auto"/>
        </w:rPr>
        <w:t>Usury Savings Clause</w:t>
      </w:r>
      <w:r>
        <w:rPr>
          <w:rFonts w:ascii="Times New Roman" w:cs="Times New Roman" w:eastAsia="Times New Roman" w:hAnsi="Times New Roman"/>
          <w:sz w:val="19"/>
          <w:szCs w:val="19"/>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Borrowers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Borrowers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Borrowers.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-2456815</wp:posOffset>
            </wp:positionV>
            <wp:extent cx="13087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xml:space="preserve">. This Agreement may be executed in any number of counterparts (and by different parties hereto in different counterparts), each of which when so executed and delivered shall be deemed an original, but all such counterparts together shall constitute but one and the same instrument.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-1542415</wp:posOffset>
            </wp:positionV>
            <wp:extent cx="8686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10.20 </w:t>
      </w:r>
      <w:r>
        <w:rPr>
          <w:rFonts w:ascii="Times New Roman" w:cs="Times New Roman" w:eastAsia="Times New Roman" w:hAnsi="Times New Roman"/>
          <w:sz w:val="20"/>
          <w:szCs w:val="20"/>
          <w:b w:val="1"/>
          <w:bCs w:val="1"/>
          <w:color w:val="auto"/>
        </w:rPr>
        <w:t>Effectiveness; Integration</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this Agreement shall become effective upon the execution of a counterpart hereof by each of the parties hereto and receipt by Borrower Representative and Administrative Agent of the counterparts hereof that, when taken together, bear the signatures of each of the other parties hereto. The provisions of this Agreement and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-340360</wp:posOffset>
            </wp:positionV>
            <wp:extent cx="15036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11240"/>
          </w:cols>
          <w:pgMar w:left="320" w:top="1413" w:right="339" w:bottom="1440" w:gutter="0" w:footer="0" w:header="0"/>
        </w:sectPr>
      </w:pPr>
    </w:p>
    <w:bookmarkStart w:id="231" w:name="page232"/>
    <w:bookmarkEnd w:id="231"/>
    <w:p>
      <w:pPr>
        <w:jc w:val="both"/>
        <w:spacing w:after="0" w:line="258" w:lineRule="auto"/>
        <w:rPr>
          <w:sz w:val="20"/>
          <w:szCs w:val="20"/>
          <w:color w:val="auto"/>
        </w:rPr>
      </w:pPr>
      <w:r>
        <w:rPr>
          <w:rFonts w:ascii="Times New Roman" w:cs="Times New Roman" w:eastAsia="Times New Roman" w:hAnsi="Times New Roman"/>
          <w:sz w:val="20"/>
          <w:szCs w:val="20"/>
          <w:color w:val="auto"/>
        </w:rPr>
        <w:t>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 and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-944245</wp:posOffset>
            </wp:positionV>
            <wp:extent cx="9163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spacing w:after="0" w:line="1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b w:val="1"/>
          <w:bCs w:val="1"/>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37" w:lineRule="exact"/>
        <w:rPr>
          <w:sz w:val="20"/>
          <w:szCs w:val="20"/>
          <w:color w:val="auto"/>
        </w:rPr>
      </w:pPr>
    </w:p>
    <w:p>
      <w:pPr>
        <w:ind w:left="660" w:firstLine="644"/>
        <w:spacing w:after="0" w:line="269" w:lineRule="auto"/>
        <w:tabs>
          <w:tab w:leader="none" w:pos="188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61"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392" w:val="left"/>
        </w:tabs>
        <w:numPr>
          <w:ilvl w:val="1"/>
          <w:numId w:val="2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2" w:lineRule="exact"/>
        <w:rPr>
          <w:rFonts w:ascii="Times New Roman" w:cs="Times New Roman" w:eastAsia="Times New Roman" w:hAnsi="Times New Roman"/>
          <w:sz w:val="20"/>
          <w:szCs w:val="20"/>
          <w:color w:val="010000"/>
        </w:rPr>
      </w:pPr>
    </w:p>
    <w:p>
      <w:pPr>
        <w:ind w:left="1300" w:right="20" w:firstLine="652"/>
        <w:spacing w:after="0" w:line="283" w:lineRule="auto"/>
        <w:tabs>
          <w:tab w:leader="none" w:pos="2494" w:val="left"/>
        </w:tabs>
        <w:numPr>
          <w:ilvl w:val="1"/>
          <w:numId w:val="2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10.23 </w:t>
      </w:r>
      <w:r>
        <w:rPr>
          <w:rFonts w:ascii="Times New Roman" w:cs="Times New Roman" w:eastAsia="Times New Roman" w:hAnsi="Times New Roman"/>
          <w:sz w:val="20"/>
          <w:szCs w:val="20"/>
          <w:b w:val="1"/>
          <w:bCs w:val="1"/>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Arrangers are arm’s-length commercial transactions between the Credit Parties and their respective Affiliates, on the one hand, and the Agents, the Lead Arrangers and the Lenders, on the other hand, (B) each Credit Party has consulted its own legal, accounting, regulatory and tax advisors to the extent it has deemed appropriate and is not relying on any Agent, Lender or Issuing Bank for advice with respect to such issues, and (C) each Credit Party is capable of evaluating, and understands and accepts, the terms, risks and conditions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-1098550</wp:posOffset>
            </wp:positionV>
            <wp:extent cx="25279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793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11240"/>
          </w:cols>
          <w:pgMar w:left="320" w:top="1413" w:right="339" w:bottom="1440" w:gutter="0" w:footer="0" w:header="0"/>
        </w:sectPr>
      </w:pPr>
    </w:p>
    <w:bookmarkStart w:id="232" w:name="page233"/>
    <w:bookmarkEnd w:id="232"/>
    <w:p>
      <w:pPr>
        <w:jc w:val="both"/>
        <w:spacing w:after="0" w:line="250" w:lineRule="auto"/>
        <w:rPr>
          <w:sz w:val="20"/>
          <w:szCs w:val="20"/>
          <w:color w:val="auto"/>
        </w:rPr>
      </w:pPr>
      <w:r>
        <w:rPr>
          <w:rFonts w:ascii="Times New Roman" w:cs="Times New Roman" w:eastAsia="Times New Roman" w:hAnsi="Times New Roman"/>
          <w:sz w:val="20"/>
          <w:szCs w:val="20"/>
          <w:color w:val="auto"/>
        </w:rPr>
        <w:t>contemplated hereby and by the other Credit Documents; (ii) (A) Administrative Agent, the Lead Arrangers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Arrangers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Arrangers, the Lenders and their respective Affiliates may be engaged in a broad range of transactions that involve interests that differ from those of the Credit Parties and their respective Affiliates, and neither Administrative Agent nor the Lead Arrangers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Arrangers and the Lenders with respect to any breach or alleged breach of agency or fiduciary duty in connection with any aspect of any transaction contemplated hereby.</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10.24 </w:t>
      </w:r>
      <w:r>
        <w:rPr>
          <w:rFonts w:ascii="Times New Roman" w:cs="Times New Roman" w:eastAsia="Times New Roman" w:hAnsi="Times New Roman"/>
          <w:sz w:val="20"/>
          <w:szCs w:val="20"/>
          <w:b w:val="1"/>
          <w:bCs w:val="1"/>
          <w:color w:val="auto"/>
        </w:rPr>
        <w:t>Intercreditor Agreements and Subordination Agreements</w:t>
      </w:r>
      <w:r>
        <w:rPr>
          <w:rFonts w:ascii="Times New Roman" w:cs="Times New Roman" w:eastAsia="Times New Roman" w:hAnsi="Times New Roman"/>
          <w:sz w:val="20"/>
          <w:szCs w:val="20"/>
          <w:color w:val="auto"/>
        </w:rPr>
        <w:t>. Each Lender hereunder (a) agrees that it will be bound by and will take no actions contrary to the provisions of any Acceptable Intercreditor Agreement and (b) authorizes and instructs the Administrative Agent to enter into any Acceptable Intercreditor Agreement approved by the Administrative Agent on behalf of such Lender. In the event of any conflict or inconsistency between the provisions of any Acceptable Intercreditor Agreement and this Agreement, the provisions of such Acceptable Intercreditor Agreement shall control. Each Lender hereunder agrees that it will be bound by and will take no actions contrary to the provisions of any Subordination Agreement and authorizes and instructs the Administrative Agent to enter into any Subordination Agreement approved by the Administrative Agent on behalf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-935990</wp:posOffset>
            </wp:positionV>
            <wp:extent cx="32251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25165" cy="8890"/>
                    </a:xfrm>
                    <a:prstGeom prst="rect">
                      <a:avLst/>
                    </a:prstGeom>
                    <a:noFill/>
                  </pic:spPr>
                </pic:pic>
              </a:graphicData>
            </a:graphic>
          </wp:anchor>
        </w:drawing>
      </w:r>
    </w:p>
    <w:p>
      <w:pPr>
        <w:spacing w:after="0" w:line="11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Nature of Obligations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b w:val="1"/>
          <w:bCs w:val="1"/>
          <w:color w:val="auto"/>
        </w:rPr>
        <w:t>Joint and Several Liability of the Borrowers; Cross-Guaranty</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-8255</wp:posOffset>
            </wp:positionV>
            <wp:extent cx="34328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32810" cy="8890"/>
                    </a:xfrm>
                    <a:prstGeom prst="rect">
                      <a:avLst/>
                    </a:prstGeom>
                    <a:noFill/>
                  </pic:spPr>
                </pic:pic>
              </a:graphicData>
            </a:graphic>
          </wp:anchor>
        </w:drawing>
      </w:r>
    </w:p>
    <w:p>
      <w:pPr>
        <w:spacing w:after="0" w:line="159" w:lineRule="exact"/>
        <w:rPr>
          <w:sz w:val="20"/>
          <w:szCs w:val="20"/>
          <w:color w:val="auto"/>
        </w:rPr>
      </w:pPr>
    </w:p>
    <w:p>
      <w:pPr>
        <w:jc w:val="both"/>
        <w:ind w:left="660" w:firstLine="644"/>
        <w:spacing w:after="0" w:line="250" w:lineRule="auto"/>
        <w:tabs>
          <w:tab w:leader="none" w:pos="178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not be discharged until Payment in Full in Cash of the Obligations has occurred.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11.02 </w:t>
      </w:r>
      <w:r>
        <w:rPr>
          <w:rFonts w:ascii="Times New Roman" w:cs="Times New Roman" w:eastAsia="Times New Roman" w:hAnsi="Times New Roman"/>
          <w:sz w:val="20"/>
          <w:szCs w:val="20"/>
          <w:b w:val="1"/>
          <w:bCs w:val="1"/>
          <w:color w:val="auto"/>
        </w:rPr>
        <w:t>Benefit</w:t>
      </w:r>
      <w:r>
        <w:rPr>
          <w:rFonts w:ascii="Times New Roman" w:cs="Times New Roman" w:eastAsia="Times New Roman" w:hAnsi="Times New Roman"/>
          <w:sz w:val="20"/>
          <w:szCs w:val="20"/>
          <w:color w:val="auto"/>
        </w:rPr>
        <w:t xml:space="preserve">. Each Borrower agrees that the provisions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are for the benefit of Agents and Lenders and their respective successors, transferees, endorsees and permitted assigns, and nothing herein contained shall impair, as between any other Borrower and Agents or Lenders, the obligations of such other Borrower under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-342265</wp:posOffset>
            </wp:positionV>
            <wp:extent cx="5607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0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11240"/>
          </w:cols>
          <w:pgMar w:left="320" w:top="1413" w:right="339" w:bottom="1440" w:gutter="0" w:footer="0" w:header="0"/>
        </w:sectPr>
      </w:pPr>
    </w:p>
    <w:bookmarkStart w:id="233" w:name="page234"/>
    <w:bookmarkEnd w:id="233"/>
    <w:p>
      <w:pPr>
        <w:ind w:left="302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color w:val="FF0000"/>
          <w:strike w:val="1"/>
        </w:rPr>
        <w:t>pages follow</w:t>
      </w:r>
      <w:r>
        <w:rPr>
          <w:rFonts w:ascii="Times New Roman" w:cs="Times New Roman" w:eastAsia="Times New Roman" w:hAnsi="Times New Roman"/>
          <w:sz w:val="19"/>
          <w:szCs w:val="19"/>
          <w:u w:val="single" w:color="auto"/>
          <w:color w:val="0000FF"/>
        </w:rPr>
        <w:t>intentionally omitted</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E</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Amended Pledge and Security Agreement</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20"/>
          </w:cols>
          <w:pgMar w:left="340" w:top="114" w:right="339" w:bottom="1440" w:gutter="0" w:footer="0" w:header="0"/>
        </w:sectPr>
      </w:pPr>
    </w:p>
    <w:bookmarkStart w:id="235" w:name="page236"/>
    <w:bookmarkEnd w:id="235"/>
    <w:p>
      <w:pPr>
        <w:ind w:left="7080"/>
        <w:spacing w:after="0"/>
        <w:rPr>
          <w:sz w:val="20"/>
          <w:szCs w:val="20"/>
          <w:color w:val="auto"/>
        </w:rPr>
      </w:pPr>
      <w:r>
        <w:rPr>
          <w:rFonts w:ascii="Times New Roman" w:cs="Times New Roman" w:eastAsia="Times New Roman" w:hAnsi="Times New Roman"/>
          <w:sz w:val="17"/>
          <w:szCs w:val="17"/>
          <w:u w:val="single" w:color="auto"/>
          <w:color w:val="0000FF"/>
        </w:rPr>
        <w:t>Exhibit E to Amendment No. 2, dated as of July 31, 2025</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PLEDGE AND SECURITY AGREEMENT</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dated as of May 16, 2024</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EACH OF THE GRANTORS PARTY HERETO</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20"/>
          </w:cols>
          <w:pgMar w:left="340" w:top="1417"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3"/>
          <w:szCs w:val="23"/>
          <w:b w:val="1"/>
          <w:bCs w:val="1"/>
          <w:color w:val="auto"/>
        </w:rPr>
        <w:t>Table of Contents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w:t>
            </w:r>
          </w:p>
        </w:tc>
        <w:tc>
          <w:tcPr>
            <w:tcW w:w="1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General Definitions</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22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Definitions;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22"/>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w:t>
            </w:r>
          </w:p>
        </w:tc>
        <w:tc>
          <w:tcPr>
            <w:tcW w:w="21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GRANT OF SECURITY</w:t>
            </w:r>
          </w:p>
        </w:tc>
        <w:tc>
          <w:tcPr>
            <w:tcW w:w="3380" w:type="dxa"/>
            <w:vAlign w:val="bottom"/>
          </w:tcPr>
          <w:p>
            <w:pPr>
              <w:jc w:val="right"/>
              <w:ind w:right="3121"/>
              <w:spacing w:after="0"/>
              <w:rPr>
                <w:sz w:val="20"/>
                <w:szCs w:val="20"/>
                <w:color w:val="auto"/>
              </w:rPr>
            </w:pPr>
            <w:r>
              <w:rPr>
                <w:rFonts w:ascii="Times New Roman" w:cs="Times New Roman" w:eastAsia="Times New Roman" w:hAnsi="Times New Roman"/>
                <w:sz w:val="20"/>
                <w:szCs w:val="20"/>
                <w:color w:val="auto"/>
              </w:rPr>
              <w:t>8</w:t>
            </w:r>
          </w:p>
        </w:tc>
        <w:tc>
          <w:tcPr>
            <w:tcW w:w="3040" w:type="dxa"/>
            <w:vAlign w:val="bottom"/>
          </w:tcPr>
          <w:p>
            <w:pPr>
              <w:spacing w:after="0"/>
              <w:rPr>
                <w:sz w:val="24"/>
                <w:szCs w:val="24"/>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Grant of Security</w:t>
            </w:r>
          </w:p>
        </w:tc>
        <w:tc>
          <w:tcPr>
            <w:tcW w:w="5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24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Certain Limited Exclusions</w:t>
            </w:r>
          </w:p>
        </w:tc>
        <w:tc>
          <w:tcPr>
            <w:tcW w:w="56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79"/>
              </w:rPr>
              <w:t>8</w:t>
            </w: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22"/>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SECURITY FOR OBLIGATIONS; GRANTORS REMAIN LIABLE</w:t>
            </w:r>
          </w:p>
        </w:tc>
        <w:tc>
          <w:tcPr>
            <w:tcW w:w="3040" w:type="dxa"/>
            <w:vAlign w:val="bottom"/>
          </w:tcPr>
          <w:p>
            <w:pPr>
              <w:jc w:val="right"/>
              <w:ind w:right="2561"/>
              <w:spacing w:after="0"/>
              <w:rPr>
                <w:sz w:val="20"/>
                <w:szCs w:val="20"/>
                <w:color w:val="auto"/>
              </w:rPr>
            </w:pPr>
            <w:r>
              <w:rPr>
                <w:rFonts w:ascii="Times New Roman" w:cs="Times New Roman" w:eastAsia="Times New Roman" w:hAnsi="Times New Roman"/>
                <w:sz w:val="20"/>
                <w:szCs w:val="20"/>
                <w:color w:val="auto"/>
              </w:rPr>
              <w:t>10</w:t>
            </w: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Security for Obligations</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642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Continuing Liability Under Collateral  10</w:t>
            </w:r>
          </w:p>
        </w:tc>
        <w:tc>
          <w:tcPr>
            <w:tcW w:w="3040" w:type="dxa"/>
            <w:vAlign w:val="bottom"/>
          </w:tcPr>
          <w:p>
            <w:pPr>
              <w:spacing w:after="0"/>
              <w:rPr>
                <w:sz w:val="22"/>
                <w:szCs w:val="22"/>
                <w:color w:val="auto"/>
              </w:rPr>
            </w:pPr>
          </w:p>
        </w:tc>
      </w:tr>
      <w:tr>
        <w:trPr>
          <w:trHeight w:val="322"/>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REPRESENTATIONS AND WARRANTIES AND COVENANTS</w:t>
            </w:r>
          </w:p>
        </w:tc>
        <w:tc>
          <w:tcPr>
            <w:tcW w:w="3040" w:type="dxa"/>
            <w:vAlign w:val="bottom"/>
          </w:tcPr>
          <w:p>
            <w:pPr>
              <w:jc w:val="right"/>
              <w:ind w:right="2741"/>
              <w:spacing w:after="0"/>
              <w:rPr>
                <w:sz w:val="20"/>
                <w:szCs w:val="20"/>
                <w:color w:val="auto"/>
              </w:rPr>
            </w:pPr>
            <w:r>
              <w:rPr>
                <w:rFonts w:ascii="Times New Roman" w:cs="Times New Roman" w:eastAsia="Times New Roman" w:hAnsi="Times New Roman"/>
                <w:sz w:val="20"/>
                <w:szCs w:val="20"/>
                <w:color w:val="auto"/>
                <w:w w:val="89"/>
              </w:rPr>
              <w:t>10</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Generally</w:t>
            </w:r>
          </w:p>
        </w:tc>
        <w:tc>
          <w:tcPr>
            <w:tcW w:w="180" w:type="dxa"/>
            <w:vAlign w:val="bottom"/>
          </w:tcPr>
          <w:p>
            <w:pPr>
              <w:spacing w:after="0"/>
              <w:rPr>
                <w:sz w:val="19"/>
                <w:szCs w:val="19"/>
                <w:color w:val="auto"/>
              </w:rPr>
            </w:pP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[Intentionally Reserved]</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Receivables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24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Investment Related Property</w:t>
            </w:r>
          </w:p>
        </w:tc>
        <w:tc>
          <w:tcPr>
            <w:tcW w:w="5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14</w:t>
            </w: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[Intentionally Reserved]</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Letter of Credit Rights</w:t>
            </w:r>
          </w:p>
        </w:tc>
        <w:tc>
          <w:tcPr>
            <w:tcW w:w="4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9"/>
              </w:rPr>
              <w:t>19</w:t>
            </w: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Intellectual Property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6"/>
              </w:rPr>
              <w:t>Commercial Tort Claims</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22"/>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w:t>
            </w:r>
          </w:p>
        </w:tc>
        <w:tc>
          <w:tcPr>
            <w:tcW w:w="856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ACCESS; RIGHT OF INSPECTION AND FURTHER ASSURANCES; ADDITIONAL GRANTORS  22</w:t>
            </w: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[Intentionally Reserved]</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5.3</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Additional Grantors</w:t>
            </w: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23</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5.4</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Schedules</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24</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22"/>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COLLATERAL AGENT APPOINTED ATTORNEY-IN-FACT  24</w:t>
            </w:r>
          </w:p>
        </w:tc>
        <w:tc>
          <w:tcPr>
            <w:tcW w:w="3040" w:type="dxa"/>
            <w:vAlign w:val="bottom"/>
          </w:tcPr>
          <w:p>
            <w:pPr>
              <w:spacing w:after="0"/>
              <w:rPr>
                <w:sz w:val="24"/>
                <w:szCs w:val="24"/>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Power of Attorney</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6.2</w:t>
            </w:r>
          </w:p>
        </w:tc>
        <w:tc>
          <w:tcPr>
            <w:tcW w:w="642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No Duty on the Part of Collateral Agent or Secured Parties  26</w:t>
            </w:r>
          </w:p>
        </w:tc>
        <w:tc>
          <w:tcPr>
            <w:tcW w:w="3040" w:type="dxa"/>
            <w:vAlign w:val="bottom"/>
          </w:tcPr>
          <w:p>
            <w:pPr>
              <w:spacing w:after="0"/>
              <w:rPr>
                <w:sz w:val="19"/>
                <w:szCs w:val="19"/>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6.3</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PROXY</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26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36"/>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w:t>
            </w:r>
          </w:p>
        </w:tc>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REMEDIES</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89"/>
              </w:rPr>
              <w:t>27</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Generally</w:t>
            </w:r>
          </w:p>
        </w:tc>
        <w:tc>
          <w:tcPr>
            <w:tcW w:w="180" w:type="dxa"/>
            <w:vAlign w:val="bottom"/>
          </w:tcPr>
          <w:p>
            <w:pPr>
              <w:spacing w:after="0"/>
              <w:rPr>
                <w:sz w:val="19"/>
                <w:szCs w:val="19"/>
                <w:color w:val="auto"/>
              </w:rPr>
            </w:pP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27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7.2</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Application of Proceeds</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28</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Sales on Credit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7.4</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[Intentionally Reserved]</w:t>
            </w: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5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24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Investment Related Property</w:t>
            </w:r>
          </w:p>
        </w:tc>
        <w:tc>
          <w:tcPr>
            <w:tcW w:w="5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29</w:t>
            </w:r>
          </w:p>
        </w:tc>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7.6</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Intellectual Property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7.7</w:t>
            </w: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Cash Proceeds  30</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51"/>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w:t>
            </w:r>
          </w:p>
        </w:tc>
        <w:tc>
          <w:tcPr>
            <w:tcW w:w="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AGENT</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7"/>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CONTINUING SECURITY INTEREST; TRANSFER OF LOANS</w:t>
            </w:r>
          </w:p>
        </w:tc>
        <w:tc>
          <w:tcPr>
            <w:tcW w:w="3040" w:type="dxa"/>
            <w:vAlign w:val="bottom"/>
          </w:tcPr>
          <w:p>
            <w:pPr>
              <w:jc w:val="right"/>
              <w:ind w:right="2701"/>
              <w:spacing w:after="0"/>
              <w:rPr>
                <w:sz w:val="20"/>
                <w:szCs w:val="20"/>
                <w:color w:val="auto"/>
              </w:rPr>
            </w:pPr>
            <w:r>
              <w:rPr>
                <w:rFonts w:ascii="Times New Roman" w:cs="Times New Roman" w:eastAsia="Times New Roman" w:hAnsi="Times New Roman"/>
                <w:sz w:val="20"/>
                <w:szCs w:val="20"/>
                <w:color w:val="auto"/>
              </w:rPr>
              <w:t>30</w:t>
            </w:r>
          </w:p>
        </w:tc>
      </w:tr>
      <w:tr>
        <w:trPr>
          <w:trHeight w:val="351"/>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w:t>
            </w:r>
          </w:p>
        </w:tc>
        <w:tc>
          <w:tcPr>
            <w:tcW w:w="21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STANDARD OF CARE</w:t>
            </w:r>
          </w:p>
        </w:tc>
        <w:tc>
          <w:tcPr>
            <w:tcW w:w="3380" w:type="dxa"/>
            <w:vAlign w:val="bottom"/>
          </w:tcPr>
          <w:p>
            <w:pPr>
              <w:jc w:val="right"/>
              <w:ind w:right="2981"/>
              <w:spacing w:after="0"/>
              <w:rPr>
                <w:sz w:val="20"/>
                <w:szCs w:val="20"/>
                <w:color w:val="auto"/>
              </w:rPr>
            </w:pPr>
            <w:r>
              <w:rPr>
                <w:rFonts w:ascii="Times New Roman" w:cs="Times New Roman" w:eastAsia="Times New Roman" w:hAnsi="Times New Roman"/>
                <w:sz w:val="20"/>
                <w:szCs w:val="20"/>
                <w:color w:val="auto"/>
              </w:rPr>
              <w:t>31</w:t>
            </w:r>
          </w:p>
        </w:tc>
        <w:tc>
          <w:tcPr>
            <w:tcW w:w="30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11.</w:t>
            </w:r>
          </w:p>
        </w:tc>
        <w:tc>
          <w:tcPr>
            <w:tcW w:w="21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REINSTATEMENT  31</w:t>
            </w:r>
          </w:p>
        </w:tc>
        <w:tc>
          <w:tcPr>
            <w:tcW w:w="33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w:t>
            </w:r>
          </w:p>
        </w:tc>
        <w:tc>
          <w:tcPr>
            <w:tcW w:w="55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INDEMNITY AND EXPENSES  31</w:t>
            </w:r>
          </w:p>
        </w:tc>
        <w:tc>
          <w:tcPr>
            <w:tcW w:w="3040" w:type="dxa"/>
            <w:vAlign w:val="bottom"/>
          </w:tcPr>
          <w:p>
            <w:pPr>
              <w:spacing w:after="0"/>
              <w:rPr>
                <w:sz w:val="24"/>
                <w:szCs w:val="24"/>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779"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40"/>
          </w:cols>
          <w:pgMar w:left="320" w:top="779" w:right="339" w:bottom="1440" w:gutter="0" w:footer="0" w:header="0"/>
          <w:type w:val="continuous"/>
        </w:sectPr>
      </w:pPr>
    </w:p>
    <w:bookmarkStart w:id="237" w:name="page238"/>
    <w:bookmarkEnd w:id="237"/>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340" w:val="left"/>
          <w:tab w:leader="none" w:pos="3180" w:val="left"/>
        </w:tabs>
        <w:rPr>
          <w:sz w:val="20"/>
          <w:szCs w:val="20"/>
          <w:color w:val="auto"/>
        </w:rPr>
      </w:pPr>
      <w:r>
        <w:rPr>
          <w:rFonts w:ascii="Times New Roman" w:cs="Times New Roman" w:eastAsia="Times New Roman" w:hAnsi="Times New Roman"/>
          <w:sz w:val="20"/>
          <w:szCs w:val="20"/>
          <w:color w:val="auto"/>
        </w:rPr>
        <w:t>SECTION 13.</w:t>
        <w:tab/>
        <w:t>MISCELLANEOUS</w:t>
        <w:tab/>
        <w:t>32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(ii)</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40"/>
          </w:cols>
          <w:pgMar w:left="320" w:top="1031"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u w:val="single" w:color="auto"/>
          <w:color w:val="auto"/>
        </w:rPr>
        <w:t>Schedules to Pledge and Security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4.1— GENERAL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4.2— INTENTIONALLY 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4.4— INVESTMENT RELATED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4.6— DESCRIPTION OF 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4.7— INTELLECTUAL PROPERTY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4.8— COMMERCIAL TORT CLAIMS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Exhibits to Pledge and Security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PLEDGE SUPPLEMENT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UNCERTIFICATED SECURITIES CONTROL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(iii)</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40"/>
          </w:cols>
          <w:pgMar w:left="320" w:top="1031"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3"/>
          <w:szCs w:val="23"/>
          <w:b w:val="1"/>
          <w:bCs w:val="1"/>
          <w:color w:val="auto"/>
        </w:rPr>
        <w:t>Table of Contents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This PLEDGE AND SECURITY AGREEMENT, dated as of May 16, 2024 (as amended, restated, amended and restated, supplemented or otherwise modified from time to time,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by and among EACH OF THE UNDERSIGNED (each, a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 xml:space="preserve">” and, together with any other entity that becomes a Grantor hereunder pursuant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hereof, the “</w:t>
      </w:r>
      <w:r>
        <w:rPr>
          <w:rFonts w:ascii="Times New Roman" w:cs="Times New Roman" w:eastAsia="Times New Roman" w:hAnsi="Times New Roman"/>
          <w:sz w:val="20"/>
          <w:szCs w:val="20"/>
          <w:b w:val="1"/>
          <w:bCs w:val="1"/>
          <w:color w:val="auto"/>
        </w:rPr>
        <w:t>Grantors</w:t>
      </w:r>
      <w:r>
        <w:rPr>
          <w:rFonts w:ascii="Times New Roman" w:cs="Times New Roman" w:eastAsia="Times New Roman" w:hAnsi="Times New Roman"/>
          <w:sz w:val="20"/>
          <w:szCs w:val="20"/>
          <w:color w:val="auto"/>
        </w:rPr>
        <w:t>”), and TRUIST BANK (“</w:t>
      </w:r>
      <w:r>
        <w:rPr>
          <w:rFonts w:ascii="Times New Roman" w:cs="Times New Roman" w:eastAsia="Times New Roman" w:hAnsi="Times New Roman"/>
          <w:sz w:val="20"/>
          <w:szCs w:val="20"/>
          <w:b w:val="1"/>
          <w:bCs w:val="1"/>
          <w:color w:val="auto"/>
        </w:rPr>
        <w:t>Truist</w:t>
      </w:r>
      <w:r>
        <w:rPr>
          <w:rFonts w:ascii="Times New Roman" w:cs="Times New Roman" w:eastAsia="Times New Roman" w:hAnsi="Times New Roman"/>
          <w:sz w:val="20"/>
          <w:szCs w:val="20"/>
          <w:color w:val="auto"/>
        </w:rPr>
        <w:t>”), as collateral agent for the Secured Parties (in such capacity, the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WHEREAS, reference is made to that certain Credit and Guaranty Agreement, dated as of the date hereof (as amended, restated, amended and restated, supplemented or otherwise modified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by and among PRIORITY HOLDINGS, LLC, a Delaware limited liability company (the “</w:t>
      </w:r>
      <w:r>
        <w:rPr>
          <w:rFonts w:ascii="Times New Roman" w:cs="Times New Roman" w:eastAsia="Times New Roman" w:hAnsi="Times New Roman"/>
          <w:sz w:val="20"/>
          <w:szCs w:val="20"/>
          <w:b w:val="1"/>
          <w:bCs w:val="1"/>
          <w:color w:val="auto"/>
        </w:rPr>
        <w:t>Initial Borrower</w:t>
      </w:r>
      <w:r>
        <w:rPr>
          <w:rFonts w:ascii="Times New Roman" w:cs="Times New Roman" w:eastAsia="Times New Roman" w:hAnsi="Times New Roman"/>
          <w:sz w:val="20"/>
          <w:szCs w:val="20"/>
          <w:color w:val="auto"/>
        </w:rPr>
        <w:t xml:space="preserve"> and, together with any other existing or subsequently acquired or organized wholly-owned domestic Restricted Subsidiary of the Initial Borrower that becomes an Additional Borrower in accordance with the terms of the Credit Agreement,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other Credit Parties party thereto from time to time, the Lenders party thereto from time to time and TRUIST BANK, as Administrative Agent, Collateral Agent, an Issuing Bank and the Swing Line Lender. Capitalized terms used herein and not otherwise defined herein shall have the meanings set forth in the Credit Agreement;</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subject to the terms and conditions of the Credit Agreement, certain Grantors may enter into one or more Secured Interest Rate Agreements or Cash Management Agreements with one or more Lender Counterparties and/or Cash Management Banks, as applicable; and</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in consideration of the extensions of credit and other accommodations of the Secured Parties as set forth in the Credit Agreement, the Secured Interest Rate Agreements or the Cash Management Agreements, as applicable, each Grantor has agreed to secure such Grantor’s obligations under the Credit Documents, the Secured Interest Rate Agreements and the Cash Management Agreements entered into with one or more Secured Parties as set forth herein.</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the agreements, provisions and covenants herein contained, and other good and valuable consideration, the receipt, sufficiency and adequacy of which are hereby acknowledged, each Grantor and Collateral Agent agree as follows:</w:t>
      </w:r>
    </w:p>
    <w:p>
      <w:pPr>
        <w:spacing w:after="0" w:line="2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General Definitions</w:t>
      </w:r>
      <w:r>
        <w:rPr>
          <w:rFonts w:ascii="Times New Roman" w:cs="Times New Roman" w:eastAsia="Times New Roman" w:hAnsi="Times New Roman"/>
          <w:sz w:val="19"/>
          <w:szCs w:val="19"/>
          <w:color w:val="auto"/>
        </w:rPr>
        <w:t>.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 Debtor</w:t>
      </w:r>
      <w:r>
        <w:rPr>
          <w:rFonts w:ascii="Times New Roman" w:cs="Times New Roman" w:eastAsia="Times New Roman" w:hAnsi="Times New Roman"/>
          <w:sz w:val="20"/>
          <w:szCs w:val="20"/>
          <w:color w:val="auto"/>
        </w:rPr>
        <w:t>” shall mean each Person who is obligated on a Receivable or any Supporting Obligation related thereto.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shall mean all “accounts” as defined in Article 9 of the UCC.</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Grantors</w:t>
      </w:r>
      <w:r>
        <w:rPr>
          <w:rFonts w:ascii="Times New Roman" w:cs="Times New Roman" w:eastAsia="Times New Roman" w:hAnsi="Times New Roman"/>
          <w:sz w:val="20"/>
          <w:szCs w:val="20"/>
          <w:color w:val="auto"/>
        </w:rPr>
        <w:t xml:space="preserve">” shall have the meaning assigned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have the meaning set forth in the preamble.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Proceeds</w:t>
      </w:r>
      <w:r>
        <w:rPr>
          <w:rFonts w:ascii="Times New Roman" w:cs="Times New Roman" w:eastAsia="Times New Roman" w:hAnsi="Times New Roman"/>
          <w:sz w:val="20"/>
          <w:szCs w:val="20"/>
          <w:color w:val="auto"/>
        </w:rPr>
        <w:t xml:space="preserve">” shall have the meaning assigned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FF0000"/>
          <w:strike w:val="1"/>
        </w:rPr>
        <w:t>NAI-1539893684v9</w:t>
      </w:r>
    </w:p>
    <w:p>
      <w:pPr>
        <w:sectPr>
          <w:pgSz w:w="11900" w:h="16838" w:orient="portrait"/>
          <w:cols w:equalWidth="0" w:num="1">
            <w:col w:w="11240"/>
          </w:cols>
          <w:pgMar w:left="320" w:top="779"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Chattel Paper</w:t>
      </w:r>
      <w:r>
        <w:rPr>
          <w:rFonts w:ascii="Times New Roman" w:cs="Times New Roman" w:eastAsia="Times New Roman" w:hAnsi="Times New Roman"/>
          <w:sz w:val="20"/>
          <w:szCs w:val="20"/>
          <w:color w:val="auto"/>
        </w:rPr>
        <w:t>” shall mean all “chattel paper” as defined in Article 9 of the UCC, including, without limitation, “electronic chattel paper” or “tangible chattel paper”, as each term is defined in Article 9 of the UCC.</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xml:space="preserve">” shall have the meaning assigned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shall have the meaning set forth in the preamble.</w:t>
      </w:r>
    </w:p>
    <w:p>
      <w:pPr>
        <w:spacing w:after="0" w:line="13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Records</w:t>
      </w:r>
      <w:r>
        <w:rPr>
          <w:rFonts w:ascii="Times New Roman" w:cs="Times New Roman" w:eastAsia="Times New Roman" w:hAnsi="Times New Roman"/>
          <w:sz w:val="20"/>
          <w:szCs w:val="20"/>
          <w:color w:val="auto"/>
        </w:rPr>
        <w:t>” shall mean books, records, ledger cards, files, correspondence, customer lists, blueprints, technical specifications, manuals, Software, computer printouts, tapes, disks and related data processing Software and similar items owned by 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Grantor (or in which a Grantor has rights) that at any time evidence or contain information relating to any of the Collateral or are otherwise necessary or helpful in the collection thereof or realization thereupon.</w:t>
      </w:r>
    </w:p>
    <w:p>
      <w:pPr>
        <w:spacing w:after="0" w:line="91"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Support</w:t>
      </w:r>
      <w:r>
        <w:rPr>
          <w:rFonts w:ascii="Times New Roman" w:cs="Times New Roman" w:eastAsia="Times New Roman" w:hAnsi="Times New Roman"/>
          <w:sz w:val="20"/>
          <w:szCs w:val="20"/>
          <w:color w:val="auto"/>
        </w:rPr>
        <w:t>” shall mean all property (real or personal) assigned, hypothecated or otherwise securing any Collateral and shall include any security agreement or other agreement granting a lien or security interest in such real or personal property.</w:t>
      </w:r>
    </w:p>
    <w:p>
      <w:pPr>
        <w:spacing w:after="0" w:line="8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Tort Claims</w:t>
      </w:r>
      <w:r>
        <w:rPr>
          <w:rFonts w:ascii="Times New Roman" w:cs="Times New Roman" w:eastAsia="Times New Roman" w:hAnsi="Times New Roman"/>
          <w:sz w:val="20"/>
          <w:szCs w:val="20"/>
          <w:color w:val="auto"/>
        </w:rPr>
        <w:t xml:space="preserve">” shall mean all “commercial tort claims” as defined in Article 9 of the UCC, including, without limitation, all commercial tort claims listed on </w:t>
      </w:r>
      <w:r>
        <w:rPr>
          <w:rFonts w:ascii="Times New Roman" w:cs="Times New Roman" w:eastAsia="Times New Roman" w:hAnsi="Times New Roman"/>
          <w:sz w:val="20"/>
          <w:szCs w:val="20"/>
          <w:u w:val="single" w:color="auto"/>
          <w:color w:val="auto"/>
        </w:rPr>
        <w:t>Schedule 4.8</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89"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Commodities Accounts</w:t>
      </w:r>
      <w:r>
        <w:rPr>
          <w:rFonts w:ascii="Times New Roman" w:cs="Times New Roman" w:eastAsia="Times New Roman" w:hAnsi="Times New Roman"/>
          <w:sz w:val="20"/>
          <w:szCs w:val="20"/>
          <w:color w:val="auto"/>
        </w:rPr>
        <w:t xml:space="preserve">” (i) shall mean all “commodity accounts” as defined in Article 9 of the UCC and (ii) shall include, without limitation, all of the accounts listed on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under the heading “Commodities Accounts”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Copyright Licenses</w:t>
      </w:r>
      <w:r>
        <w:rPr>
          <w:rFonts w:ascii="Times New Roman" w:cs="Times New Roman" w:eastAsia="Times New Roman" w:hAnsi="Times New Roman"/>
          <w:sz w:val="19"/>
          <w:szCs w:val="19"/>
          <w:color w:val="auto"/>
        </w:rPr>
        <w:t>” shall mean any and all agreements providing for the granting of any right in or to Copyrights, other than off-the-shelf software and software subject to shrink-wrap, click-wrap and other generally commercially available licenses (whether any Grantor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is licensee or licensor thereunder) including, without limitation, each agreement referred to in </w:t>
      </w:r>
      <w:r>
        <w:rPr>
          <w:rFonts w:ascii="Times New Roman" w:cs="Times New Roman" w:eastAsia="Times New Roman" w:hAnsi="Times New Roman"/>
          <w:sz w:val="20"/>
          <w:szCs w:val="20"/>
          <w:u w:val="single" w:color="auto"/>
          <w:color w:val="auto"/>
        </w:rPr>
        <w:t>Schedule 4.7(B)</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“Copyright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Licenses” shall not include any Excluded Assets.</w:t>
      </w:r>
    </w:p>
    <w:p>
      <w:pPr>
        <w:spacing w:after="0" w:line="10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Copyrights</w:t>
      </w:r>
      <w:r>
        <w:rPr>
          <w:rFonts w:ascii="Times New Roman" w:cs="Times New Roman" w:eastAsia="Times New Roman" w:hAnsi="Times New Roman"/>
          <w:sz w:val="19"/>
          <w:szCs w:val="19"/>
          <w:color w:val="auto"/>
        </w:rPr>
        <w:t>” shall mean all United States copyrights (including community designs), including but not limited to copyrights in Software and databases, and all Mask Works (as defined under 17 U.S.C. 901 of the U.S. Copyright Act), whether registered or unregistered,</w:t>
      </w:r>
    </w:p>
    <w:p>
      <w:pPr>
        <w:spacing w:after="0" w:line="211" w:lineRule="auto"/>
        <w:rPr>
          <w:sz w:val="20"/>
          <w:szCs w:val="20"/>
          <w:color w:val="auto"/>
        </w:rPr>
      </w:pPr>
      <w:r>
        <w:rPr>
          <w:rFonts w:ascii="Times New Roman" w:cs="Times New Roman" w:eastAsia="Times New Roman" w:hAnsi="Times New Roman"/>
          <w:sz w:val="20"/>
          <w:szCs w:val="20"/>
          <w:color w:val="auto"/>
        </w:rPr>
        <w:t>and, with respect to any and all of the foregoing: (i) all registrations and applications therefor including, without limitation, the registrations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and applications referred to in </w:t>
      </w:r>
      <w:r>
        <w:rPr>
          <w:rFonts w:ascii="Times New Roman" w:cs="Times New Roman" w:eastAsia="Times New Roman" w:hAnsi="Times New Roman"/>
          <w:sz w:val="19"/>
          <w:szCs w:val="19"/>
          <w:u w:val="single" w:color="auto"/>
          <w:color w:val="auto"/>
        </w:rPr>
        <w:t>Schedule 4.7(A)</w:t>
      </w:r>
      <w:r>
        <w:rPr>
          <w:rFonts w:ascii="Times New Roman" w:cs="Times New Roman" w:eastAsia="Times New Roman" w:hAnsi="Times New Roman"/>
          <w:sz w:val="19"/>
          <w:szCs w:val="19"/>
          <w:color w:val="auto"/>
        </w:rPr>
        <w:t xml:space="preserve"> (as such Schedule may be amended, restated, supplemented or otherwise modified from time to time in accordance with Section 5.4), (ii) all extensions and renewals thereof, (iii) all rights corresponding thereto throughout the world,</w:t>
      </w:r>
    </w:p>
    <w:p>
      <w:pPr>
        <w:jc w:val="both"/>
        <w:ind w:firstLine="8"/>
        <w:spacing w:after="0" w:line="218" w:lineRule="auto"/>
        <w:tabs>
          <w:tab w:leader="none" w:pos="35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rights to sue for past, present and future infringements thereof, and (v) all Proceeds of the foregoing, including, without limitation, licenses, royalties, income, payments, claims, damages and proceeds of suit,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“Copyrights” shall not include any Excluded Assets.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shall have the meaning set forth in the recitals.</w:t>
      </w:r>
    </w:p>
    <w:p>
      <w:pPr>
        <w:spacing w:after="0" w:line="13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Accounts</w:t>
      </w:r>
      <w:r>
        <w:rPr>
          <w:rFonts w:ascii="Times New Roman" w:cs="Times New Roman" w:eastAsia="Times New Roman" w:hAnsi="Times New Roman"/>
          <w:sz w:val="20"/>
          <w:szCs w:val="20"/>
          <w:color w:val="auto"/>
        </w:rPr>
        <w:t xml:space="preserve">” (i) shall mean all “deposit accounts” as defined in Article 9 of the UCC and (ii) shall include, without limitation, all of the accounts listed on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under the heading “Deposit Accounts” (as such Schedule may be amended, restated,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Documents</w:t>
      </w:r>
      <w:r>
        <w:rPr>
          <w:rFonts w:ascii="Times New Roman" w:cs="Times New Roman" w:eastAsia="Times New Roman" w:hAnsi="Times New Roman"/>
          <w:sz w:val="20"/>
          <w:szCs w:val="20"/>
          <w:color w:val="auto"/>
        </w:rPr>
        <w:t>” shall mean all “documents” as defined in Article 9 of the UCC.</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Equipment</w:t>
      </w:r>
      <w:r>
        <w:rPr>
          <w:rFonts w:ascii="Times New Roman" w:cs="Times New Roman" w:eastAsia="Times New Roman" w:hAnsi="Times New Roman"/>
          <w:sz w:val="20"/>
          <w:szCs w:val="20"/>
          <w:color w:val="auto"/>
        </w:rPr>
        <w:t>” shall mean: (i) all “equipment” as defined in Article 9 of the UCC, (ii) all machinery, manufacturing equipment, data processing equipment, computers, office equipment,</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furnishings, furniture, appliances, fixtures and tools (in each case, regardless of whether characterized as equipment under the UCC) and (iii)</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all accessions or additions thereto, all parts thereof, whether or not at any time of determination incorporated or installed therein or attached thereto, and all replacements therefor, wherever located, now or hereafter existing, including any fixtures.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Accounts</w:t>
      </w:r>
      <w:r>
        <w:rPr>
          <w:rFonts w:ascii="Times New Roman" w:cs="Times New Roman" w:eastAsia="Times New Roman" w:hAnsi="Times New Roman"/>
          <w:sz w:val="19"/>
          <w:szCs w:val="19"/>
          <w:color w:val="auto"/>
        </w:rPr>
        <w:t>” shall mean, collectively, (i) each Deposit Account that serves solely as a designated payroll, withholding tax,</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insurance trust, escrow or other fiduciary trust account maintained by a Grantor so long as such account holds, as applicable, only the funds necessary to pay the accrued payroll, employee benefit, tax or insurance obligations of such Grantor or funds required by any applicable law</w:t>
      </w:r>
    </w:p>
    <w:p>
      <w:pPr>
        <w:spacing w:after="0" w:line="211" w:lineRule="auto"/>
        <w:rPr>
          <w:sz w:val="20"/>
          <w:szCs w:val="20"/>
          <w:color w:val="auto"/>
        </w:rPr>
      </w:pPr>
      <w:r>
        <w:rPr>
          <w:rFonts w:ascii="Times New Roman" w:cs="Times New Roman" w:eastAsia="Times New Roman" w:hAnsi="Times New Roman"/>
          <w:sz w:val="20"/>
          <w:szCs w:val="20"/>
          <w:color w:val="auto"/>
        </w:rPr>
        <w:t>or any Contractual Obligations to be held in trust or in escrow; (ii) each Deposit Account that solely holds Cash and Cash Equivalents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securing letters of credit or Interest Rate Agreements permitted under </w:t>
      </w:r>
      <w:r>
        <w:rPr>
          <w:rFonts w:ascii="Times New Roman" w:cs="Times New Roman" w:eastAsia="Times New Roman" w:hAnsi="Times New Roman"/>
          <w:sz w:val="20"/>
          <w:szCs w:val="20"/>
          <w:u w:val="single" w:color="auto"/>
          <w:color w:val="auto"/>
        </w:rPr>
        <w:t>Section 6.02(r)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6.02(s)</w:t>
      </w:r>
      <w:r>
        <w:rPr>
          <w:rFonts w:ascii="Times New Roman" w:cs="Times New Roman" w:eastAsia="Times New Roman" w:hAnsi="Times New Roman"/>
          <w:sz w:val="20"/>
          <w:szCs w:val="20"/>
          <w:color w:val="auto"/>
        </w:rPr>
        <w:t xml:space="preserve"> of the Credit Agreement; (iii) each Deposit Account maintained by any Grantor solely to hold funds (A) for the purpose of honoring payment instruments, customer fund transfers,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stored value obligations, and other regulated outstanding liabilities (including any outstanding liabilities that would be regulated but for an exemption to a state's money transmission law or the absence of an applicable money transmission law) in the ordinary course of business in</w:t>
      </w:r>
    </w:p>
    <w:p>
      <w:pPr>
        <w:spacing w:after="0" w:line="211" w:lineRule="auto"/>
        <w:rPr>
          <w:sz w:val="20"/>
          <w:szCs w:val="20"/>
          <w:color w:val="auto"/>
        </w:rPr>
      </w:pPr>
      <w:r>
        <w:rPr>
          <w:rFonts w:ascii="Times New Roman" w:cs="Times New Roman" w:eastAsia="Times New Roman" w:hAnsi="Times New Roman"/>
          <w:sz w:val="20"/>
          <w:szCs w:val="20"/>
          <w:color w:val="auto"/>
        </w:rPr>
        <w:t>engaging in any activity as a regulated or exempt money transmitter, (B) for Merchant reserves or otherwise held in trust for the benefit of</w:t>
      </w:r>
    </w:p>
    <w:p>
      <w:pPr>
        <w:spacing w:after="0" w:line="215" w:lineRule="auto"/>
        <w:rPr>
          <w:sz w:val="20"/>
          <w:szCs w:val="20"/>
          <w:color w:val="auto"/>
        </w:rPr>
      </w:pPr>
      <w:r>
        <w:rPr>
          <w:rFonts w:ascii="Times New Roman" w:cs="Times New Roman" w:eastAsia="Times New Roman" w:hAnsi="Times New Roman"/>
          <w:sz w:val="19"/>
          <w:szCs w:val="19"/>
          <w:color w:val="auto"/>
        </w:rPr>
        <w:t>Merchants (including any funds in a Reserve Funds Account), and amounts constituting reserves and/or segregated amounts held by a Processor which may be subject to offset under any Processor Agreement and/or (C) in an agency capacity for the purpose of processing third</w:t>
      </w:r>
    </w:p>
    <w:p>
      <w:pPr>
        <w:spacing w:after="0" w:line="211" w:lineRule="auto"/>
        <w:rPr>
          <w:sz w:val="20"/>
          <w:szCs w:val="20"/>
          <w:color w:val="auto"/>
        </w:rPr>
      </w:pPr>
      <w:r>
        <w:rPr>
          <w:rFonts w:ascii="Times New Roman" w:cs="Times New Roman" w:eastAsia="Times New Roman" w:hAnsi="Times New Roman"/>
          <w:sz w:val="20"/>
          <w:szCs w:val="20"/>
          <w:color w:val="auto"/>
        </w:rPr>
        <w:t>party payments in the ordinary course of business and (iv) any other Deposit Account that has (and will continue to have) a maximum</w:t>
      </w:r>
    </w:p>
    <w:p>
      <w:pPr>
        <w:spacing w:after="0" w:line="221" w:lineRule="auto"/>
        <w:rPr>
          <w:sz w:val="20"/>
          <w:szCs w:val="20"/>
          <w:color w:val="auto"/>
        </w:rPr>
      </w:pPr>
      <w:r>
        <w:rPr>
          <w:rFonts w:ascii="Times New Roman" w:cs="Times New Roman" w:eastAsia="Times New Roman" w:hAnsi="Times New Roman"/>
          <w:sz w:val="20"/>
          <w:szCs w:val="20"/>
          <w:color w:val="auto"/>
        </w:rPr>
        <w:t>average monthly balance that does not exceed $1,500,000 (provided that the aggregate amount of all funds in all such accounts deemed Excluded Accounts by operation of this clause (iv) at any time shall not exceed $5,000,000).</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Capital Stock</w:t>
      </w:r>
      <w:r>
        <w:rPr>
          <w:rFonts w:ascii="Times New Roman" w:cs="Times New Roman" w:eastAsia="Times New Roman" w:hAnsi="Times New Roman"/>
          <w:sz w:val="20"/>
          <w:szCs w:val="20"/>
          <w:color w:val="auto"/>
        </w:rPr>
        <w:t>” shall mean, at any time, (i) in excess of 65% of voting Capital Stock in respect of (A) any Domestic Holding Company and (B) any Foreign Subsidiary that is a CFC, (ii) any Capital Stock of any Unrestricted Subsidiary (until such time, if at</w:t>
      </w:r>
    </w:p>
    <w:p>
      <w:pPr>
        <w:spacing w:after="0" w:line="213" w:lineRule="auto"/>
        <w:rPr>
          <w:sz w:val="20"/>
          <w:szCs w:val="20"/>
          <w:color w:val="auto"/>
        </w:rPr>
      </w:pPr>
      <w:r>
        <w:rPr>
          <w:rFonts w:ascii="Times New Roman" w:cs="Times New Roman" w:eastAsia="Times New Roman" w:hAnsi="Times New Roman"/>
          <w:sz w:val="20"/>
          <w:szCs w:val="20"/>
          <w:color w:val="auto"/>
        </w:rPr>
        <w:t>all, as such Unrestricted Subsidiary becomes a Restricted Subsidiary in accordance with the Credit Agreement), (iii) any Capital Stock if, to</w:t>
      </w:r>
    </w:p>
    <w:p>
      <w:pPr>
        <w:spacing w:after="0" w:line="204" w:lineRule="auto"/>
        <w:rPr>
          <w:sz w:val="20"/>
          <w:szCs w:val="20"/>
          <w:color w:val="auto"/>
        </w:rPr>
      </w:pPr>
      <w:r>
        <w:rPr>
          <w:rFonts w:ascii="Times New Roman" w:cs="Times New Roman" w:eastAsia="Times New Roman" w:hAnsi="Times New Roman"/>
          <w:sz w:val="20"/>
          <w:szCs w:val="20"/>
          <w:color w:val="auto"/>
        </w:rPr>
        <w:t>the extent and for so long as the pledge of such Capital Stock hereunder is prohibited or restricted by any applicable law (other than to the extent such prohibition would be rendered ineffective under the UCC or other applicable law), (iv) any Capital Stock in joint ventures and</w:t>
      </w:r>
    </w:p>
    <w:p>
      <w:pPr>
        <w:spacing w:after="0" w:line="211" w:lineRule="auto"/>
        <w:rPr>
          <w:sz w:val="20"/>
          <w:szCs w:val="20"/>
          <w:color w:val="auto"/>
        </w:rPr>
      </w:pPr>
      <w:r>
        <w:rPr>
          <w:rFonts w:ascii="Times New Roman" w:cs="Times New Roman" w:eastAsia="Times New Roman" w:hAnsi="Times New Roman"/>
          <w:sz w:val="20"/>
          <w:szCs w:val="20"/>
          <w:color w:val="auto"/>
        </w:rPr>
        <w:t>non-wholly owned Restricted Subsidiaries (including, without limitation, Permitted Joint Ventures, but excluding the portion of the Capital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Stock of Designated Restricted Subsidiaries held by a Grantor) to the extent that and for so long as, a pledge of such Capital Stock hereunder is prohibited or restricted by any applicable shareholder agreement, organizational document, joint venture document or other contractual</w:t>
      </w:r>
    </w:p>
    <w:p>
      <w:pPr>
        <w:spacing w:after="0" w:line="211" w:lineRule="auto"/>
        <w:rPr>
          <w:sz w:val="20"/>
          <w:szCs w:val="20"/>
          <w:color w:val="auto"/>
        </w:rPr>
      </w:pPr>
      <w:r>
        <w:rPr>
          <w:rFonts w:ascii="Times New Roman" w:cs="Times New Roman" w:eastAsia="Times New Roman" w:hAnsi="Times New Roman"/>
          <w:sz w:val="20"/>
          <w:szCs w:val="20"/>
          <w:color w:val="auto"/>
        </w:rPr>
        <w:t>arrangement thereto (or would otherwise require consent of any other Person (other than the consent of the Borrower Representative or any</w:t>
      </w:r>
    </w:p>
    <w:p>
      <w:pPr>
        <w:spacing w:after="0" w:line="221" w:lineRule="auto"/>
        <w:rPr>
          <w:sz w:val="20"/>
          <w:szCs w:val="20"/>
          <w:color w:val="auto"/>
        </w:rPr>
      </w:pPr>
      <w:r>
        <w:rPr>
          <w:rFonts w:ascii="Times New Roman" w:cs="Times New Roman" w:eastAsia="Times New Roman" w:hAnsi="Times New Roman"/>
          <w:sz w:val="20"/>
          <w:szCs w:val="20"/>
          <w:color w:val="auto"/>
        </w:rPr>
        <w:t>its Subsidiaries (unless such consent has already been obtained)), (v) any Capital Stock in any Immaterial Subsidiaries (other than any Guarantor), and (vi) any Capital Stock in any captive insurance Subsidiary, a not-for-profit entity or any Receivables Subsidiary.</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Intangibles</w:t>
      </w:r>
      <w:r>
        <w:rPr>
          <w:rFonts w:ascii="Times New Roman" w:cs="Times New Roman" w:eastAsia="Times New Roman" w:hAnsi="Times New Roman"/>
          <w:sz w:val="20"/>
          <w:szCs w:val="20"/>
          <w:color w:val="auto"/>
        </w:rPr>
        <w:t>” (i) shall mean all “general intangibles” as defined in Article 9 of the UCC, including “payment intangibles”</w:t>
      </w:r>
    </w:p>
    <w:p>
      <w:pPr>
        <w:ind w:right="20"/>
        <w:spacing w:after="0" w:line="204" w:lineRule="auto"/>
        <w:rPr>
          <w:sz w:val="20"/>
          <w:szCs w:val="20"/>
          <w:color w:val="auto"/>
        </w:rPr>
      </w:pPr>
      <w:r>
        <w:rPr>
          <w:rFonts w:ascii="Times New Roman" w:cs="Times New Roman" w:eastAsia="Times New Roman" w:hAnsi="Times New Roman"/>
          <w:sz w:val="20"/>
          <w:szCs w:val="20"/>
          <w:color w:val="auto"/>
        </w:rPr>
        <w:t>also as defined in Article 9 of the UCC and (ii) shall include, without limitation, all interest rate or currency protection or hedging arrangements, all tax refunds, all licenses, permits, concessions and authorizations and all Intellectual Property (in each case, regardless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whether characterized as general intangibles under the UCC).</w:t>
      </w:r>
    </w:p>
    <w:p>
      <w:pPr>
        <w:spacing w:after="0" w:line="10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Goods</w:t>
      </w:r>
      <w:r>
        <w:rPr>
          <w:rFonts w:ascii="Times New Roman" w:cs="Times New Roman" w:eastAsia="Times New Roman" w:hAnsi="Times New Roman"/>
          <w:sz w:val="20"/>
          <w:szCs w:val="20"/>
          <w:color w:val="auto"/>
        </w:rPr>
        <w:t>” (i) shall mean all “goods” as defined in Article 9 of the UCC and (ii) shall include, without limitation, all Inventory and Equipment (in each case, regardless of whether characterized as goods under the UCC).</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Grantors</w:t>
      </w:r>
      <w:r>
        <w:rPr>
          <w:rFonts w:ascii="Times New Roman" w:cs="Times New Roman" w:eastAsia="Times New Roman" w:hAnsi="Times New Roman"/>
          <w:sz w:val="20"/>
          <w:szCs w:val="20"/>
          <w:color w:val="auto"/>
        </w:rPr>
        <w:t>” shall have the meaning set forth in the preamble.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Instruments</w:t>
      </w:r>
      <w:r>
        <w:rPr>
          <w:rFonts w:ascii="Times New Roman" w:cs="Times New Roman" w:eastAsia="Times New Roman" w:hAnsi="Times New Roman"/>
          <w:sz w:val="20"/>
          <w:szCs w:val="20"/>
          <w:color w:val="auto"/>
        </w:rPr>
        <w:t>” shall mean all “instruments” as defined in Article 9 of the UCC.</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shall mean all insurance policies covering any or all of the Collateral (regardless of whether Collateral Agent is the loss payee thereof).</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shall mean, collectively, the Copyrights, the Patents, the Trademarks and the Trade Secrets.</w:t>
      </w:r>
    </w:p>
    <w:p>
      <w:pPr>
        <w:spacing w:after="0" w:line="13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Licenses</w:t>
      </w:r>
      <w:r>
        <w:rPr>
          <w:rFonts w:ascii="Times New Roman" w:cs="Times New Roman" w:eastAsia="Times New Roman" w:hAnsi="Times New Roman"/>
          <w:sz w:val="20"/>
          <w:szCs w:val="20"/>
          <w:color w:val="auto"/>
        </w:rPr>
        <w:t>” shall mean the Copyright Licenses, the Patent Licenses, the Trademark Licenses, and the Trade Secret Licenses.</w:t>
      </w:r>
    </w:p>
    <w:p>
      <w:pPr>
        <w:spacing w:after="0" w:line="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Inventory</w:t>
      </w:r>
      <w:r>
        <w:rPr>
          <w:rFonts w:ascii="Times New Roman" w:cs="Times New Roman" w:eastAsia="Times New Roman" w:hAnsi="Times New Roman"/>
          <w:sz w:val="19"/>
          <w:szCs w:val="19"/>
          <w:color w:val="auto"/>
        </w:rPr>
        <w:t>” shall mean (i) all “inventory” as defined in Article 9 of the UCC; (ii) all goods held for sale or lease or to be furnished under contracts of service or so leased or furnished, all raw materials, work in process, finished goods, and materials used or consumed in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manufacture, packing, shipping, advertising, selling, leasing, furnishing or production of such inventory or otherwise used or consumed in any Grantor’s business; (iii) all goods in which any Grantor has an interest in mass or a joint or other interest or right of any kind, but only to</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extent of such Grantor’s interest in such goods; and (iv) all goods which are returned to or repossessed by any Grantor, all computer programs embedded in any goods other than a computer program embedded consisting solely of the medium in which the program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and all accessions thereto and products thereof (in each case, regardless of whether characterized as inventory under the UCC).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Accounts</w:t>
      </w:r>
      <w:r>
        <w:rPr>
          <w:rFonts w:ascii="Times New Roman" w:cs="Times New Roman" w:eastAsia="Times New Roman" w:hAnsi="Times New Roman"/>
          <w:sz w:val="20"/>
          <w:szCs w:val="20"/>
          <w:color w:val="auto"/>
        </w:rPr>
        <w:t>” shall mean the Securities Accounts and Commodities Accounts.</w:t>
      </w:r>
    </w:p>
    <w:p>
      <w:pPr>
        <w:spacing w:after="0" w:line="12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Related Property</w:t>
      </w:r>
      <w:r>
        <w:rPr>
          <w:rFonts w:ascii="Times New Roman" w:cs="Times New Roman" w:eastAsia="Times New Roman" w:hAnsi="Times New Roman"/>
          <w:sz w:val="20"/>
          <w:szCs w:val="20"/>
          <w:color w:val="auto"/>
        </w:rPr>
        <w:t xml:space="preserve">” shall mean: (i) all “investment property” (as such term is defined in Article 9 of the UCC) and (ii) all of the following (regardless of whether classified as investment property under the UCC): all Pledged Equity Interests, Pledged Debt, the Investment Accounts and certificates of deposit;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“Investment Related Property” shall not include any Excluded Asset.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shall have the meaning set forth in the recitals.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Right</w:t>
      </w:r>
      <w:r>
        <w:rPr>
          <w:rFonts w:ascii="Times New Roman" w:cs="Times New Roman" w:eastAsia="Times New Roman" w:hAnsi="Times New Roman"/>
          <w:sz w:val="20"/>
          <w:szCs w:val="20"/>
          <w:color w:val="auto"/>
        </w:rPr>
        <w:t>” shall mean “letter-of-credit right” as defined in Article 9 of the UCC.</w:t>
      </w:r>
    </w:p>
    <w:p>
      <w:pPr>
        <w:spacing w:after="0" w:line="13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 Licenses</w:t>
      </w:r>
      <w:r>
        <w:rPr>
          <w:rFonts w:ascii="Times New Roman" w:cs="Times New Roman" w:eastAsia="Times New Roman" w:hAnsi="Times New Roman"/>
          <w:sz w:val="19"/>
          <w:szCs w:val="19"/>
          <w:color w:val="auto"/>
        </w:rPr>
        <w:t xml:space="preserve">” shall mean all agreements providing for the granting of any right in or to Patents (whether any Grantor is licensee or licensor thereunder) including, without limitation, each agreement referred to in </w:t>
      </w:r>
      <w:r>
        <w:rPr>
          <w:rFonts w:ascii="Times New Roman" w:cs="Times New Roman" w:eastAsia="Times New Roman" w:hAnsi="Times New Roman"/>
          <w:sz w:val="19"/>
          <w:szCs w:val="19"/>
          <w:u w:val="single" w:color="auto"/>
          <w:color w:val="auto"/>
        </w:rPr>
        <w:t>Schedule 4.7(D)</w:t>
      </w:r>
      <w:r>
        <w:rPr>
          <w:rFonts w:ascii="Times New Roman" w:cs="Times New Roman" w:eastAsia="Times New Roman" w:hAnsi="Times New Roman"/>
          <w:sz w:val="19"/>
          <w:szCs w:val="19"/>
          <w:color w:val="auto"/>
        </w:rPr>
        <w:t xml:space="preserve"> (as such Schedule may be amended,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“Patent Licenses” shall not include any Excluded Assets.</w:t>
      </w:r>
    </w:p>
    <w:p>
      <w:pPr>
        <w:spacing w:after="0" w:line="9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xml:space="preserve">” shall mean all United States patents and certificates of invention, or similar industrial property rights, and applications for any of the foregoing, including, but not limited to: (i) each issued patent and patent application referred to in </w:t>
      </w:r>
      <w:r>
        <w:rPr>
          <w:rFonts w:ascii="Times New Roman" w:cs="Times New Roman" w:eastAsia="Times New Roman" w:hAnsi="Times New Roman"/>
          <w:sz w:val="19"/>
          <w:szCs w:val="19"/>
          <w:u w:val="single" w:color="auto"/>
          <w:color w:val="auto"/>
        </w:rPr>
        <w:t>Schedule 4.7(C)</w:t>
      </w:r>
      <w:r>
        <w:rPr>
          <w:rFonts w:ascii="Times New Roman" w:cs="Times New Roman" w:eastAsia="Times New Roman" w:hAnsi="Times New Roman"/>
          <w:sz w:val="19"/>
          <w:szCs w:val="19"/>
          <w:color w:val="auto"/>
        </w:rPr>
        <w:t xml:space="preserve"> hereto (as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(ii) all reissues, divisions, continuations, continuations-in-part, extensions, renewals, and reexaminations thereof, (iii) all rights corresponding thereto</w:t>
      </w:r>
    </w:p>
    <w:p>
      <w:pPr>
        <w:spacing w:after="0" w:line="211" w:lineRule="auto"/>
        <w:rPr>
          <w:sz w:val="20"/>
          <w:szCs w:val="20"/>
          <w:color w:val="auto"/>
        </w:rPr>
      </w:pPr>
      <w:r>
        <w:rPr>
          <w:rFonts w:ascii="Times New Roman" w:cs="Times New Roman" w:eastAsia="Times New Roman" w:hAnsi="Times New Roman"/>
          <w:sz w:val="20"/>
          <w:szCs w:val="20"/>
          <w:color w:val="auto"/>
        </w:rPr>
        <w:t>throughout the world, (iv) all inventions and improvements described therein, (v) all rights to sue for past, present and future infringements</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thereof and (vi) all Proceeds of the foregoing, including, without limitation, licenses, royalties, income, payments, claims, damages, and proceeds of suit,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“Patents “ shall not include any Excluded Assets.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 Supplement</w:t>
      </w:r>
      <w:r>
        <w:rPr>
          <w:rFonts w:ascii="Times New Roman" w:cs="Times New Roman" w:eastAsia="Times New Roman" w:hAnsi="Times New Roman"/>
          <w:sz w:val="20"/>
          <w:szCs w:val="20"/>
          <w:color w:val="auto"/>
        </w:rPr>
        <w:t xml:space="preserve">” shall mean any supplement to this agreement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Pledged Debt</w:t>
      </w:r>
      <w:r>
        <w:rPr>
          <w:rFonts w:ascii="Times New Roman" w:cs="Times New Roman" w:eastAsia="Times New Roman" w:hAnsi="Times New Roman"/>
          <w:sz w:val="19"/>
          <w:szCs w:val="19"/>
          <w:color w:val="auto"/>
        </w:rPr>
        <w:t xml:space="preserve">” shall mean all Indebtedness for borrowed money owed to any Grantor, including, without limitation, all Indebtedness described on </w:t>
      </w:r>
      <w:r>
        <w:rPr>
          <w:rFonts w:ascii="Times New Roman" w:cs="Times New Roman" w:eastAsia="Times New Roman" w:hAnsi="Times New Roman"/>
          <w:sz w:val="19"/>
          <w:szCs w:val="19"/>
          <w:u w:val="single" w:color="auto"/>
          <w:color w:val="auto"/>
        </w:rPr>
        <w:t>Schedule 4.4(A)</w:t>
      </w:r>
      <w:r>
        <w:rPr>
          <w:rFonts w:ascii="Times New Roman" w:cs="Times New Roman" w:eastAsia="Times New Roman" w:hAnsi="Times New Roman"/>
          <w:sz w:val="19"/>
          <w:szCs w:val="19"/>
          <w:color w:val="auto"/>
        </w:rPr>
        <w:t xml:space="preserve"> under the heading “Pledged Debt” (as such Schedule may be amended, restated, supplemented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issued by the obligors named therein, the Instruments evidencing such Indebtedness, and all interest, cash, Instruments and other property or proceeds from time to time</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received, receivable or otherwise distributed in respect of or in exchange for any or all of such Indebtedness, in all cases other than any Excluded Asset.</w:t>
      </w:r>
    </w:p>
    <w:p>
      <w:pPr>
        <w:spacing w:after="0" w:line="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Equity Interests</w:t>
      </w:r>
      <w:r>
        <w:rPr>
          <w:rFonts w:ascii="Times New Roman" w:cs="Times New Roman" w:eastAsia="Times New Roman" w:hAnsi="Times New Roman"/>
          <w:sz w:val="20"/>
          <w:szCs w:val="20"/>
          <w:color w:val="auto"/>
        </w:rPr>
        <w:t>” shall mean all Pledged Stock, Pledged LLC Interests, Pledged Partnership Interests and Pledged Trust Interests.</w:t>
      </w:r>
    </w:p>
    <w:p>
      <w:pPr>
        <w:spacing w:after="0" w:line="9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Pledged LLC Interests</w:t>
      </w:r>
      <w:r>
        <w:rPr>
          <w:rFonts w:ascii="Times New Roman" w:cs="Times New Roman" w:eastAsia="Times New Roman" w:hAnsi="Times New Roman"/>
          <w:sz w:val="19"/>
          <w:szCs w:val="19"/>
          <w:color w:val="auto"/>
        </w:rPr>
        <w:t xml:space="preserve">” shall mean all interests in any limited liability company owned by any Grantor, including, without limitation, all limited liability company interests listed on </w:t>
      </w:r>
      <w:r>
        <w:rPr>
          <w:rFonts w:ascii="Times New Roman" w:cs="Times New Roman" w:eastAsia="Times New Roman" w:hAnsi="Times New Roman"/>
          <w:sz w:val="19"/>
          <w:szCs w:val="19"/>
          <w:u w:val="single" w:color="auto"/>
          <w:color w:val="auto"/>
        </w:rPr>
        <w:t>Schedule 4.4(A)</w:t>
      </w:r>
      <w:r>
        <w:rPr>
          <w:rFonts w:ascii="Times New Roman" w:cs="Times New Roman" w:eastAsia="Times New Roman" w:hAnsi="Times New Roman"/>
          <w:sz w:val="19"/>
          <w:szCs w:val="19"/>
          <w:color w:val="auto"/>
        </w:rPr>
        <w:t xml:space="preserve"> under the heading “Pledged LLC Interests” (as such Schedule may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and the certificates, instruments</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agreements, if any, representing such limited liability company interests and any interest of such Grantor on the books and records of such limited liability company or on the books and records of any securities intermediary pertaining to such interest and all dividends,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distributions, cash, warrants, rights, options, instruments, securities and other property or proceeds from time to time received, receivable or otherwise distributed in respect of or in exchange for any or all of such limited liability company interests, in all cases other than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Excluded Asset.</w:t>
      </w:r>
    </w:p>
    <w:p>
      <w:pPr>
        <w:spacing w:after="0" w:line="10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Pledged Partnership Interests</w:t>
      </w:r>
      <w:r>
        <w:rPr>
          <w:rFonts w:ascii="Times New Roman" w:cs="Times New Roman" w:eastAsia="Times New Roman" w:hAnsi="Times New Roman"/>
          <w:sz w:val="19"/>
          <w:szCs w:val="19"/>
          <w:color w:val="auto"/>
        </w:rPr>
        <w:t xml:space="preserve">” shall mean all interests in any general partnership, limited partnership, limited liability partnership or other partnership owned by any Grantor including, without limitation, all partnership interests listed on </w:t>
      </w:r>
      <w:r>
        <w:rPr>
          <w:rFonts w:ascii="Times New Roman" w:cs="Times New Roman" w:eastAsia="Times New Roman" w:hAnsi="Times New Roman"/>
          <w:sz w:val="19"/>
          <w:szCs w:val="19"/>
          <w:u w:val="single" w:color="auto"/>
          <w:color w:val="auto"/>
        </w:rPr>
        <w:t>Schedule 4.4(A)</w:t>
      </w:r>
      <w:r>
        <w:rPr>
          <w:rFonts w:ascii="Times New Roman" w:cs="Times New Roman" w:eastAsia="Times New Roman" w:hAnsi="Times New Roman"/>
          <w:sz w:val="19"/>
          <w:szCs w:val="19"/>
          <w:color w:val="auto"/>
        </w:rPr>
        <w:t xml:space="preserve"> under the heading</w:t>
      </w:r>
    </w:p>
    <w:p>
      <w:pPr>
        <w:spacing w:after="0" w:line="211" w:lineRule="auto"/>
        <w:rPr>
          <w:sz w:val="20"/>
          <w:szCs w:val="20"/>
          <w:color w:val="auto"/>
        </w:rPr>
      </w:pPr>
      <w:r>
        <w:rPr>
          <w:rFonts w:ascii="Times New Roman" w:cs="Times New Roman" w:eastAsia="Times New Roman" w:hAnsi="Times New Roman"/>
          <w:sz w:val="20"/>
          <w:szCs w:val="20"/>
          <w:color w:val="auto"/>
        </w:rPr>
        <w:t>“Pledged Partnership Interests” (as such Schedule may be amended, restated, supplemented or otherwise modified from time to time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and the certificates, instruments and agreements, if any, representing such partnership interests and any interest of such Grantor on the books and records of such partnership or on the books and records of any securities intermediary pertaining to such</w:t>
      </w:r>
    </w:p>
    <w:p>
      <w:pPr>
        <w:spacing w:after="0" w:line="211" w:lineRule="auto"/>
        <w:rPr>
          <w:sz w:val="20"/>
          <w:szCs w:val="20"/>
          <w:color w:val="auto"/>
        </w:rPr>
      </w:pPr>
      <w:r>
        <w:rPr>
          <w:rFonts w:ascii="Times New Roman" w:cs="Times New Roman" w:eastAsia="Times New Roman" w:hAnsi="Times New Roman"/>
          <w:sz w:val="20"/>
          <w:szCs w:val="20"/>
          <w:color w:val="auto"/>
        </w:rPr>
        <w:t>interest and all dividends, distributions, cash, warrants, rights, options, instruments, securities and other property or proceeds from time to</w:t>
      </w:r>
    </w:p>
    <w:p>
      <w:pPr>
        <w:jc w:val="both"/>
        <w:spacing w:after="0" w:line="221" w:lineRule="auto"/>
        <w:rPr>
          <w:sz w:val="20"/>
          <w:szCs w:val="20"/>
          <w:color w:val="auto"/>
        </w:rPr>
      </w:pPr>
      <w:r>
        <w:rPr>
          <w:rFonts w:ascii="Times New Roman" w:cs="Times New Roman" w:eastAsia="Times New Roman" w:hAnsi="Times New Roman"/>
          <w:sz w:val="20"/>
          <w:szCs w:val="20"/>
          <w:color w:val="auto"/>
        </w:rPr>
        <w:t>time received, receivable or otherwise distributed in respect of or in exchange for any or all of such partnership interests, in all cases other than any Excluded Asset.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Stock</w:t>
      </w:r>
      <w:r>
        <w:rPr>
          <w:rFonts w:ascii="Times New Roman" w:cs="Times New Roman" w:eastAsia="Times New Roman" w:hAnsi="Times New Roman"/>
          <w:sz w:val="20"/>
          <w:szCs w:val="20"/>
          <w:color w:val="auto"/>
        </w:rPr>
        <w:t>” shall mean all shares of capital stock owned by any Grantor, including, without limitation, all shares of capital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stock described on </w:t>
      </w:r>
      <w:r>
        <w:rPr>
          <w:rFonts w:ascii="Times New Roman" w:cs="Times New Roman" w:eastAsia="Times New Roman" w:hAnsi="Times New Roman"/>
          <w:sz w:val="19"/>
          <w:szCs w:val="19"/>
          <w:u w:val="single" w:color="auto"/>
          <w:color w:val="auto"/>
        </w:rPr>
        <w:t>Schedule 4.4(A)</w:t>
      </w:r>
      <w:r>
        <w:rPr>
          <w:rFonts w:ascii="Times New Roman" w:cs="Times New Roman" w:eastAsia="Times New Roman" w:hAnsi="Times New Roman"/>
          <w:sz w:val="19"/>
          <w:szCs w:val="19"/>
          <w:color w:val="auto"/>
        </w:rPr>
        <w:t xml:space="preserve"> under the heading “Pledged Stock” (as such 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and the certificates, if any, representing such shares and any interest of</w:t>
      </w:r>
    </w:p>
    <w:p>
      <w:pPr>
        <w:spacing w:after="0" w:line="211" w:lineRule="auto"/>
        <w:rPr>
          <w:sz w:val="20"/>
          <w:szCs w:val="20"/>
          <w:color w:val="auto"/>
        </w:rPr>
      </w:pPr>
      <w:r>
        <w:rPr>
          <w:rFonts w:ascii="Times New Roman" w:cs="Times New Roman" w:eastAsia="Times New Roman" w:hAnsi="Times New Roman"/>
          <w:sz w:val="20"/>
          <w:szCs w:val="20"/>
          <w:color w:val="auto"/>
        </w:rPr>
        <w:t>such Grantor in the entries on the books of the issuer of such shares or on the books of any securities intermediary pertaining to such shares,</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all dividends, distributions, cash, warrants, rights, options, instruments, securities and other property or proceeds from time to time received, receivable or otherwise distributed in respect of or in exchange for any or all of such shares, in all cases other than any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w:t>
      </w:r>
    </w:p>
    <w:p>
      <w:pPr>
        <w:spacing w:after="0" w:line="109"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Trust Interests</w:t>
      </w:r>
      <w:r>
        <w:rPr>
          <w:rFonts w:ascii="Times New Roman" w:cs="Times New Roman" w:eastAsia="Times New Roman" w:hAnsi="Times New Roman"/>
          <w:sz w:val="20"/>
          <w:szCs w:val="20"/>
          <w:color w:val="auto"/>
        </w:rPr>
        <w:t xml:space="preserve">” shall mean all interests in a Delaware business trust or other trust owned by any Grantor including, without limitation, all trust interests listed on </w:t>
      </w:r>
      <w:r>
        <w:rPr>
          <w:rFonts w:ascii="Times New Roman" w:cs="Times New Roman" w:eastAsia="Times New Roman" w:hAnsi="Times New Roman"/>
          <w:sz w:val="20"/>
          <w:szCs w:val="20"/>
          <w:u w:val="single" w:color="auto"/>
          <w:color w:val="auto"/>
        </w:rPr>
        <w:t>Schedule 4.4(A)</w:t>
      </w:r>
      <w:r>
        <w:rPr>
          <w:rFonts w:ascii="Times New Roman" w:cs="Times New Roman" w:eastAsia="Times New Roman" w:hAnsi="Times New Roman"/>
          <w:sz w:val="20"/>
          <w:szCs w:val="20"/>
          <w:color w:val="auto"/>
        </w:rPr>
        <w:t xml:space="preserve"> under the heading “Pledged Trust Interests” (as such Schedule may be</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and the certificates, if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representing such trust interests and any interest of such Grantor on the books and records of such trust or on the books and records of any securities intermediary pertaining to such interest and all dividends, distributions, cash, warrants, rights, options, instruments, securities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other property or proceeds from time to time received, receivable or otherwise distributed in respect of or in exchange for any or all of such trust interests, in all cases other than any Excluded Asset.</w:t>
      </w:r>
    </w:p>
    <w:p>
      <w:pPr>
        <w:spacing w:after="0" w:line="9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Proceeds</w:t>
      </w:r>
      <w:r>
        <w:rPr>
          <w:rFonts w:ascii="Times New Roman" w:cs="Times New Roman" w:eastAsia="Times New Roman" w:hAnsi="Times New Roman"/>
          <w:sz w:val="20"/>
          <w:szCs w:val="20"/>
          <w:color w:val="auto"/>
        </w:rPr>
        <w:t>” shall mean: (i) all “proceeds” as defined in Article 9 of the UCC, (ii) payments or distributions made with respect to any Investment Related Property and (iii) whatever is receivable or received when Collateral or proceeds are sold, exchanged, collected or otherwise disposed of, whether such disposition is voluntary or involuntary.</w:t>
      </w:r>
    </w:p>
    <w:p>
      <w:pPr>
        <w:spacing w:after="0" w:line="8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Receivables</w:t>
      </w:r>
      <w:r>
        <w:rPr>
          <w:rFonts w:ascii="Times New Roman" w:cs="Times New Roman" w:eastAsia="Times New Roman" w:hAnsi="Times New Roman"/>
          <w:sz w:val="20"/>
          <w:szCs w:val="20"/>
          <w:color w:val="auto"/>
        </w:rPr>
        <w:t>” shall mean all rights to payment, whether or not earned by performance, for goods or other property sold, leased, licensed, assigned or otherwise disposed of, or services rendered or to be rendered, including, without limitation all such rights constituting or evidenced by any Account, Chattel</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Paper, Instrument, General Intangible or Investment Related Property, together with all of any Grantor’s rights, if any, in any goods or other</w:t>
      </w:r>
    </w:p>
    <w:p>
      <w:pPr>
        <w:spacing w:after="0" w:line="221" w:lineRule="auto"/>
        <w:rPr>
          <w:sz w:val="20"/>
          <w:szCs w:val="20"/>
          <w:color w:val="auto"/>
        </w:rPr>
      </w:pPr>
      <w:r>
        <w:rPr>
          <w:rFonts w:ascii="Times New Roman" w:cs="Times New Roman" w:eastAsia="Times New Roman" w:hAnsi="Times New Roman"/>
          <w:sz w:val="20"/>
          <w:szCs w:val="20"/>
          <w:color w:val="auto"/>
        </w:rPr>
        <w:t>property giving rise to such right to payment and all Collateral Support and Supporting Obligations related thereto and all Receivables Records.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Receivable Records</w:t>
      </w:r>
      <w:r>
        <w:rPr>
          <w:rFonts w:ascii="Times New Roman" w:cs="Times New Roman" w:eastAsia="Times New Roman" w:hAnsi="Times New Roman"/>
          <w:sz w:val="19"/>
          <w:szCs w:val="19"/>
          <w:color w:val="auto"/>
        </w:rPr>
        <w:t>” shall mean (i) all original copies of all documents, instruments or other writings or electronic records or other</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Records evidencing the Receivables, (ii) all books, correspondence, credit or other files, Records, ledger sheets or cards, invoices, and other papers relating to Receivables, including, without limitation, all tapes, cards, computer tapes, computer discs, computer runs, record keeping</w:t>
      </w:r>
    </w:p>
    <w:p>
      <w:pPr>
        <w:spacing w:after="0" w:line="211" w:lineRule="auto"/>
        <w:rPr>
          <w:sz w:val="20"/>
          <w:szCs w:val="20"/>
          <w:color w:val="auto"/>
        </w:rPr>
      </w:pPr>
      <w:r>
        <w:rPr>
          <w:rFonts w:ascii="Times New Roman" w:cs="Times New Roman" w:eastAsia="Times New Roman" w:hAnsi="Times New Roman"/>
          <w:sz w:val="20"/>
          <w:szCs w:val="20"/>
          <w:color w:val="auto"/>
        </w:rPr>
        <w:t>systems and other papers and documents relating to the Receivables, whether in the possession or under the control of any Grantor or any</w:t>
      </w:r>
    </w:p>
    <w:p>
      <w:pPr>
        <w:spacing w:after="0" w:line="204" w:lineRule="auto"/>
        <w:rPr>
          <w:sz w:val="20"/>
          <w:szCs w:val="20"/>
          <w:color w:val="auto"/>
        </w:rPr>
      </w:pPr>
      <w:r>
        <w:rPr>
          <w:rFonts w:ascii="Times New Roman" w:cs="Times New Roman" w:eastAsia="Times New Roman" w:hAnsi="Times New Roman"/>
          <w:sz w:val="20"/>
          <w:szCs w:val="20"/>
          <w:color w:val="auto"/>
        </w:rPr>
        <w:t>computer bureau or agent from time to time acting for any Grantor or otherwise, (iii) all evidences of the filing of financing statements and the registration of other instruments in connection therewith, and amendments, supplements or other modifications thereto, notices to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creditors or secured parties, and certificates, acknowledgments, or other writings, including, without limitation, lien search reports, from filing or other registration offices, (iv) all credit information, reports and memoranda relating thereto and (v) all other forms of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in any way to the foregoing or any Receivable.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Record</w:t>
      </w:r>
      <w:r>
        <w:rPr>
          <w:rFonts w:ascii="Times New Roman" w:cs="Times New Roman" w:eastAsia="Times New Roman" w:hAnsi="Times New Roman"/>
          <w:sz w:val="20"/>
          <w:szCs w:val="20"/>
          <w:color w:val="auto"/>
        </w:rPr>
        <w:t>” shall mean “record” as defined in Article 9 of the UCC.</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Obligations</w:t>
      </w:r>
      <w:r>
        <w:rPr>
          <w:rFonts w:ascii="Times New Roman" w:cs="Times New Roman" w:eastAsia="Times New Roman" w:hAnsi="Times New Roman"/>
          <w:sz w:val="20"/>
          <w:szCs w:val="20"/>
          <w:color w:val="auto"/>
        </w:rPr>
        <w:t xml:space="preserve">” shall have the meaning assigned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Accounts</w:t>
      </w:r>
      <w:r>
        <w:rPr>
          <w:rFonts w:ascii="Times New Roman" w:cs="Times New Roman" w:eastAsia="Times New Roman" w:hAnsi="Times New Roman"/>
          <w:sz w:val="20"/>
          <w:szCs w:val="20"/>
          <w:color w:val="auto"/>
        </w:rPr>
        <w:t>” (i) shall mean all “securities accounts” as defined in Article 8 of the UCC and (ii) shall include, without</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limitation, all of the accounts listed on </w:t>
      </w:r>
      <w:r>
        <w:rPr>
          <w:rFonts w:ascii="Times New Roman" w:cs="Times New Roman" w:eastAsia="Times New Roman" w:hAnsi="Times New Roman"/>
          <w:sz w:val="20"/>
          <w:szCs w:val="20"/>
          <w:u w:val="single" w:color="auto"/>
          <w:color w:val="auto"/>
        </w:rPr>
        <w:t>Schedule 4.4(A)</w:t>
      </w:r>
      <w:r>
        <w:rPr>
          <w:rFonts w:ascii="Times New Roman" w:cs="Times New Roman" w:eastAsia="Times New Roman" w:hAnsi="Times New Roman"/>
          <w:sz w:val="20"/>
          <w:szCs w:val="20"/>
          <w:color w:val="auto"/>
        </w:rPr>
        <w:t xml:space="preserve"> under the heading “Securities Accounts”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shall mean computer programs, object code, source code and supporting documentation, including, without limitation,</w:t>
      </w:r>
    </w:p>
    <w:p>
      <w:pPr>
        <w:spacing w:after="0" w:line="204" w:lineRule="auto"/>
        <w:rPr>
          <w:sz w:val="20"/>
          <w:szCs w:val="20"/>
          <w:color w:val="auto"/>
        </w:rPr>
      </w:pPr>
      <w:r>
        <w:rPr>
          <w:rFonts w:ascii="Times New Roman" w:cs="Times New Roman" w:eastAsia="Times New Roman" w:hAnsi="Times New Roman"/>
          <w:sz w:val="20"/>
          <w:szCs w:val="20"/>
          <w:color w:val="auto"/>
        </w:rPr>
        <w:t>“software” as such term is defined in the Uniform Commercial Code as in effect on the date hereof in the State of New York and computer programs that may be construed as included in the definition of “goods” in the Uniform Commercial Code as in effect on the date hereof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State of New York, including any licensed rights to Software, and all media that may contain Software or recorded data of any kind.</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Supporting Obligation</w:t>
      </w:r>
      <w:r>
        <w:rPr>
          <w:rFonts w:ascii="Times New Roman" w:cs="Times New Roman" w:eastAsia="Times New Roman" w:hAnsi="Times New Roman"/>
          <w:sz w:val="20"/>
          <w:szCs w:val="20"/>
          <w:color w:val="auto"/>
        </w:rPr>
        <w:t>” shall mean all “supporting obligations” as defined in Article 9 of the UCC.</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shall mean the date on which the Secured Obligations have been Paid in Full and the Commitments have been cancelled or terminated.</w:t>
      </w:r>
    </w:p>
    <w:p>
      <w:pPr>
        <w:spacing w:after="0" w:line="9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 Licenses</w:t>
      </w:r>
      <w:r>
        <w:rPr>
          <w:rFonts w:ascii="Times New Roman" w:cs="Times New Roman" w:eastAsia="Times New Roman" w:hAnsi="Times New Roman"/>
          <w:sz w:val="20"/>
          <w:szCs w:val="20"/>
          <w:color w:val="auto"/>
        </w:rPr>
        <w:t xml:space="preserve">” shall mean any and all agreements providing for the granting of any right in or to Trademarks (whether any Grantor is licensee or licensor thereunder) including, without limitation, each agreement referred to in </w:t>
      </w:r>
      <w:r>
        <w:rPr>
          <w:rFonts w:ascii="Times New Roman" w:cs="Times New Roman" w:eastAsia="Times New Roman" w:hAnsi="Times New Roman"/>
          <w:sz w:val="20"/>
          <w:szCs w:val="20"/>
          <w:u w:val="single" w:color="auto"/>
          <w:color w:val="auto"/>
        </w:rPr>
        <w:t>Schedule 4.7(F)</w:t>
      </w:r>
      <w:r>
        <w:rPr>
          <w:rFonts w:ascii="Times New Roman" w:cs="Times New Roman" w:eastAsia="Times New Roman" w:hAnsi="Times New Roman"/>
          <w:sz w:val="20"/>
          <w:szCs w:val="20"/>
          <w:color w:val="auto"/>
        </w:rPr>
        <w:t xml:space="preserve"> (as such Schedule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“Trademark Licenses” shall not include any Excluded Assets.</w:t>
      </w:r>
    </w:p>
    <w:p>
      <w:pPr>
        <w:spacing w:after="0" w:line="9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shall mean all United States trademarks, trade names, corporate names, company names, business names, fictitious business names, internet domain names, trade styles, service marks, certification marks, collective marks, logos, other source or business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identifiers, designs and general intangibles of a like nature, all registrations and applications for any of the foregoing including, but not limited to: the registrations and applications referred to in </w:t>
      </w:r>
      <w:r>
        <w:rPr>
          <w:rFonts w:ascii="Times New Roman" w:cs="Times New Roman" w:eastAsia="Times New Roman" w:hAnsi="Times New Roman"/>
          <w:sz w:val="20"/>
          <w:szCs w:val="20"/>
          <w:u w:val="single" w:color="auto"/>
          <w:color w:val="auto"/>
        </w:rPr>
        <w:t>Schedule 4.7(E)</w:t>
      </w:r>
      <w:r>
        <w:rPr>
          <w:rFonts w:ascii="Times New Roman" w:cs="Times New Roman" w:eastAsia="Times New Roman" w:hAnsi="Times New Roman"/>
          <w:sz w:val="20"/>
          <w:szCs w:val="20"/>
          <w:color w:val="auto"/>
        </w:rPr>
        <w:t xml:space="preserve"> (as such Schedule may be amended, restated, supplemented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all extensions or renewals of any of the foregoing, all of the goodwill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the business connected with the use of and symbolized by the foregoing, the right to sue for past, present and future infringement or dilution of any of the foregoing or for any injury to goodwill, and all Proceeds of the foregoing, including, without limitation, licenses,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royalties, income, payments, claims, damages, and proceeds of suit,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“Trademarks” shall not include any Excluded Assets.</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 Secret Licenses</w:t>
      </w:r>
      <w:r>
        <w:rPr>
          <w:rFonts w:ascii="Times New Roman" w:cs="Times New Roman" w:eastAsia="Times New Roman" w:hAnsi="Times New Roman"/>
          <w:sz w:val="20"/>
          <w:szCs w:val="20"/>
          <w:color w:val="auto"/>
        </w:rPr>
        <w:t>” shall mean any and all agreements providing for the granting of any right in or to Trade Secrets (whether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any Grantor is licensee or licensor thereunder) including, without limitation, each agreement referred to in </w:t>
      </w:r>
      <w:r>
        <w:rPr>
          <w:rFonts w:ascii="Times New Roman" w:cs="Times New Roman" w:eastAsia="Times New Roman" w:hAnsi="Times New Roman"/>
          <w:sz w:val="19"/>
          <w:szCs w:val="19"/>
          <w:u w:val="single" w:color="auto"/>
          <w:color w:val="auto"/>
        </w:rPr>
        <w:t>Schedule 4.7(G)</w:t>
      </w:r>
      <w:r>
        <w:rPr>
          <w:rFonts w:ascii="Times New Roman" w:cs="Times New Roman" w:eastAsia="Times New Roman" w:hAnsi="Times New Roman"/>
          <w:sz w:val="19"/>
          <w:szCs w:val="19"/>
          <w:color w:val="auto"/>
        </w:rPr>
        <w:t xml:space="preserve"> (as such 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“Trade</w:t>
      </w:r>
    </w:p>
    <w:p>
      <w:pPr>
        <w:spacing w:after="0"/>
        <w:rPr>
          <w:sz w:val="20"/>
          <w:szCs w:val="20"/>
          <w:color w:val="auto"/>
        </w:rPr>
      </w:pPr>
      <w:r>
        <w:rPr>
          <w:rFonts w:ascii="Times New Roman" w:cs="Times New Roman" w:eastAsia="Times New Roman" w:hAnsi="Times New Roman"/>
          <w:sz w:val="20"/>
          <w:szCs w:val="20"/>
          <w:color w:val="auto"/>
        </w:rPr>
        <w:t>Secret Licenses” shall not include any Excluded Assets</w:t>
      </w:r>
    </w:p>
    <w:p>
      <w:pPr>
        <w:spacing w:after="0" w:line="10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shall mean all trade secrets and all other confidential or proprietary information and know-how, including unpatented inventions, invention disclosures, engineering or other technical data, financial data, procedures, know-how, designs, personal</w:t>
      </w:r>
    </w:p>
    <w:p>
      <w:pPr>
        <w:spacing w:after="0" w:line="224" w:lineRule="auto"/>
        <w:rPr>
          <w:sz w:val="20"/>
          <w:szCs w:val="20"/>
          <w:color w:val="auto"/>
        </w:rPr>
      </w:pPr>
      <w:r>
        <w:rPr>
          <w:rFonts w:ascii="Times New Roman" w:cs="Times New Roman" w:eastAsia="Times New Roman" w:hAnsi="Times New Roman"/>
          <w:sz w:val="19"/>
          <w:szCs w:val="19"/>
          <w:color w:val="auto"/>
        </w:rPr>
        <w:t>information, supplier lists, customer lists, business, production or marketing plans, formulae, methods (whether or not patentable), processes,</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compositions, schematics, ideas, algorithms, techniques, analyses, proposals, source code, object code and data collections (all of the foregoing being collectively called a “Trade Secret”), whether or not such Trade Secret has been reduced to a writing or other tangible form,</w:t>
      </w:r>
    </w:p>
    <w:p>
      <w:pPr>
        <w:jc w:val="both"/>
        <w:spacing w:after="0" w:line="204" w:lineRule="auto"/>
        <w:rPr>
          <w:sz w:val="20"/>
          <w:szCs w:val="20"/>
          <w:color w:val="auto"/>
        </w:rPr>
      </w:pPr>
      <w:r>
        <w:rPr>
          <w:rFonts w:ascii="Times New Roman" w:cs="Times New Roman" w:eastAsia="Times New Roman" w:hAnsi="Times New Roman"/>
          <w:sz w:val="20"/>
          <w:szCs w:val="20"/>
          <w:color w:val="auto"/>
        </w:rPr>
        <w:t>including all documents and things embodying, incorporating, or referring in any way to such Trade Secret, the right to sue for past, present and future misappropriation or other violation of any Trade Secret, and all proceeds of the foregoing, including, without limitation, licenses,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royalties, income, payments, claims, damages, and proceeds of suit,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“Trade Secrets” shall not include any Excluded Assets</w:t>
      </w:r>
    </w:p>
    <w:p>
      <w:pPr>
        <w:spacing w:after="0" w:line="1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 Definitions; Interpretation. </w:t>
      </w:r>
      <w:r>
        <w:rPr>
          <w:rFonts w:ascii="Times New Roman" w:cs="Times New Roman" w:eastAsia="Times New Roman" w:hAnsi="Times New Roman"/>
          <w:sz w:val="20"/>
          <w:szCs w:val="20"/>
          <w:color w:val="auto"/>
        </w:rPr>
        <w:t>All capitalized terms used herein (including the preamble and recitals hereto) but not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herein shall have the respective meanings ascribed to such terms in the Credit Agreement or, if not defined therein, in the UCC. References to “Sections,” “Exhibits” and “Schedules” shall be to sections, exhibits and schedules, as the case may be, of this Agreement unless otherwise specifically provided. Section headings in this Agreement are included herein for convenience of reference only and shall not constitute a part of this Agreement for any other purpose or be given any substantive effect. Any of the terms defined herein may, unless the context otherwise requires, be used in the singular or the plural, depending on the reference.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If any conflict or inconsistency exists between the terms or provisions of this Agreement and the terms and provisions of the Credit Agreement, the terms and provisions of the Credit Agreement shall govern. All references herein to provisions of the UCC shall include all successor provisions under any subsequent version or amendment to any Article of the UCC. All other rules of interpretation under Section 1.03 of the Credit Agreement are hereby incorporated by reference as if fully set forth herein.</w:t>
      </w: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GRANT OF SECURITY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2.1 Grant of Security. </w:t>
      </w:r>
      <w:r>
        <w:rPr>
          <w:rFonts w:ascii="Times New Roman" w:cs="Times New Roman" w:eastAsia="Times New Roman" w:hAnsi="Times New Roman"/>
          <w:sz w:val="20"/>
          <w:szCs w:val="20"/>
          <w:color w:val="auto"/>
        </w:rPr>
        <w:t>As security for the payment and performance in full of all of the Secured Obligations, each Grantor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pledges, collaterally assigns and grants to Collateral Agent, for the benefit of Secured Parties, a First Priority security interest in and continuing Lien on all of such Grantor’s right, title and interest in, to and under all of the following personal property of such Grantor (other than Excluded Assets, and subject to the limitations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 each case, whether now owned or existing or hereafter acquired or arising and wherever located (all of which are hereinafter collectively referred to as the </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Accounts;</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Chattel Paper;</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Intangibles;</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Equipment, Inventory, Goods and Fixtures;</w:t>
      </w:r>
    </w:p>
    <w:p>
      <w:pPr>
        <w:spacing w:after="0" w:line="161"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and Intellectual Property Licenses;</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Related Property;</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Accounts;</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Rights;</w:t>
      </w:r>
    </w:p>
    <w:p>
      <w:pPr>
        <w:spacing w:after="0" w:line="16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and Receivable Records;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Tort Claims;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Processor Agreements and the Merchant Agreements;</w:t>
      </w:r>
    </w:p>
    <w:p>
      <w:pPr>
        <w:spacing w:after="0" w:line="175" w:lineRule="exact"/>
        <w:rPr>
          <w:rFonts w:ascii="Times New Roman" w:cs="Times New Roman" w:eastAsia="Times New Roman" w:hAnsi="Times New Roman"/>
          <w:sz w:val="20"/>
          <w:szCs w:val="20"/>
          <w:color w:val="auto"/>
        </w:rPr>
      </w:pPr>
    </w:p>
    <w:p>
      <w:pPr>
        <w:ind w:right="20" w:firstLine="1304"/>
        <w:spacing w:after="0" w:line="269" w:lineRule="auto"/>
        <w:tabs>
          <w:tab w:leader="none" w:pos="1842"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included above, all Collateral Records, Collateral Support and Supporting Obligations relating to any of the foregoing; and</w:t>
      </w:r>
    </w:p>
    <w:p>
      <w:pPr>
        <w:spacing w:after="0" w:line="118"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otherwise included above, all Proceeds, products, accessions, rents and profits of or in respect of any of</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foregoing.</w:t>
      </w:r>
    </w:p>
    <w:p>
      <w:pPr>
        <w:spacing w:after="0" w:line="14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2.2 Certain Limited Exclusions. </w:t>
      </w:r>
      <w:r>
        <w:rPr>
          <w:rFonts w:ascii="Times New Roman" w:cs="Times New Roman" w:eastAsia="Times New Roman" w:hAnsi="Times New Roman"/>
          <w:sz w:val="20"/>
          <w:szCs w:val="20"/>
          <w:color w:val="auto"/>
        </w:rPr>
        <w:t>Notwithstanding anything herein to the contrary, in no event shall the security interest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hereof attach to (and the term “Collateral” shall not include, and no Grantor is pledging, nor granting a security interest hereunder in) any of such Grantor’s right, title or interest in any of the following (collectively, the “</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(i) (x) any leasehold interest in real property and (y) any fee interest in owned real property with a fair market value below $10,000,000, (ii) any lease, instrument, license, contract, property rights or agreement to which any Grantor is a party or any of its right, title or interest thereunder, or any property or asset subject thereto, in each case, if and for so long as the creation or grant of such security interest (a) shall constitute or result in the abandonment, invalidation or unenforceability of any right, title or interest of any Grantor therein, (b) is prohibited by, or would violate, any applicable law of any Governmental Authority (other than to the extent that any such prohibition would be rendered ineffective pursuant to Sections 9-406, 9-407, 9-408 or 9-409 of the UCC (or any successor provision or provisions) of any relevant jurisdiction or any other applicable law (including the Bankruptcy Code)) or (c) shall constitute or result in a breach or termination (or right of termination) in favor of any party thereto (other than the Initial Borrower or any Restricted Subsidiary thereof) pursuant to the terms of, or a default under or otherwise require consent</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under (other than by the Initial Borrower or any Restricted Subsidiary thereof), any such lease, instrument, license, contract property rights, agreement or arrangement (other than to the extent that any such term would be rendered ineffective pursuant to Sections 9-406, 9-407, 9-408 or 9-409 of the UCC (or any successor provision or provisions) of any relevant jurisdiction or any other applicable law (including the Bankruptcy Code)),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such security interest shall attach immediately at such time as the condition causing such abandonment, invalidation, prohibition or unenforceability shall no longer exist and to the extent severable, shall attach immediately to any portion of such lease, license, contract, property rights, agreement or arrangement that does not result in any of the consequences specified in (a), (b) or (c) above; (iii)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such filing and acceptance, such intent-to-use applications shall be included in the definition of Collateral; (iv) any property and assets to the extent that such grant of a security interest is prohibited by, or would violate, any applicable law, rule or regulation of any Governmental Authority or requires the consent, approval, license or authorization of any third party (other than the Initial Borrower or any Restricted Subsidiary thereof) to provide such interest unless such consent, approval, license or authorization has been obtained; (v) governmental licenses or state or local franchises, charters and authorizations, to the extent, but only to the extent, that the granting of security interests therein is prohibited or restricted thereby or by any applicable law, rule or regulation of any Governmental Authority or requires a governmental (including regulatory) consent, approval, license or authorization to provide such interest unless such consent, approval, license or authorization has been obtained, and after giving effect to the applicable anti-assignment provisions of the UCC (or any successor provision or provisions) of any relevant jurisdiction or any other applicable law (including the Bankruptcy Code);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upon the ineffectiveness, lapse, termination or waiver of any such prohibition and restriction, the Collateral shall include all such right, title and interest as if such prohibition or restriction had never been in effect; (vi) any assets to the extent a Lien in such assets would result in material adverse tax consequences to the Initial Borrower (or any parent entity thereof) or any Subsidiary thereof as reasonably determined by the Borrower Representative; (vii) motor vehicles, airplanes and other assets subject to certificates of title (to the extent that a Lien therein cannot be perfected by filing a UCC financing statement); (viii) Excluded Capital Stock; (ix) any asset with respect to which the Collateral Agent and Borrower Representative have determined (in their reasonable judgment) that the costs or burden of obtaining, perfecting or maintaining a security interest in such asset exceed the fair market value thereof or the benefit to the Secured Parties afforded thereby; (x) margin stock;</w:t>
      </w:r>
    </w:p>
    <w:p>
      <w:pPr>
        <w:spacing w:after="0" w:line="16" w:lineRule="exact"/>
        <w:rPr>
          <w:sz w:val="20"/>
          <w:szCs w:val="20"/>
          <w:color w:val="auto"/>
        </w:rPr>
      </w:pPr>
    </w:p>
    <w:p>
      <w:pPr>
        <w:jc w:val="both"/>
        <w:ind w:firstLine="8"/>
        <w:spacing w:after="0" w:line="264" w:lineRule="auto"/>
        <w:tabs>
          <w:tab w:leader="none" w:pos="341"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non-U.S. assets or assets of the Borrowers and Guarantors that require action under the law of any non-U.S. jurisdiction to create or perfect a security interest in such assets, including any Intellectual Property in any non-U.S. jurisdiction; (xii) all Letter of Credit Rights (whether or not the letter of credit is evidenced by a writing and other than to the extent consisting of a Supporting Obligation that can be perfected by the filing of a UCC financing statement); (xiii) except to the extent a Lien therein can be perfected by the filing of a UCC financing statement otherwise required to be filed hereunder, all Commercial Tort Claims in an amount less than or equal to $2,000,000 (as reasonably determined by the Credit Parties); or (xiv) any Excluded Accounts;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notwithstanding anything in this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to the contrary, the foregoing exclusions shall not in any way limit, impair or otherwise affect Collateral Agent’s continuing Liens upon any rights or interests of any Grantor in or to (and the following shall not be Excluded Assets) (A) monies due or to become due to such Grantor in respect of such lease, license, contract, property rights, agreement, Capital Stock or interests, or (B) any and all proceeds from</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sale, transfer, assignment, license, lease or other dispositions of such lease, license, contract, property rights, agreement, Capital Stock or interests, in each case to the extent not otherwise constituting Excluded Assets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provided, further, that, for the avoidance of doubt, any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held in Deposit Accounts on behalf of Persons that are not Grantors (including any Residual Financing Entities) shall not constitute property of any Grantor and shall in any event be Excluded Assets.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nothing in this Agreement or in any other Credit Document shall require any Grantor to make any filings or take any other actions (A) with respect to any Collateral located outside of the United States, (B) in any jurisdiction outside of the United States, to create, record or perfect the Collateral Agent’s security interests in any Collateral of any Grantor, (C) to provide the Collateral Agent or any other Secured Party with “control” (within the meanings of Sections 8-106 and 9-106 of the UCC) over, or any other interest in (other than Permitted Liens), any Deposit Account or Investment Account or (D) to seek any landlord lien waiver, bailee letter, estoppel, warehouseman waiver or other collateral access or similar letter or agreement.</w:t>
      </w:r>
    </w:p>
    <w:p>
      <w:pPr>
        <w:spacing w:after="0" w:line="2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SECURITY FOR OBLIGATIONS; GRANTORS REMAIN LIABLE</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3.1 Security for Obligations</w:t>
      </w:r>
      <w:r>
        <w:rPr>
          <w:rFonts w:ascii="Times New Roman" w:cs="Times New Roman" w:eastAsia="Times New Roman" w:hAnsi="Times New Roman"/>
          <w:sz w:val="20"/>
          <w:szCs w:val="20"/>
          <w:color w:val="auto"/>
        </w:rPr>
        <w:t>. This Agreement secures, and the Collateral is collateral security for, the prompt and complete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or performance in full when due, whether at stated maturity, by required prepayment, declaration, acceleration, demand or otherwise (including the payment of amounts that would become due but for the operation of the automatic stay under Section 362(a) of the Bankruptcy Code, 11 U.S.C. § 362(a) (and any successor provision thereof)), of all Obligations with respect to every Grantor, including the Guaranteed Obligations of each Grantor that is a Guarantor (the “</w:t>
      </w:r>
      <w:r>
        <w:rPr>
          <w:rFonts w:ascii="Times New Roman" w:cs="Times New Roman" w:eastAsia="Times New Roman" w:hAnsi="Times New Roman"/>
          <w:sz w:val="20"/>
          <w:szCs w:val="20"/>
          <w:b w:val="1"/>
          <w:bCs w:val="1"/>
          <w:color w:val="auto"/>
        </w:rPr>
        <w:t>Secured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avoidance of doubt, “Secured Obligations” shall not include any Excluded Swap Obligations.</w:t>
      </w:r>
    </w:p>
    <w:p>
      <w:pPr>
        <w:spacing w:after="0" w:line="1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3.2 Continuing Liability Under Collateral</w:t>
      </w:r>
      <w:r>
        <w:rPr>
          <w:rFonts w:ascii="Times New Roman" w:cs="Times New Roman" w:eastAsia="Times New Roman" w:hAnsi="Times New Roman"/>
          <w:sz w:val="20"/>
          <w:szCs w:val="20"/>
          <w:color w:val="auto"/>
        </w:rPr>
        <w:t>. Notwithstanding anything herein to the contrary, (i) each Grantor shall remain liable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all obligations with respect to the Collateral of such Grantor and nothing contained herein is intended to or shall be a delegation of duties to Collateral Agent or any other Secured Party, (ii) each applicable Grantor shall remain liable under each of the contracts and agreements included in and with respect to the Collateral of such Grantor to which it is a party, including any agreements relating to Pledged Partnership Interests or Pledged LLC Interests, and neither Collateral Agent nor any other Secured Party shall have any obligation or liability under any of such agreements by reason of or arising out of this Agreement or any other document related thereto nor shall Collateral Agent nor any other Secured Party have any obligation to make any inquiry as to the nature or sufficiency of any payment received by it or have any obligation to take any action to collect or enforce any rights under any such agreements, and (iii) the exercise by Collateral Agent of any of its rights hereunder shall not release any Grantor from any of its duties or obligations under the contracts and agreements included in the Collateral of such Grantor.</w:t>
      </w:r>
    </w:p>
    <w:p>
      <w:pPr>
        <w:spacing w:after="0" w:line="2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REPRESENTATIONS AND WARRANTIES AND COVENANTS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Generally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840" w:hanging="536"/>
        <w:spacing w:after="0"/>
        <w:tabs>
          <w:tab w:leader="none" w:pos="184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Grantor hereby represents and warrants to Collateral Agent and each other</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Party that:</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firstLine="1292"/>
        <w:spacing w:after="0" w:line="283" w:lineRule="auto"/>
        <w:tabs>
          <w:tab w:leader="none" w:pos="1699"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owns the Collateral purported to be owned by it or otherwise has the rights it purports to have in each item of Collateral (except as otherwise permitted by the Credit Agreement);</w:t>
      </w:r>
    </w:p>
    <w:p>
      <w:pPr>
        <w:spacing w:after="0" w:line="92" w:lineRule="exact"/>
        <w:rPr>
          <w:rFonts w:ascii="Times New Roman" w:cs="Times New Roman" w:eastAsia="Times New Roman" w:hAnsi="Times New Roman"/>
          <w:sz w:val="20"/>
          <w:szCs w:val="20"/>
          <w:color w:val="auto"/>
        </w:rPr>
      </w:pPr>
    </w:p>
    <w:p>
      <w:pPr>
        <w:ind w:left="1844" w:hanging="548"/>
        <w:spacing w:after="0"/>
        <w:tabs>
          <w:tab w:leader="none" w:pos="18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it has indicated on </w:t>
      </w:r>
      <w:r>
        <w:rPr>
          <w:rFonts w:ascii="Times New Roman" w:cs="Times New Roman" w:eastAsia="Times New Roman" w:hAnsi="Times New Roman"/>
          <w:sz w:val="20"/>
          <w:szCs w:val="20"/>
          <w:u w:val="single" w:color="auto"/>
          <w:color w:val="auto"/>
        </w:rPr>
        <w:t>Schedule 4.1(A)</w:t>
      </w:r>
      <w:r>
        <w:rPr>
          <w:rFonts w:ascii="Times New Roman" w:cs="Times New Roman" w:eastAsia="Times New Roman" w:hAnsi="Times New Roman"/>
          <w:sz w:val="20"/>
          <w:szCs w:val="20"/>
          <w:color w:val="auto"/>
        </w:rPr>
        <w:t xml:space="preserve"> (as such Schedule may be amended, restated,</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 xml:space="preserve">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(w) the type of organization of such Grantor,</w:t>
      </w:r>
    </w:p>
    <w:p>
      <w:pPr>
        <w:spacing w:after="0" w:line="18" w:lineRule="exact"/>
        <w:rPr>
          <w:sz w:val="20"/>
          <w:szCs w:val="20"/>
          <w:color w:val="auto"/>
        </w:rPr>
      </w:pPr>
    </w:p>
    <w:p>
      <w:pPr>
        <w:ind w:left="4" w:hanging="4"/>
        <w:spacing w:after="0" w:line="260" w:lineRule="auto"/>
        <w:tabs>
          <w:tab w:leader="none" w:pos="29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jurisdiction of organization of such Grantor, (y) its organizational identification number, if any, and (z) the jurisdiction where the chief executive office or its sole place of business is located.</w:t>
      </w:r>
    </w:p>
    <w:p>
      <w:pPr>
        <w:spacing w:after="0" w:line="114" w:lineRule="exact"/>
        <w:rPr>
          <w:rFonts w:ascii="Times New Roman" w:cs="Times New Roman" w:eastAsia="Times New Roman" w:hAnsi="Times New Roman"/>
          <w:sz w:val="20"/>
          <w:szCs w:val="20"/>
          <w:color w:val="auto"/>
        </w:rPr>
      </w:pPr>
    </w:p>
    <w:p>
      <w:pPr>
        <w:jc w:val="both"/>
        <w:ind w:left="4" w:firstLine="1292"/>
        <w:spacing w:after="0" w:line="276" w:lineRule="auto"/>
        <w:tabs>
          <w:tab w:leader="none" w:pos="1802"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full legal name of such Grantor as of the Closing Date is as set forth on </w:t>
      </w:r>
      <w:r>
        <w:rPr>
          <w:rFonts w:ascii="Times New Roman" w:cs="Times New Roman" w:eastAsia="Times New Roman" w:hAnsi="Times New Roman"/>
          <w:sz w:val="19"/>
          <w:szCs w:val="19"/>
          <w:u w:val="single" w:color="auto"/>
          <w:color w:val="auto"/>
        </w:rPr>
        <w:t>Schedule 4.1(A)</w:t>
      </w:r>
      <w:r>
        <w:rPr>
          <w:rFonts w:ascii="Times New Roman" w:cs="Times New Roman" w:eastAsia="Times New Roman" w:hAnsi="Times New Roman"/>
          <w:sz w:val="19"/>
          <w:szCs w:val="19"/>
          <w:color w:val="auto"/>
        </w:rPr>
        <w:t xml:space="preserve"> (as such 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xml:space="preserve">), and, as of the Closing Date, it has not done in the last five (5) years preceding the Closing Date, and does not (as of the Closing Date) do, business under any other name (including any trade-name or fictitious business name) except for those names set forth on </w:t>
      </w:r>
      <w:r>
        <w:rPr>
          <w:rFonts w:ascii="Times New Roman" w:cs="Times New Roman" w:eastAsia="Times New Roman" w:hAnsi="Times New Roman"/>
          <w:sz w:val="19"/>
          <w:szCs w:val="19"/>
          <w:u w:val="single" w:color="auto"/>
          <w:color w:val="auto"/>
        </w:rPr>
        <w:t>Schedule 4.1(B)</w:t>
      </w:r>
      <w:r>
        <w:rPr>
          <w:rFonts w:ascii="Times New Roman" w:cs="Times New Roman" w:eastAsia="Times New Roman" w:hAnsi="Times New Roman"/>
          <w:sz w:val="19"/>
          <w:szCs w:val="19"/>
          <w:color w:val="auto"/>
        </w:rPr>
        <w:t>;</w:t>
      </w:r>
    </w:p>
    <w:p>
      <w:pPr>
        <w:spacing w:after="0" w:line="115" w:lineRule="exact"/>
        <w:rPr>
          <w:rFonts w:ascii="Times New Roman" w:cs="Times New Roman" w:eastAsia="Times New Roman" w:hAnsi="Times New Roman"/>
          <w:sz w:val="19"/>
          <w:szCs w:val="19"/>
          <w:color w:val="auto"/>
        </w:rPr>
      </w:pPr>
    </w:p>
    <w:p>
      <w:pPr>
        <w:jc w:val="both"/>
        <w:ind w:left="4" w:firstLine="1292"/>
        <w:spacing w:after="0" w:line="253" w:lineRule="auto"/>
        <w:tabs>
          <w:tab w:leader="none" w:pos="1829"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except as provided on </w:t>
      </w:r>
      <w:r>
        <w:rPr>
          <w:rFonts w:ascii="Times New Roman" w:cs="Times New Roman" w:eastAsia="Times New Roman" w:hAnsi="Times New Roman"/>
          <w:sz w:val="20"/>
          <w:szCs w:val="20"/>
          <w:u w:val="single" w:color="auto"/>
          <w:color w:val="auto"/>
        </w:rPr>
        <w:t>Schedule 4.1(C)</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or as permitted by the Credit Agreement, it has not changed its legal name, jurisdiction of organization, chief executive office, or type of entity (e.g., corporation, limited liability company, etc.) and it has not merged, consolidated, amalgamated or been party to any similar business combination (however designated) within the last five (5) years preceding the Closing Date;</w:t>
      </w:r>
    </w:p>
    <w:p>
      <w:pPr>
        <w:spacing w:after="0" w:line="137" w:lineRule="exact"/>
        <w:rPr>
          <w:rFonts w:ascii="Times New Roman" w:cs="Times New Roman" w:eastAsia="Times New Roman" w:hAnsi="Times New Roman"/>
          <w:sz w:val="20"/>
          <w:szCs w:val="20"/>
          <w:color w:val="auto"/>
        </w:rPr>
      </w:pPr>
    </w:p>
    <w:p>
      <w:pPr>
        <w:ind w:left="1724" w:hanging="428"/>
        <w:spacing w:after="0"/>
        <w:tabs>
          <w:tab w:leader="none" w:pos="172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61"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75" w:lineRule="exact"/>
        <w:rPr>
          <w:rFonts w:ascii="Times New Roman" w:cs="Times New Roman" w:eastAsia="Times New Roman" w:hAnsi="Times New Roman"/>
          <w:sz w:val="20"/>
          <w:szCs w:val="20"/>
          <w:color w:val="auto"/>
        </w:rPr>
      </w:pPr>
    </w:p>
    <w:p>
      <w:pPr>
        <w:jc w:val="both"/>
        <w:ind w:left="4" w:firstLine="1292"/>
        <w:spacing w:after="0" w:line="266" w:lineRule="auto"/>
        <w:tabs>
          <w:tab w:leader="none" w:pos="1862"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 upon the filing of all UCC financing statements naming each Grantor as “debtor” and Collateral Agent as “secured party” and describing the Collateral in the filing offices set forth opposite such Grantor’s name on </w:t>
      </w:r>
      <w:r>
        <w:rPr>
          <w:rFonts w:ascii="Times New Roman" w:cs="Times New Roman" w:eastAsia="Times New Roman" w:hAnsi="Times New Roman"/>
          <w:sz w:val="19"/>
          <w:szCs w:val="19"/>
          <w:u w:val="single" w:color="auto"/>
          <w:color w:val="auto"/>
        </w:rPr>
        <w:t>Schedule 4.1(E)</w:t>
      </w:r>
      <w:r>
        <w:rPr>
          <w:rFonts w:ascii="Times New Roman" w:cs="Times New Roman" w:eastAsia="Times New Roman" w:hAnsi="Times New Roman"/>
          <w:sz w:val="19"/>
          <w:szCs w:val="19"/>
          <w:color w:val="auto"/>
        </w:rPr>
        <w:t xml:space="preserve"> hereof as of the Closing Date (as such 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and other filings delivered by each Grantor, (v) upon sufficient identification of Commercial Tort Claims in excess of $2,000,000, if any (as and to the extent required by the UCC), (x) upon delivery of all Instruments, Chattel Paper and certificated Pledged Equity Interests and Pledged Debt required to be delivered hereunder, (y) [reserved] and (z) to the extent not subject to Article 9 of the UCC, upon recordation of the security interests granted hereunder in Patents, Trademarks and Copyrights in the United States Patent and Trademark Office and the United States Copyright Office, in each case of the foregoing, to the extent constituting Collateral, the security interests granted to Collateral Agent hereunder constitute valid and perfected First Priority Liens;</w:t>
      </w:r>
    </w:p>
    <w:p>
      <w:pPr>
        <w:spacing w:after="0" w:line="115" w:lineRule="exact"/>
        <w:rPr>
          <w:rFonts w:ascii="Times New Roman" w:cs="Times New Roman" w:eastAsia="Times New Roman" w:hAnsi="Times New Roman"/>
          <w:sz w:val="19"/>
          <w:szCs w:val="19"/>
          <w:color w:val="auto"/>
        </w:rPr>
      </w:pPr>
    </w:p>
    <w:p>
      <w:pPr>
        <w:ind w:left="1884" w:hanging="588"/>
        <w:spacing w:after="0"/>
        <w:tabs>
          <w:tab w:leader="none" w:pos="1884"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75"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82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the Liens in favor of Collateral Agent, there are no Liens covering all or any part of the Collateral except for (A) Liens for which proper termination statements have been delivered to Collateral Agent for filing, (B) Liens for which a pay-off letter</w:t>
      </w:r>
    </w:p>
    <w:p>
      <w:pPr>
        <w:sectPr>
          <w:pgSz w:w="11900" w:h="16838" w:orient="portrait"/>
          <w:cols w:equalWidth="0" w:num="1">
            <w:col w:w="10584"/>
          </w:cols>
          <w:pgMar w:left="976" w:top="1440"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reasonably acceptable to Collateral Agent authorizing the filing of termination statements upon payment of a specified amount has been delivered to Collateral Agent and (C) Permitted Liens;</w:t>
      </w:r>
    </w:p>
    <w:p>
      <w:pPr>
        <w:spacing w:after="0" w:line="92" w:lineRule="exact"/>
        <w:rPr>
          <w:sz w:val="20"/>
          <w:szCs w:val="20"/>
          <w:color w:val="auto"/>
        </w:rPr>
      </w:pPr>
    </w:p>
    <w:p>
      <w:pPr>
        <w:jc w:val="both"/>
        <w:ind w:left="660" w:firstLine="1292"/>
        <w:spacing w:after="0" w:line="252" w:lineRule="auto"/>
        <w:tabs>
          <w:tab w:leader="none" w:pos="2436"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authorization, approval or other action by, and no notice to or filing with, any Governmental Authority or other regulatory body is required for either (i) the pledge or grant by any Grantor of the Liens purported to be created in favor of Collateral Agent hereunder or (ii) the exercise by Collateral Agent of any rights or remedies in respect of any Collateral (whether specifically granted or created hereunder or created or provided for by applicable law), except (A) for the filings contemplated by clause (vii) above, (B) requirements of securities laws in connection with the disposition of any Investment Related Property, (C) Collateral Agent shall be subject to the same requirements under any material Contractual Obligation of any Grantor as the applicable Grantor party thereto, (D) where the failure to obtain any such authorization, approval or other action of any Person (including any Governmental Authority) could not reasonably be expected to have a Material Adverse Effect, and (E) those that have been obtained and delivered to Collateral Agent;</w:t>
      </w:r>
    </w:p>
    <w:p>
      <w:pPr>
        <w:spacing w:after="0" w:line="121"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75"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Collateral constitutes, or is the Proceeds of, “farm products” (as defined in the UCC); and</w:t>
      </w:r>
    </w:p>
    <w:p>
      <w:pPr>
        <w:spacing w:after="0" w:line="175"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does not own any “as extracted collateral” (as defined in the UCC) or any timber to be cut.</w:t>
      </w:r>
    </w:p>
    <w:p>
      <w:pPr>
        <w:spacing w:after="0" w:line="16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 that:</w:t>
      </w:r>
    </w:p>
    <w:p>
      <w:pPr>
        <w:spacing w:after="0" w:line="146"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351"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security interest created by this Agreement and the other Collateral Documents, it shall not create or suffer to exist any Lien upon or with respect to any of the Collateral, except Permitted Liens, and such Grantor shall use commercially reasonable efforts to defend the Collateral against all Persons (other than Persons holding Permitted Liens, but only to the extent of such Permitted Liens) at any time claiming any interest therein;</w:t>
      </w:r>
    </w:p>
    <w:p>
      <w:pPr>
        <w:spacing w:after="0" w:line="131"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68" w:lineRule="auto"/>
        <w:tabs>
          <w:tab w:leader="none" w:pos="2598"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change such Grantor’s legal name, jurisdiction of organization, legal form (e.g., by merger, consolidation, change in corporate form or otherwise) or chief executive office, except as permitted by Section 6.09 the Credit Agreement and unless it shall have complied with Section 5.01(m) of the Credit Agreement;</w:t>
      </w:r>
    </w:p>
    <w:p>
      <w:pPr>
        <w:spacing w:after="0" w:line="107"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7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61"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 and</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22"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take any action which could reasonably be expected to impair the Collateral Agent’s rights in any material Collateral other than (a) conveyances, sales, leases, sub-leases, exchanges, transfers or other dispositions of assets to the extent permitted by the</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right="20"/>
        <w:spacing w:after="0" w:line="283" w:lineRule="auto"/>
        <w:rPr>
          <w:sz w:val="20"/>
          <w:szCs w:val="20"/>
          <w:color w:val="auto"/>
        </w:rPr>
      </w:pPr>
      <w:r>
        <w:rPr>
          <w:rFonts w:ascii="Times New Roman" w:cs="Times New Roman" w:eastAsia="Times New Roman" w:hAnsi="Times New Roman"/>
          <w:sz w:val="20"/>
          <w:szCs w:val="20"/>
          <w:color w:val="auto"/>
        </w:rPr>
        <w:t>Credit Agreement, (b) creation, incurrence, assumption or permitting to exist Permitted Liens in accordance with the Credit Agreement, and (c) as otherwise permitted by the Credit Agreement.</w:t>
      </w:r>
    </w:p>
    <w:p>
      <w:pPr>
        <w:spacing w:after="0" w:line="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[Intentionally Reserved]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Receivables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Each Grantor represents and warrants to Collateral Agent and each other Secured Party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46" w:lineRule="exact"/>
        <w:rPr>
          <w:sz w:val="20"/>
          <w:szCs w:val="20"/>
          <w:color w:val="auto"/>
        </w:rPr>
      </w:pPr>
    </w:p>
    <w:p>
      <w:pPr>
        <w:ind w:left="2340" w:hanging="388"/>
        <w:spacing w:after="0"/>
        <w:tabs>
          <w:tab w:leader="none" w:pos="234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403"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Account Debtors in respect of any Receivable of such Grantor with a value in excess of $2,000,000 is the government of the United States, any agency or instrumentality thereof or any state or municipality unless Grantors (A) have given Collateral Agent written notice thereof, and (B) upon the occurrence and during the continuation of an Event of Default, shall have executed and delivered any documentation or taken any other action, in each case, reasonably requested by Collateral Agent to comply with the Assignment of Claims Act of 1940, as amended, 31 U.S.C. § 3727, 41 U.S.C. § 15, any applicable rules, regulations and interpretations issued pursuant thereto, and any amendments to any of the foregoing, or any equivalent or similar state, municipal or foreign statute or law. No material Receivable requires the consent of the Account Debtor in respect thereof in connection with the pledge hereunder, except any consent which has been obtained; and</w:t>
      </w:r>
    </w:p>
    <w:p>
      <w:pPr>
        <w:spacing w:after="0" w:line="141"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07"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Receivable of such Grantor is evidenced by, or constitutes, an Instrument or Chattel Paper (in each case, with a value in excess of $2,000,000) which has not been delivered to, or otherwise subjected to the control of, Collateral Agent to the extent required by, and in accordance with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w:t>
      </w:r>
    </w:p>
    <w:p>
      <w:pPr>
        <w:spacing w:after="0" w:line="127"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 that:</w:t>
      </w:r>
    </w:p>
    <w:p>
      <w:pPr>
        <w:spacing w:after="0" w:line="153" w:lineRule="exact"/>
        <w:rPr>
          <w:rFonts w:ascii="Times New Roman" w:cs="Times New Roman" w:eastAsia="Times New Roman" w:hAnsi="Times New Roman"/>
          <w:sz w:val="20"/>
          <w:szCs w:val="20"/>
          <w:color w:val="auto"/>
        </w:rPr>
      </w:pPr>
    </w:p>
    <w:p>
      <w:pPr>
        <w:ind w:left="2360" w:hanging="408"/>
        <w:spacing w:after="0"/>
        <w:tabs>
          <w:tab w:leader="none" w:pos="236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use commercially reasonable efforts to keep and maintain at its own cost and expense complete records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Receivables;</w:t>
      </w:r>
    </w:p>
    <w:p>
      <w:pPr>
        <w:spacing w:after="0" w:line="153"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19"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continuation of an Event of Default, upon the written request of Collateral Agent, it shall mark conspicuously, in form and manner reasonably satisfactory to Collateral Agent, all Chattel Paper, Instruments and other evidence of Receivables (other than any such Collateral delivered to Collateral Agent as provided herein), with an appropriate reference to the fact that Collateral Agent has a security interest therein;</w:t>
      </w:r>
    </w:p>
    <w:p>
      <w:pPr>
        <w:spacing w:after="0" w:line="118" w:lineRule="exact"/>
        <w:rPr>
          <w:rFonts w:ascii="Times New Roman" w:cs="Times New Roman" w:eastAsia="Times New Roman" w:hAnsi="Times New Roman"/>
          <w:sz w:val="20"/>
          <w:szCs w:val="20"/>
          <w:color w:val="auto"/>
        </w:rPr>
      </w:pPr>
    </w:p>
    <w:p>
      <w:pPr>
        <w:ind w:left="660" w:firstLine="1292"/>
        <w:spacing w:after="0" w:line="283" w:lineRule="auto"/>
        <w:tabs>
          <w:tab w:leader="none" w:pos="2569"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use commercially reasonable efforts to perform in all material respects all of its obligations with respect to the Receivables;</w:t>
      </w:r>
    </w:p>
    <w:p>
      <w:pPr>
        <w:spacing w:after="0" w:line="105"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563"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the ordinary course of business, and except as otherwise provided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following the occurrence and during the continuation of an Event of Default, unless otherwise instructed by the Collateral Agent in writing, such Grantor shall not (w) grant any extension or renewal of the time of payment of any Receivable, (x) compromise or settle any dispute, claim or legal proceeding with respect to any Receivable for</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less than the total unpaid balance thereof, (y) release, wholly or partially, any Person liable for the payment thereof, or (z) allow any credit or discount thereon; and</w:t>
      </w:r>
    </w:p>
    <w:p>
      <w:pPr>
        <w:spacing w:after="0" w:line="92" w:lineRule="exact"/>
        <w:rPr>
          <w:sz w:val="20"/>
          <w:szCs w:val="20"/>
          <w:color w:val="auto"/>
        </w:rPr>
      </w:pPr>
    </w:p>
    <w:p>
      <w:pPr>
        <w:jc w:val="both"/>
        <w:ind w:firstLine="1292"/>
        <w:spacing w:after="0" w:line="249" w:lineRule="auto"/>
        <w:tabs>
          <w:tab w:leader="none" w:pos="183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subsection, each Grantor shall use commercially reasonable efforts to continue to collect all amounts due or to become due to such Grantor under the Receivables and any Supporting Obligation and exercise each material right it may have in its reasonable discretion under any Receivable, Supporting Obligation or Collateral Support, in each case, at its own expense, and in connection with such collections and exercise, such Grantor shall take such action as such Grantor may deem reasonably necessary or advisable. Notwithstanding the foregoing, following the occurrence and during the continuation of an Event of Default, Collateral Agent shall have the right to notify, or require any Grantor to notify, any Account Debtor of Collateral Agent’s security interest in the Receivables and any Supporting Obligation and may: (1) direct the Account Debtors under any Receivables to make payment of all amounts due or to become due to such Grantor thereunder directly to Collateral Agent; (2) notify, or require any Grantor to notify, each Person maintaining a lockbox or similar arrangement to which Account Debtors under any Receivables have been directed to make payment to remit all amounts representing collections on checks and other payment items from time to time sent to or deposited in such lockbox or other arrangement directly to Collateral Agent; and (3) enforce, at the expense of such Grantor, collection of any such Receivables and to adjust, settle or compromise the amount or payment thereof, in the same manner and to the same extent as such Grantor might have done. If Collateral Agent notifies any Grantor that it has elected to collect the Receivables in accordance with the preceding sentence, any payments of Receivables received by such Grantor shall be forthwith (and in any event within two (2) Business Days (or such longer period as may be agreed to in writing by Collateral Agent in its sole discretion)) deposited by such Grantor in the exact form received, duly indorsed by such Grantor to Collateral Agent if required, in an account designated by Collateral Agent maintained under the sole dominion and control of Collateral Agent, and until so turned over, all amounts and proceeds (including checks and other instruments) received by such Grantor in respect of the Receivables, any Supporting Obligation or Collateral Support shall be received in trust for the benefit of Collateral Agent hereunder and shall be segregated from other funds of such Grantor and such Grantor shall not adjust, settle or compromise the amount or payment of any Receivable, or release wholly or partly any Account Debtor or obligor thereof, or allow any credit or discount thereon.</w:t>
      </w:r>
    </w:p>
    <w:p>
      <w:pPr>
        <w:spacing w:after="0" w:line="137" w:lineRule="exact"/>
        <w:rPr>
          <w:rFonts w:ascii="Times New Roman" w:cs="Times New Roman" w:eastAsia="Times New Roman" w:hAnsi="Times New Roman"/>
          <w:sz w:val="20"/>
          <w:szCs w:val="20"/>
          <w:color w:val="auto"/>
        </w:rPr>
      </w:pPr>
    </w:p>
    <w:p>
      <w:pPr>
        <w:jc w:val="both"/>
        <w:ind w:left="-660" w:firstLine="1304"/>
        <w:spacing w:after="0" w:line="266" w:lineRule="auto"/>
        <w:tabs>
          <w:tab w:leader="none" w:pos="1053"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and Control of Receivables</w:t>
      </w:r>
      <w:r>
        <w:rPr>
          <w:rFonts w:ascii="Times New Roman" w:cs="Times New Roman" w:eastAsia="Times New Roman" w:hAnsi="Times New Roman"/>
          <w:sz w:val="19"/>
          <w:szCs w:val="19"/>
          <w:color w:val="auto"/>
        </w:rPr>
        <w:t>. With respect to any Receivables with a value in excess of $2,000,000 individually that are evidenced by, or constitute, Chattel Paper or Instruments (other than checks received in the ordinary course of business), each Grantor shall, upon the request of Collateral Agent at any time following the occurrence and during the continuation of an Event of Default, cause each originally executed copy thereof to be promptly (and, in any event, within ten (10) days or such longer period as Collateral Agent may agree) delivered to Collateral Agent (or its agent or designee) appropriately indorsed to Collateral Agent or indorsed in blank. With respect to any Receivable with a value in excess of $2,000,000 individually which would constitute “electronic chattel paper” under Article 9 of the UCC, each Grantor shall, upon the request of Collateral Agent at any time following the occurrence and during the continuation of an Event of Default, promptly (and, in any event, within ten (10) days or such longer period as Collateral Agent may agree) take all steps reasonably necessary to give Collateral Agent control over such Receivables (within the meaning of Section 9-105 of the UCC).</w:t>
      </w:r>
    </w:p>
    <w:p>
      <w:pPr>
        <w:sectPr>
          <w:pgSz w:w="11900" w:h="16838" w:orient="portrait"/>
          <w:cols w:equalWidth="0" w:num="1">
            <w:col w:w="10580"/>
          </w:cols>
          <w:pgMar w:left="980" w:top="1440" w:right="339" w:bottom="1440" w:gutter="0" w:footer="0" w:header="0"/>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Investment Related Property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4.4.1</w:t>
      </w:r>
      <w:r>
        <w:rPr>
          <w:sz w:val="20"/>
          <w:szCs w:val="20"/>
          <w:color w:val="auto"/>
        </w:rPr>
        <w:tab/>
      </w:r>
      <w:r>
        <w:rPr>
          <w:rFonts w:ascii="Times New Roman" w:cs="Times New Roman" w:eastAsia="Times New Roman" w:hAnsi="Times New Roman"/>
          <w:sz w:val="19"/>
          <w:szCs w:val="19"/>
          <w:b w:val="1"/>
          <w:bCs w:val="1"/>
          <w:color w:val="auto"/>
        </w:rPr>
        <w:t>Investment Related Property Generally</w:t>
      </w:r>
    </w:p>
    <w:p>
      <w:pPr>
        <w:spacing w:after="0" w:line="166" w:lineRule="exact"/>
        <w:rPr>
          <w:sz w:val="20"/>
          <w:szCs w:val="20"/>
          <w:color w:val="auto"/>
        </w:rPr>
      </w:pPr>
    </w:p>
    <w:p>
      <w:pPr>
        <w:ind w:left="1760" w:hanging="456"/>
        <w:spacing w:after="0"/>
        <w:tabs>
          <w:tab w:leader="none" w:pos="1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 that:</w:t>
      </w:r>
    </w:p>
    <w:p>
      <w:pPr>
        <w:spacing w:after="0" w:line="146" w:lineRule="exact"/>
        <w:rPr>
          <w:sz w:val="20"/>
          <w:szCs w:val="20"/>
          <w:color w:val="auto"/>
        </w:rPr>
      </w:pPr>
    </w:p>
    <w:p>
      <w:pPr>
        <w:jc w:val="both"/>
        <w:ind w:left="660" w:firstLine="1292"/>
        <w:spacing w:after="0" w:line="251" w:lineRule="auto"/>
        <w:tabs>
          <w:tab w:leader="none" w:pos="2495"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acquires rights in any Investment Related Property with a value in excess of $2,000,000 individually after the date hereof (to the extent such Investment Related Property is required to be pledged to the Collateral Agent pursuant to this Agreement), it shall deliver to Collateral Agent, within ninety (90) days of such Grantor acquiring rights therein (or such longer period as Collateral Agent may agree), a completed Pledge Supplement,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together with all Supplements to Schedules thereto, reflecting such new Investment Related Property and all other Investment Related Property. Notwithstanding the foregoing, each Grantor agrees that the security interest of Collateral Agent shall attach to all Investment Related Property immediately upon any Grantor’s acquisition of rights therein and shall not be affected by the failure of any Grantor to provide notice or deliver a supplement to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as required hereby;</w:t>
      </w:r>
    </w:p>
    <w:p>
      <w:pPr>
        <w:spacing w:after="0" w:line="141"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57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next sentence, in the event such Grantor receives any dividends, interest or distributions on any Investment Related Property, or any Securities or other property upon the merger, consolidation, liquidation or dissolution of any issuer of any Investment Related Property, then (a) such dividends, interest or distributions and Securities or other property shall be included in the definition of Collateral without further action and (b) such Grantor shall promptly and in any event within thirty (30) Business Days (or such longer period as may be agreed to in writing by Collateral Agent in its sole discretion) take all steps, if any, necessary or that Collateral Agent may reasonably request to ensure the validity, perfection, priority and, if applicable, control of Collateral Agent over such Investment Related Property (including, without limitation, if applicable, delivery thereof to Collateral Agent) to the extent required by clause (i) above and pending any such action such Grantor shall be deemed to hold such dividends, interest, distributions, Securities or other property in trust for the benefit of Collateral Agent and the same shall (subject to the last sentence of this clause (ii)) be segregated from all other property of such Grantor. Notwithstanding the foregoing, so long as no Event of Default shall have occurred and be continuing for which Collateral Agent shall have delivered written notice to the Grantors that their rights under this sentence are suspended, Collateral Agent authorizes each Grantor to retain (and not segregate) and utilize all cash dividends, interest and other distributions paid to it for any purpose not prohibited by the Credit Agreement; and</w:t>
      </w:r>
    </w:p>
    <w:p>
      <w:pPr>
        <w:spacing w:after="0" w:line="129" w:lineRule="exact"/>
        <w:rPr>
          <w:rFonts w:ascii="Times New Roman" w:cs="Times New Roman" w:eastAsia="Times New Roman" w:hAnsi="Times New Roman"/>
          <w:sz w:val="20"/>
          <w:szCs w:val="20"/>
          <w:color w:val="auto"/>
        </w:rPr>
      </w:pPr>
    </w:p>
    <w:p>
      <w:pPr>
        <w:ind w:left="660" w:firstLine="1292"/>
        <w:spacing w:after="0" w:line="283" w:lineRule="auto"/>
        <w:tabs>
          <w:tab w:leader="none" w:pos="2566"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consents to the grant by each other Grantor of a security interest in all Investment Related Property to Collateral Agent.</w:t>
      </w:r>
    </w:p>
    <w:p>
      <w:pPr>
        <w:spacing w:after="0" w:line="10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and Control</w:t>
      </w:r>
      <w:r>
        <w:rPr>
          <w:rFonts w:ascii="Times New Roman" w:cs="Times New Roman" w:eastAsia="Times New Roman" w:hAnsi="Times New Roman"/>
          <w:sz w:val="20"/>
          <w:szCs w:val="20"/>
          <w:color w:val="auto"/>
        </w:rPr>
        <w:t xml:space="preserve">. Each Grantor agrees that with respect to any Investment Related Property with a value in excess of $2,000,000 individually in which it has rights as of the Closing Date, it shall comply with the provisions of this </w:t>
      </w:r>
      <w:r>
        <w:rPr>
          <w:rFonts w:ascii="Times New Roman" w:cs="Times New Roman" w:eastAsia="Times New Roman" w:hAnsi="Times New Roman"/>
          <w:sz w:val="20"/>
          <w:szCs w:val="20"/>
          <w:u w:val="single" w:color="auto"/>
          <w:color w:val="auto"/>
        </w:rPr>
        <w:t>Section 4.4.1(b)</w:t>
      </w:r>
      <w:r>
        <w:rPr>
          <w:rFonts w:ascii="Times New Roman" w:cs="Times New Roman" w:eastAsia="Times New Roman" w:hAnsi="Times New Roman"/>
          <w:sz w:val="20"/>
          <w:szCs w:val="20"/>
          <w:color w:val="auto"/>
        </w:rPr>
        <w:t xml:space="preserve"> on or before the Closing Date (or such longer period as may be agreed to in writing by Collateral Agent in its sole discretion) and with respect to any Investment Related Property with a value in excess of $2,000,000 individually hereafter acquired or certificated by such Grantor, it shall comply with the provisions of this </w:t>
      </w:r>
      <w:r>
        <w:rPr>
          <w:rFonts w:ascii="Times New Roman" w:cs="Times New Roman" w:eastAsia="Times New Roman" w:hAnsi="Times New Roman"/>
          <w:sz w:val="20"/>
          <w:szCs w:val="20"/>
          <w:u w:val="single" w:color="auto"/>
          <w:color w:val="auto"/>
        </w:rPr>
        <w:t>Section 4.4.1(b)</w:t>
      </w:r>
      <w:r>
        <w:rPr>
          <w:rFonts w:ascii="Times New Roman" w:cs="Times New Roman" w:eastAsia="Times New Roman" w:hAnsi="Times New Roman"/>
          <w:sz w:val="20"/>
          <w:szCs w:val="20"/>
          <w:color w:val="auto"/>
        </w:rPr>
        <w:t xml:space="preserve"> promptly, and in any event within thirty (30) Business Days after a Senior Officer of such Grantor obtains knowledge of</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such Grantor acquiring rights therein or certificating such Investment Related Property (or such longer period as may be agreed to in writing by Collateral Agent in its sole discretion). With respect to any Investment Related Property that is represented by a certificate or that is an Instrument (other than any Investment Related Property credited to a Securities Account) it shall cause such certificate or Instrument with a value in excess of $2,000,000 individually to be delivered to Collateral Agent, indorsed in blank by an “effective indorsement” (as defined in Section 8-107 of the UCC), regardless of whether such certificate constitutes a “certificated security” for purposes of the UCC. With respect to any Investment Related Property with a value in excess of $2,000,000 individually that is an “uncertificated security” for purposes of the UCC (other than any “uncertificated securities” credited to a Securities Account), each Grantor shall notify Collateral Agent of such Investment Related Property and, upon Collateral Agent’s request, shall use commercially reasonable efforts to cause the issuer of such uncertificated security to either (A) register Collateral Agent as the registered owner thereof on the books and records of the issuer or</w:t>
      </w:r>
    </w:p>
    <w:p>
      <w:pPr>
        <w:spacing w:after="0" w:line="8" w:lineRule="exact"/>
        <w:rPr>
          <w:sz w:val="20"/>
          <w:szCs w:val="20"/>
          <w:color w:val="auto"/>
        </w:rPr>
      </w:pPr>
    </w:p>
    <w:p>
      <w:pPr>
        <w:jc w:val="both"/>
        <w:ind w:firstLine="8"/>
        <w:spacing w:after="0" w:line="251" w:lineRule="auto"/>
        <w:tabs>
          <w:tab w:leader="none" w:pos="331"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an agreement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(with only such changes as may be approved by Collateral Agent, acting in its reasonable discretion), pursuant to which such issuer agrees to comply with Collateral Agent’s instructions with respect to such uncertificated security without further consent by such Grantor,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no Event of Default has occurred and is continuing, the Collateral Agent agrees not to provide such instructions with respect to such uncertificated security.</w:t>
      </w:r>
    </w:p>
    <w:p>
      <w:pPr>
        <w:spacing w:after="0" w:line="13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and Distributions.</w:t>
      </w:r>
    </w:p>
    <w:p>
      <w:pPr>
        <w:spacing w:after="0" w:line="161" w:lineRule="exact"/>
        <w:rPr>
          <w:rFonts w:ascii="Times New Roman" w:cs="Times New Roman" w:eastAsia="Times New Roman" w:hAnsi="Times New Roman"/>
          <w:sz w:val="20"/>
          <w:szCs w:val="20"/>
          <w:color w:val="auto"/>
        </w:rPr>
      </w:pPr>
    </w:p>
    <w:p>
      <w:pPr>
        <w:ind w:left="660" w:firstLine="1292"/>
        <w:spacing w:after="0" w:line="283" w:lineRule="auto"/>
        <w:tabs>
          <w:tab w:leader="none" w:pos="2402" w:val="left"/>
        </w:tabs>
        <w:numPr>
          <w:ilvl w:val="2"/>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shall have occurred and be continuing and Collateral Agent has not provided notice as provided in </w:t>
      </w:r>
      <w:r>
        <w:rPr>
          <w:rFonts w:ascii="Times New Roman" w:cs="Times New Roman" w:eastAsia="Times New Roman" w:hAnsi="Times New Roman"/>
          <w:sz w:val="20"/>
          <w:szCs w:val="20"/>
          <w:u w:val="single" w:color="auto"/>
          <w:color w:val="auto"/>
        </w:rPr>
        <w:t>Section 4.4.1(c)(ii)(1)</w:t>
      </w:r>
      <w:r>
        <w:rPr>
          <w:rFonts w:ascii="Times New Roman" w:cs="Times New Roman" w:eastAsia="Times New Roman" w:hAnsi="Times New Roman"/>
          <w:sz w:val="20"/>
          <w:szCs w:val="20"/>
          <w:color w:val="auto"/>
        </w:rPr>
        <w:t xml:space="preserve"> below:</w:t>
      </w:r>
    </w:p>
    <w:p>
      <w:pPr>
        <w:spacing w:after="0" w:line="92" w:lineRule="exact"/>
        <w:rPr>
          <w:rFonts w:ascii="Times New Roman" w:cs="Times New Roman" w:eastAsia="Times New Roman" w:hAnsi="Times New Roman"/>
          <w:sz w:val="20"/>
          <w:szCs w:val="20"/>
          <w:color w:val="auto"/>
        </w:rPr>
      </w:pPr>
    </w:p>
    <w:p>
      <w:pPr>
        <w:ind w:left="3240" w:hanging="640"/>
        <w:spacing w:after="0" w:line="257" w:lineRule="auto"/>
        <w:tabs>
          <w:tab w:leader="none" w:pos="3122" w:val="left"/>
        </w:tabs>
        <w:numPr>
          <w:ilvl w:val="3"/>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under the covenants and agreements relating to Investment Related Property in this Agreement or elsewhere herein or in the Credit Agreement, each Grantor shall be entitled to exercise or refrain from exercising any and all voting and other consensual rights pertaining to the Investment Related Property or any part thereof for any purpose not violative of, or prohibited by, the terms of this Agreement or the Credit Agreement;</w:t>
      </w:r>
    </w:p>
    <w:p>
      <w:pPr>
        <w:spacing w:after="0" w:line="118" w:lineRule="exact"/>
        <w:rPr>
          <w:rFonts w:ascii="Times New Roman" w:cs="Times New Roman" w:eastAsia="Times New Roman" w:hAnsi="Times New Roman"/>
          <w:sz w:val="20"/>
          <w:szCs w:val="20"/>
          <w:color w:val="auto"/>
        </w:rPr>
      </w:pPr>
    </w:p>
    <w:p>
      <w:pPr>
        <w:ind w:left="3240" w:hanging="640"/>
        <w:spacing w:after="0" w:line="258" w:lineRule="auto"/>
        <w:tabs>
          <w:tab w:leader="none" w:pos="3092" w:val="left"/>
        </w:tabs>
        <w:numPr>
          <w:ilvl w:val="3"/>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shall promptly execute and deliver (or cause to be executed and delivered) to each Grantor all proxies, and other instruments as such Grantor may from time to time reasonably request for the purpose of enabling such Grantor to exercise the voting and other consensual rights when and to the extent which it is entitled to exercise pursuant to clause (1) above; and</w:t>
      </w:r>
    </w:p>
    <w:p>
      <w:pPr>
        <w:spacing w:after="0" w:line="131"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2"/>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continuation of an Event of Default:</w:t>
      </w:r>
    </w:p>
    <w:p>
      <w:pPr>
        <w:spacing w:after="0" w:line="161" w:lineRule="exact"/>
        <w:rPr>
          <w:rFonts w:ascii="Times New Roman" w:cs="Times New Roman" w:eastAsia="Times New Roman" w:hAnsi="Times New Roman"/>
          <w:sz w:val="20"/>
          <w:szCs w:val="20"/>
          <w:color w:val="auto"/>
        </w:rPr>
      </w:pPr>
    </w:p>
    <w:p>
      <w:pPr>
        <w:ind w:left="3240" w:hanging="640"/>
        <w:spacing w:after="0" w:line="257" w:lineRule="auto"/>
        <w:tabs>
          <w:tab w:leader="none" w:pos="3092" w:val="left"/>
        </w:tabs>
        <w:numPr>
          <w:ilvl w:val="3"/>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notice from the Collateral Agent to such Grantor (provided that no such written notice shall be required in the case of an Event of Default under Section 8.01(f), (g) or (i) of the Credit Agreement), all rights of each Grantor to exercise or refrain from exercising the voting and other consensual rights which it would otherwise be entitled to exercise pursuant hereto shall cease and all such rights shall thereupon become vested in</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line="283" w:lineRule="auto"/>
        <w:rPr>
          <w:sz w:val="20"/>
          <w:szCs w:val="20"/>
          <w:color w:val="auto"/>
        </w:rPr>
      </w:pPr>
      <w:r>
        <w:rPr>
          <w:rFonts w:ascii="Times New Roman" w:cs="Times New Roman" w:eastAsia="Times New Roman" w:hAnsi="Times New Roman"/>
          <w:sz w:val="20"/>
          <w:szCs w:val="20"/>
          <w:color w:val="auto"/>
        </w:rPr>
        <w:t>Collateral Agent who shall thereupon have the sole right to exercise such voting and other consensual rights; and</w:t>
      </w:r>
    </w:p>
    <w:p>
      <w:pPr>
        <w:spacing w:after="0" w:line="92" w:lineRule="exact"/>
        <w:rPr>
          <w:sz w:val="20"/>
          <w:szCs w:val="20"/>
          <w:color w:val="auto"/>
        </w:rPr>
      </w:pPr>
    </w:p>
    <w:p>
      <w:pPr>
        <w:ind w:left="3240" w:hanging="640"/>
        <w:spacing w:after="0" w:line="253" w:lineRule="auto"/>
        <w:tabs>
          <w:tab w:leader="none" w:pos="305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to permit Collateral Agent to exercise the voting and other consensual rights which it may be entitled to exercise pursuant hereto and to receive all dividends and other distributions which it may be entitled to receive hereunder: (A) upon request from Collateral Agent to such Grantor, each Grantor shall promptly execute and deliver (or cause to be executed and delivered) to Collateral Agent all proxies, dividend payment orders and other instruments as Collateral Agent may from time to time reasonably request and (B) each Grantor acknowledges that Collateral Agent may utilize the power of attorney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4.4.2</w:t>
      </w:r>
      <w:r>
        <w:rPr>
          <w:sz w:val="20"/>
          <w:szCs w:val="20"/>
          <w:color w:val="auto"/>
        </w:rPr>
        <w:tab/>
      </w:r>
      <w:r>
        <w:rPr>
          <w:rFonts w:ascii="Times New Roman" w:cs="Times New Roman" w:eastAsia="Times New Roman" w:hAnsi="Times New Roman"/>
          <w:sz w:val="19"/>
          <w:szCs w:val="19"/>
          <w:b w:val="1"/>
          <w:bCs w:val="1"/>
          <w:color w:val="auto"/>
        </w:rPr>
        <w:t>Pledged Equity Interests</w:t>
      </w:r>
    </w:p>
    <w:p>
      <w:pPr>
        <w:spacing w:after="0" w:line="179" w:lineRule="exact"/>
        <w:rPr>
          <w:sz w:val="20"/>
          <w:szCs w:val="20"/>
          <w:color w:val="auto"/>
        </w:rPr>
      </w:pPr>
    </w:p>
    <w:p>
      <w:pPr>
        <w:ind w:left="1840" w:hanging="536"/>
        <w:spacing w:after="0"/>
        <w:tabs>
          <w:tab w:leader="none" w:pos="184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Grantor hereby represents and warrants to Collateral Agent and each other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Party that:</w:t>
      </w:r>
    </w:p>
    <w:p>
      <w:pPr>
        <w:spacing w:after="0" w:line="153"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497"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w:t>
      </w:r>
      <w:r>
        <w:rPr>
          <w:rFonts w:ascii="Times New Roman" w:cs="Times New Roman" w:eastAsia="Times New Roman" w:hAnsi="Times New Roman"/>
          <w:sz w:val="20"/>
          <w:szCs w:val="20"/>
          <w:u w:val="single" w:color="auto"/>
          <w:color w:val="auto"/>
        </w:rPr>
        <w:t>Schedule 4.4(A)</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and as delivered on each date such Schedule is updated in accordance with the Credit Agreement) sets forth under the headings “Pledged Stock,” “Pledged LLC Interests,” “Pledged Partnership Interests” and “Pledged Trust Interests,” respectively, all of the Pledged Stock, Pledged LLC Interests, Pledged Partnership Interests and Pledged Trust Interests owned by any Grantor and whether such Pledged Equity Interests are certificated (and if certificated, the certificate number thereof) and such Pledged Equity Interests constitute the percentage of issued and outstanding shares of stock, percentage of membership interests, percentage of partnership interests or percentage of beneficial interest of the respective issuers thereof indicated on such Schedule as of such date;</w:t>
      </w:r>
    </w:p>
    <w:p>
      <w:pPr>
        <w:spacing w:after="0" w:line="141"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19"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except as set forth on </w:t>
      </w:r>
      <w:r>
        <w:rPr>
          <w:rFonts w:ascii="Times New Roman" w:cs="Times New Roman" w:eastAsia="Times New Roman" w:hAnsi="Times New Roman"/>
          <w:sz w:val="20"/>
          <w:szCs w:val="20"/>
          <w:u w:val="single" w:color="auto"/>
          <w:color w:val="auto"/>
        </w:rPr>
        <w:t>Schedule 4.4(B)</w:t>
      </w:r>
      <w:r>
        <w:rPr>
          <w:rFonts w:ascii="Times New Roman" w:cs="Times New Roman" w:eastAsia="Times New Roman" w:hAnsi="Times New Roman"/>
          <w:sz w:val="20"/>
          <w:szCs w:val="20"/>
          <w:color w:val="auto"/>
        </w:rPr>
        <w:t>, it has not acquired all or substantially all of the Capital Stock or Securities of another entity or all or substantially all the assets of another entity, or merged with another entity, within the last five (5) years preceding the Closing Date;</w:t>
      </w:r>
    </w:p>
    <w:p>
      <w:pPr>
        <w:spacing w:after="0" w:line="127"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75"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record and beneficial owner of the Pledged Equity Interests free of all Liens, rights or claims of other Persons other than Permitted Liens and there are no outstanding warrants, options or other rights to purchase, or shareholder, voting trust or similar agreements outstanding with respect to, or property that is convertible into, or that requires the issuance or sale of, any Pledged Equity Interests except as otherwise permitted under the Credit Agreement;</w:t>
      </w:r>
    </w:p>
    <w:p>
      <w:pPr>
        <w:spacing w:after="0" w:line="133"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78"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of the foregoing, no consent of any Person including any other general or limited partner, any other member of a limited liability company, any other shareholder or any other trust beneficiary is reasonably necessary in connection with the creation, perfection or First Priority status of the security interest of</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Collateral Agent in any Pledged Equity Interests constituting Collateral or the exercise by Collateral Agent of the voting or other rights provided for in this Agreement or the exercise of remedies in respect thereof, except for consents that have been obtained or are not required to be obtained under the Credit Agreement; and</w:t>
      </w:r>
    </w:p>
    <w:p>
      <w:pPr>
        <w:spacing w:after="0" w:line="127" w:lineRule="exact"/>
        <w:rPr>
          <w:sz w:val="20"/>
          <w:szCs w:val="20"/>
          <w:color w:val="auto"/>
        </w:rPr>
      </w:pPr>
    </w:p>
    <w:p>
      <w:pPr>
        <w:jc w:val="both"/>
        <w:ind w:left="660" w:firstLine="1292"/>
        <w:spacing w:after="0" w:line="281" w:lineRule="auto"/>
        <w:tabs>
          <w:tab w:leader="none" w:pos="2387" w:val="left"/>
        </w:tabs>
        <w:numPr>
          <w:ilvl w:val="1"/>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none of the Pledged LLC Interests nor Pledged Partnership Interests are or represent interests in issuers that: (a) are registered as investment companies, (b) are dealt in or traded on securities exchanges or markets or (c) have opted to be treated as securities under the uniform commercial code of any jurisdiction (unless with respect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4.4.1(b)</w:t>
      </w:r>
      <w:r>
        <w:rPr>
          <w:rFonts w:ascii="Times New Roman" w:cs="Times New Roman" w:eastAsia="Times New Roman" w:hAnsi="Times New Roman"/>
          <w:sz w:val="19"/>
          <w:szCs w:val="19"/>
          <w:color w:val="auto"/>
        </w:rPr>
        <w:t xml:space="preserve"> is satisfied).</w:t>
      </w:r>
    </w:p>
    <w:p>
      <w:pPr>
        <w:spacing w:after="0" w:line="96" w:lineRule="exact"/>
        <w:rPr>
          <w:rFonts w:ascii="Times New Roman" w:cs="Times New Roman" w:eastAsia="Times New Roman" w:hAnsi="Times New Roman"/>
          <w:sz w:val="19"/>
          <w:szCs w:val="19"/>
          <w:color w:val="auto"/>
        </w:rPr>
      </w:pPr>
    </w:p>
    <w:p>
      <w:pPr>
        <w:ind w:left="1780" w:hanging="476"/>
        <w:spacing w:after="0"/>
        <w:tabs>
          <w:tab w:leader="none" w:pos="17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 that:</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357"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prior written consent of Collateral Agent, it shall not, unless permitted under the Credit Agreement, vote to enable or take any other action to: (a) subject to </w:t>
      </w:r>
      <w:r>
        <w:rPr>
          <w:rFonts w:ascii="Times New Roman" w:cs="Times New Roman" w:eastAsia="Times New Roman" w:hAnsi="Times New Roman"/>
          <w:sz w:val="20"/>
          <w:szCs w:val="20"/>
          <w:u w:val="single" w:color="auto"/>
          <w:color w:val="auto"/>
        </w:rPr>
        <w:t>Section 4.1(b)(iii)</w:t>
      </w:r>
      <w:r>
        <w:rPr>
          <w:rFonts w:ascii="Times New Roman" w:cs="Times New Roman" w:eastAsia="Times New Roman" w:hAnsi="Times New Roman"/>
          <w:sz w:val="20"/>
          <w:szCs w:val="20"/>
          <w:color w:val="auto"/>
        </w:rPr>
        <w:t xml:space="preserve">, amend or terminate any partnership agreement, limited liability company agreement, certificate of incorporation, by-laws or other Organizational Documents in any way that adversely affects the validity, perfection or priority of Collateral Agent’s security interest, or (b) cause any issuer of any Pledged Partnership Interests or Pledged LLC Interests which are not securities (for purposes of the UCC) on the date hereof to elect or otherwise take any action to cause such Pledged Partnership Interests or Pledged LLC Interests to be treated as securities for purposes of the UCC unless </w:t>
      </w:r>
      <w:r>
        <w:rPr>
          <w:rFonts w:ascii="Times New Roman" w:cs="Times New Roman" w:eastAsia="Times New Roman" w:hAnsi="Times New Roman"/>
          <w:sz w:val="20"/>
          <w:szCs w:val="20"/>
          <w:u w:val="single" w:color="auto"/>
          <w:color w:val="auto"/>
        </w:rPr>
        <w:t>Section 4.4.1(b)</w:t>
      </w:r>
      <w:r>
        <w:rPr>
          <w:rFonts w:ascii="Times New Roman" w:cs="Times New Roman" w:eastAsia="Times New Roman" w:hAnsi="Times New Roman"/>
          <w:sz w:val="20"/>
          <w:szCs w:val="20"/>
          <w:color w:val="auto"/>
        </w:rPr>
        <w:t xml:space="preserve"> is satisfied;</w:t>
      </w:r>
    </w:p>
    <w:p>
      <w:pPr>
        <w:spacing w:after="0" w:line="139" w:lineRule="exact"/>
        <w:rPr>
          <w:sz w:val="20"/>
          <w:szCs w:val="20"/>
          <w:color w:val="auto"/>
        </w:rPr>
      </w:pPr>
    </w:p>
    <w:p>
      <w:pPr>
        <w:jc w:val="both"/>
        <w:ind w:left="660" w:right="20" w:firstLine="1292"/>
        <w:spacing w:after="0" w:line="258" w:lineRule="auto"/>
        <w:tabs>
          <w:tab w:leader="none" w:pos="2457"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comply in all material respects with all of its obligations under any partnership agreement or limited liability company agreement relating to Pledged Partnership Interests or Pledged LLC Interests and shall enforce in all material respects all of its rights with respect to any Investment Related Property, in each case, unless the failure to so comply or so enforce would not be materially adverse to Collateral Agent or Lenders;</w:t>
      </w:r>
    </w:p>
    <w:p>
      <w:pPr>
        <w:spacing w:after="0" w:line="118"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 and</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558"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consents to the grant by each other Grantor of a security interest in all Investment Related Property owned by such other Grantor to Collateral Agent and, without limiting the foregoing, consents to the transfer of any Pledged Partnership Interest and any Pledged LLC Interest of such Grantor that is an Issuer to Collateral Agent or its nominee upon the occurrence and during the continuation of an Event of Default and to the substitution of Collateral Agent or its nominee as a partner in any partnership or as a member in any limited liability company with all the rights and powers related thereto, in each case in accordance with the terms of this Agreement and to the extent permitted by applicable law and under the applicable Organizational Documents of the issuer.</w:t>
      </w:r>
    </w:p>
    <w:p>
      <w:pPr>
        <w:spacing w:after="0" w:line="13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4.4.3</w:t>
      </w:r>
      <w:r>
        <w:rPr>
          <w:sz w:val="20"/>
          <w:szCs w:val="20"/>
          <w:color w:val="auto"/>
        </w:rPr>
        <w:tab/>
      </w:r>
      <w:r>
        <w:rPr>
          <w:rFonts w:ascii="Times New Roman" w:cs="Times New Roman" w:eastAsia="Times New Roman" w:hAnsi="Times New Roman"/>
          <w:sz w:val="19"/>
          <w:szCs w:val="19"/>
          <w:b w:val="1"/>
          <w:bCs w:val="1"/>
          <w:color w:val="auto"/>
        </w:rPr>
        <w:t>Pledged Debt</w:t>
      </w:r>
    </w:p>
    <w:p>
      <w:pPr>
        <w:spacing w:after="0" w:line="179" w:lineRule="exact"/>
        <w:rPr>
          <w:sz w:val="20"/>
          <w:szCs w:val="20"/>
          <w:color w:val="auto"/>
        </w:rPr>
      </w:pPr>
    </w:p>
    <w:p>
      <w:pPr>
        <w:jc w:val="both"/>
        <w:ind w:firstLine="1304"/>
        <w:spacing w:after="0" w:line="254" w:lineRule="auto"/>
        <w:tabs>
          <w:tab w:leader="none" w:pos="1835"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Grantor hereby represents and warrants to Collateral Agent and each other Secured Party that, as of the Closing Date,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sets forth under the heading “Pledged Debt” all of the Pledged Debt with a value in excess of $2,000,000 individually owned by any Grantor and, to the knowledge of such Grantor, all of</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such Pledged Debt has been duly authorized, authenticated or issued, and delivered and is the legal, valid and binding obligation of the issuers thereof (except to the extent that enforceability thereof may be limited by (i) bankruptcy, insolvency, moratorium, reorganization or other laws relating to creditors’ rights generally and (ii) general principles of equity, whether considered in an action at law or in equity); and</w:t>
      </w:r>
    </w:p>
    <w:p>
      <w:pPr>
        <w:spacing w:after="0" w:line="110" w:lineRule="exact"/>
        <w:rPr>
          <w:sz w:val="20"/>
          <w:szCs w:val="20"/>
          <w:color w:val="auto"/>
        </w:rPr>
      </w:pPr>
    </w:p>
    <w:p>
      <w:pPr>
        <w:ind w:right="20" w:firstLine="1304"/>
        <w:spacing w:after="0" w:line="269" w:lineRule="auto"/>
        <w:tabs>
          <w:tab w:leader="none" w:pos="1765"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 Party that it shall promptly notify Collateral Agent of any default under any Pledged Debt that has caused a Material Adverse Effect.</w:t>
      </w:r>
    </w:p>
    <w:p>
      <w:pPr>
        <w:spacing w:after="0" w:line="11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4.4.4</w:t>
      </w:r>
      <w:r>
        <w:rPr>
          <w:sz w:val="20"/>
          <w:szCs w:val="20"/>
          <w:color w:val="auto"/>
        </w:rPr>
        <w:tab/>
      </w:r>
      <w:r>
        <w:rPr>
          <w:rFonts w:ascii="Times New Roman" w:cs="Times New Roman" w:eastAsia="Times New Roman" w:hAnsi="Times New Roman"/>
          <w:sz w:val="19"/>
          <w:szCs w:val="19"/>
          <w:b w:val="1"/>
          <w:bCs w:val="1"/>
          <w:color w:val="auto"/>
        </w:rPr>
        <w:t>Investment Accounts; Deposit Accounts</w:t>
      </w:r>
    </w:p>
    <w:p>
      <w:pPr>
        <w:spacing w:after="0" w:line="166" w:lineRule="exact"/>
        <w:rPr>
          <w:sz w:val="20"/>
          <w:szCs w:val="20"/>
          <w:color w:val="auto"/>
        </w:rPr>
      </w:pPr>
    </w:p>
    <w:p>
      <w:pPr>
        <w:ind w:left="1840" w:hanging="536"/>
        <w:spacing w:after="0"/>
        <w:tabs>
          <w:tab w:leader="none" w:pos="184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Grantor hereby represents and warrants to Collateral Agent and each other</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Party that:</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437"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hereto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sets forth under the headings “Securities Accounts” and “Commodities Accounts,” respectively, all of the Securities Accounts and Commodities Accounts in which each Grantor has an interest. Each Grantor is the sole entitlement holder of each such Securities Account and Commodity Account, and such Grantor has not consented to, and is not otherwise aware of, any Person (other than Collateral Agent pursuant hereto) having “control” (within the meanings of Sections 8-106 and 9-106 of the UCC) over, or any other interest in (other than Permitted Liens), any such Securities Account or Commodity Account or securities or other property credited thereto; and</w:t>
      </w:r>
    </w:p>
    <w:p>
      <w:pPr>
        <w:spacing w:after="0" w:line="138" w:lineRule="exact"/>
        <w:rPr>
          <w:rFonts w:ascii="Times New Roman" w:cs="Times New Roman" w:eastAsia="Times New Roman" w:hAnsi="Times New Roman"/>
          <w:sz w:val="20"/>
          <w:szCs w:val="20"/>
          <w:color w:val="auto"/>
        </w:rPr>
      </w:pPr>
    </w:p>
    <w:p>
      <w:pPr>
        <w:jc w:val="both"/>
        <w:ind w:left="660" w:firstLine="1292"/>
        <w:spacing w:after="0" w:line="266" w:lineRule="auto"/>
        <w:tabs>
          <w:tab w:leader="none" w:pos="2480" w:val="left"/>
        </w:tabs>
        <w:numPr>
          <w:ilvl w:val="2"/>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xml:space="preserve"> hereto (as such Schedule may be amended, restated, supplemented or otherwise modified from time to time in accordance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sets forth under the headings “Deposit Accounts” all of the Deposit Accounts in which each Grantor has an interest, other than Excluded Accounts. Each Grantor is the sole account holder of each such Deposit Account and such Grantor has not consented to, and is not otherwise aware of, any Person (other than Collateral Agent pursuant hereto and the bank or other depository institution at which such Deposit Account is maintained or with respect to Permitted Liens) having either sole dominion and control (within the meaning of common law) or “control” (within the meanings of Section 9-104 of the UCC) over, or any other interest in, any such Deposit Account or any money or other property deposited therein.</w:t>
      </w:r>
    </w:p>
    <w:p>
      <w:pPr>
        <w:spacing w:after="0" w:line="127" w:lineRule="exact"/>
        <w:rPr>
          <w:rFonts w:ascii="Times New Roman" w:cs="Times New Roman" w:eastAsia="Times New Roman" w:hAnsi="Times New Roman"/>
          <w:sz w:val="19"/>
          <w:szCs w:val="19"/>
          <w:color w:val="auto"/>
        </w:rPr>
      </w:pPr>
    </w:p>
    <w:p>
      <w:pPr>
        <w:jc w:val="both"/>
        <w:ind w:firstLine="1304"/>
        <w:spacing w:after="0" w:line="264" w:lineRule="auto"/>
        <w:tabs>
          <w:tab w:leader="none" w:pos="1778" w:val="left"/>
        </w:tabs>
        <w:numPr>
          <w:ilvl w:val="1"/>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 and Agreement</w:t>
      </w:r>
      <w:r>
        <w:rPr>
          <w:rFonts w:ascii="Times New Roman" w:cs="Times New Roman" w:eastAsia="Times New Roman" w:hAnsi="Times New Roman"/>
          <w:sz w:val="19"/>
          <w:szCs w:val="19"/>
          <w:color w:val="auto"/>
        </w:rPr>
        <w:t>. Upon the occurrence and during the continuance of an Event of Default, Collateral Agent shall have the right, without notice to any Grantor, to transfer all or any portion of the Investment Related Property to its name or the name of its nominee or agent. In addition, Collateral Agent shall have the right at any time upon the occurrence and during the continuance of an Event of Default, without notice to any Grantor, to exchange any certificates or instruments representing any Investment Related Property for certificates or instruments of smaller or larger denominations. If no Event of Default has occurred and is continuing, the Collateral Agent agrees not to (A) provide any entitlement order or other direction respecting the disposition of funds with respect to any Deposit Account, or</w:t>
      </w:r>
    </w:p>
    <w:p>
      <w:pPr>
        <w:spacing w:after="0" w:line="4" w:lineRule="exact"/>
        <w:rPr>
          <w:rFonts w:ascii="Times New Roman" w:cs="Times New Roman" w:eastAsia="Times New Roman" w:hAnsi="Times New Roman"/>
          <w:sz w:val="19"/>
          <w:szCs w:val="19"/>
          <w:color w:val="auto"/>
        </w:rPr>
      </w:pPr>
    </w:p>
    <w:p>
      <w:pPr>
        <w:ind w:firstLine="8"/>
        <w:spacing w:after="0" w:line="253" w:lineRule="auto"/>
        <w:tabs>
          <w:tab w:leader="none" w:pos="33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any Issuer that a Grantor is not entitled to vote the Pledged Equity Interests or receive interest and cash dividends paid on the Pledged Equity Interests.</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[Intentionally 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Letter of Credit Rights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840" w:hanging="536"/>
        <w:spacing w:after="0"/>
        <w:tabs>
          <w:tab w:leader="none" w:pos="184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Grantor hereby represents and warrants to Collateral Agent and each other</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Party that:</w:t>
      </w:r>
    </w:p>
    <w:p>
      <w:pPr>
        <w:spacing w:after="0" w:line="146"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358"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all letters of credit to which such Grantor has rights as beneficiary in a stated amount of more than $5,000,000 are listed on </w:t>
      </w:r>
      <w:r>
        <w:rPr>
          <w:rFonts w:ascii="Times New Roman" w:cs="Times New Roman" w:eastAsia="Times New Roman" w:hAnsi="Times New Roman"/>
          <w:sz w:val="20"/>
          <w:szCs w:val="20"/>
          <w:u w:val="single" w:color="auto"/>
          <w:color w:val="auto"/>
        </w:rPr>
        <w:t>Schedule 4.6</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hereto.</w:t>
      </w:r>
    </w:p>
    <w:p>
      <w:pPr>
        <w:spacing w:after="0" w:line="12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[Intentionally Reserved.]</w:t>
      </w:r>
    </w:p>
    <w:p>
      <w:pPr>
        <w:spacing w:after="0" w:line="175" w:lineRule="exact"/>
        <w:rPr>
          <w:rFonts w:ascii="Times New Roman" w:cs="Times New Roman" w:eastAsia="Times New Roman" w:hAnsi="Times New Roman"/>
          <w:sz w:val="20"/>
          <w:szCs w:val="20"/>
          <w:u w:val="single" w:color="auto"/>
          <w:color w:val="auto"/>
        </w:rPr>
      </w:pPr>
    </w:p>
    <w:p>
      <w:pPr>
        <w:jc w:val="both"/>
        <w:ind w:firstLine="1304"/>
        <w:spacing w:after="0" w:line="253" w:lineRule="auto"/>
        <w:tabs>
          <w:tab w:leader="none" w:pos="1755"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each Grantor will, promptly upon request by the Collateral Agent, (i) notify (and such Grantor hereby authorizes the Collateral Agent to notify) the issuer and each nominated person with respect to each letter of credit to which such Grantor has rights as beneficiary that the proceeds thereof have been collaterally assigned to the Collateral Agent hereunder and any payments due or to become due in respect thereof are to be made directly to the Collateral Agent or its designee and (ii) arrange for the Collateral Agent to become the transferee beneficiary of such letter of credit.</w:t>
      </w:r>
    </w:p>
    <w:p>
      <w:pPr>
        <w:spacing w:after="0" w:line="13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304"/>
        <w:spacing w:after="0" w:line="261" w:lineRule="auto"/>
        <w:tabs>
          <w:tab w:leader="none" w:pos="175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Except as disclosed in </w:t>
      </w:r>
      <w:r>
        <w:rPr>
          <w:rFonts w:ascii="Times New Roman" w:cs="Times New Roman" w:eastAsia="Times New Roman" w:hAnsi="Times New Roman"/>
          <w:sz w:val="20"/>
          <w:szCs w:val="20"/>
          <w:u w:val="single" w:color="auto"/>
          <w:color w:val="auto"/>
        </w:rPr>
        <w:t>Schedule 4.7(H)</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each Grantor hereby represents and warrants to Collateral Agent and each other Secured Party that:</w:t>
      </w:r>
    </w:p>
    <w:p>
      <w:pPr>
        <w:spacing w:after="0" w:line="127"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395"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sets forth, as of the Closing Date or any date of delivery of a Pledge Supplement pursuant to Section </w:t>
      </w:r>
      <w:r>
        <w:rPr>
          <w:rFonts w:ascii="Times New Roman" w:cs="Times New Roman" w:eastAsia="Times New Roman" w:hAnsi="Times New Roman"/>
          <w:sz w:val="20"/>
          <w:szCs w:val="20"/>
          <w:u w:val="single" w:color="auto"/>
          <w:color w:val="auto"/>
        </w:rPr>
        <w:t>4.7(b)(vii)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a true and complete list of (i) all United States state and federal registrations of and applications for Patents, Trademarks, and Copyrights owned by each Grantor, and (ii) all express and written Patent Licenses, Trademark Licenses, Trade Secret Licenses and Copyright Licenses material to the business of the Grantors;</w:t>
      </w:r>
    </w:p>
    <w:p>
      <w:pPr>
        <w:spacing w:after="0" w:line="19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25"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the true, lawful and exclusive owner of all Intellectual Property (other than licensed Intellectual Property) on </w:t>
      </w: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color w:val="auto"/>
        </w:rPr>
        <w:t xml:space="preserve"> as of the Closing Date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that such Grantor uses in connection with its business, and owns, is licensed to use or otherwise has the valid right to use all Intellectual Property that such Grantor uses in connection with its business, free and clear of all Liens and licenses, except for (x) Permitted Liens, (y) the licenses set forth on </w:t>
      </w:r>
      <w:r>
        <w:rPr>
          <w:rFonts w:ascii="Times New Roman" w:cs="Times New Roman" w:eastAsia="Times New Roman" w:hAnsi="Times New Roman"/>
          <w:sz w:val="20"/>
          <w:szCs w:val="20"/>
          <w:u w:val="single" w:color="auto"/>
          <w:color w:val="auto"/>
        </w:rPr>
        <w:t>Schedule 4.7(B)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as of the Closing Date (as each such Schedule may be amended or supplemented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and (z) sales and dispositions permitted by Section 6.09 of the Credit Agreement;</w:t>
      </w:r>
    </w:p>
    <w:p>
      <w:pPr>
        <w:spacing w:after="0" w:line="179"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464"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Intellectual Property used in the conduct the business of the Grantors (A) is valid and subsisting and, to the knowledge of such Grantor, enforceable (subject to</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applicable bankruptcy, insolvency, reorganization, moratorium or other laws affecting creditors’ rights generally and subject to general principles of equity, regardless of whether considered in a proceeding in equity or at law), and (B) has not been adjudged invalid or unenforceable, in whole or in part, except, in each case, as could not reasonably be expected to have a Material Adverse Effect;</w:t>
      </w:r>
    </w:p>
    <w:p>
      <w:pPr>
        <w:spacing w:after="0" w:line="172" w:lineRule="exact"/>
        <w:rPr>
          <w:sz w:val="20"/>
          <w:szCs w:val="20"/>
          <w:color w:val="auto"/>
        </w:rPr>
      </w:pPr>
    </w:p>
    <w:p>
      <w:pPr>
        <w:jc w:val="both"/>
        <w:ind w:firstLine="1292"/>
        <w:spacing w:after="0" w:line="257" w:lineRule="auto"/>
        <w:tabs>
          <w:tab w:leader="none" w:pos="1955"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holding, decision, or judgment has been rendered in any action or proceeding before any court or administrative authority challenging the validity of, such Grantor’s right to register, or such Grantor’s rights to own or use, any Intellectual Property material to the business of such Grantor and no such action or proceeding is pending or, to such Grantor’s knowledge, threatened in writing, except in each case to the extent that the loss of such Intellectual Property could not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firstLine="1292"/>
        <w:spacing w:after="0" w:line="258" w:lineRule="auto"/>
        <w:tabs>
          <w:tab w:leader="none" w:pos="1816"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registrations and applications for Copyrights, Patents and Trademarks owned by any Grantor are, to the knowledge of a Senior Officer of such Grantor, standing in the name of such Grantor, and no Trademarks, Patents, Copyrights or Trade Secrets of any Grantor have been exclusively licensed by any Grantor to any Affiliate or third party, except as disclosed in </w:t>
      </w:r>
      <w:r>
        <w:rPr>
          <w:rFonts w:ascii="Times New Roman" w:cs="Times New Roman" w:eastAsia="Times New Roman" w:hAnsi="Times New Roman"/>
          <w:sz w:val="20"/>
          <w:szCs w:val="20"/>
          <w:u w:val="single" w:color="auto"/>
          <w:color w:val="auto"/>
        </w:rPr>
        <w:t>Schedule 4.7(B)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as of the Closing Date (as each may be amended or supplemented from time to time);</w:t>
      </w:r>
    </w:p>
    <w:p>
      <w:pPr>
        <w:spacing w:after="0" w:line="185" w:lineRule="exact"/>
        <w:rPr>
          <w:rFonts w:ascii="Times New Roman" w:cs="Times New Roman" w:eastAsia="Times New Roman" w:hAnsi="Times New Roman"/>
          <w:sz w:val="20"/>
          <w:szCs w:val="20"/>
          <w:color w:val="auto"/>
        </w:rPr>
      </w:pPr>
    </w:p>
    <w:p>
      <w:pPr>
        <w:jc w:val="both"/>
        <w:ind w:firstLine="1292"/>
        <w:spacing w:after="0" w:line="254" w:lineRule="auto"/>
        <w:tabs>
          <w:tab w:leader="none" w:pos="199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Grantor has been using commercially reasonable efforts to use appropriate statutory notices of registration in connection with its use of registered Trademarks, proper marking practices in connection with the use of issued Patents, and appropriate notice of Copyright in connection with the publication of registered Copyrights, in each case, to the extent that the same is material to the business of such Grantor;</w:t>
      </w:r>
    </w:p>
    <w:p>
      <w:pPr>
        <w:spacing w:after="0" w:line="187" w:lineRule="exact"/>
        <w:rPr>
          <w:rFonts w:ascii="Times New Roman" w:cs="Times New Roman" w:eastAsia="Times New Roman" w:hAnsi="Times New Roman"/>
          <w:sz w:val="20"/>
          <w:szCs w:val="20"/>
          <w:color w:val="auto"/>
        </w:rPr>
      </w:pPr>
    </w:p>
    <w:p>
      <w:pPr>
        <w:ind w:left="1840" w:hanging="548"/>
        <w:spacing w:after="0"/>
        <w:tabs>
          <w:tab w:leader="none" w:pos="184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229" w:lineRule="exact"/>
        <w:rPr>
          <w:rFonts w:ascii="Times New Roman" w:cs="Times New Roman" w:eastAsia="Times New Roman" w:hAnsi="Times New Roman"/>
          <w:sz w:val="20"/>
          <w:szCs w:val="20"/>
          <w:color w:val="auto"/>
        </w:rPr>
      </w:pPr>
    </w:p>
    <w:p>
      <w:pPr>
        <w:jc w:val="both"/>
        <w:ind w:firstLine="1292"/>
        <w:spacing w:after="0" w:line="253" w:lineRule="auto"/>
        <w:tabs>
          <w:tab w:leader="none" w:pos="197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conduct of such Grantor’s business does not infringe upon any Trademark, Patent, Copyright, Trade Secret or similar intellectual property right owned or controlled by a third party in any material respect and (y) no claim has been made that the use of any Intellectual Property owned or used by any Grantor (or any of its respective licensees) violates the asserted rights of any third party except in each case of clauses (x) and (y), as could not reasonably be expected to have a Material Adverse Effect;</w:t>
      </w:r>
    </w:p>
    <w:p>
      <w:pPr>
        <w:spacing w:after="0" w:line="191"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0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third party is infringing upon or otherwise violating any rights in any Material Intellectual Property owned or used by such Grantor, or any of its respective material licensees in any respect except as could not reasonably be expected to have a Material Adverse Effect; and</w:t>
      </w:r>
    </w:p>
    <w:p>
      <w:pPr>
        <w:spacing w:after="0" w:line="167" w:lineRule="exact"/>
        <w:rPr>
          <w:rFonts w:ascii="Times New Roman" w:cs="Times New Roman" w:eastAsia="Times New Roman" w:hAnsi="Times New Roman"/>
          <w:sz w:val="20"/>
          <w:szCs w:val="20"/>
          <w:color w:val="auto"/>
        </w:rPr>
      </w:pPr>
    </w:p>
    <w:p>
      <w:pPr>
        <w:jc w:val="both"/>
        <w:ind w:firstLine="1292"/>
        <w:spacing w:after="0" w:line="268" w:lineRule="auto"/>
        <w:tabs>
          <w:tab w:leader="none" w:pos="174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settlement or consents, covenants not to sue, nonassertion assurances, or releases have been entered into by Grantor or to which Grantor is bound that adversely affect Grantor’s rights to own or use any Material Intellectual Property except as could not reasonably be expected to have a Material Adverse Effect.</w:t>
      </w:r>
    </w:p>
    <w:p>
      <w:pPr>
        <w:sectPr>
          <w:pgSz w:w="11900" w:h="16838" w:orient="portrait"/>
          <w:cols w:equalWidth="0" w:num="1">
            <w:col w:w="10580"/>
          </w:cols>
          <w:pgMar w:left="980" w:top="1440" w:right="33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80" w:hanging="476"/>
        <w:spacing w:after="0"/>
        <w:tabs>
          <w:tab w:leader="none" w:pos="178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 as follows:</w:t>
      </w:r>
    </w:p>
    <w:p>
      <w:pPr>
        <w:spacing w:after="0" w:line="200"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397"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do any act or omit to do any act whereby any of the Intellectual Property which is material to the business of such Grantor may lapse, or become abandoned, dedicated to the public, or unenforceable, or which would materially adversely affect the validity, grant, or enforceability of the security interest granted herein (except for such Intellectual Property with respect to which such Grantor has determined in the exercise of its commercially reasonable judgment to permit to lapse, to become abandoned, to be dedicated to the public or to be unenforceable);</w:t>
      </w:r>
    </w:p>
    <w:p>
      <w:pPr>
        <w:spacing w:after="0" w:line="19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18"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with respect to any Trademarks which are material to the business of any Grantor, cease the use of any of such Trademarks (except for such Trademarks with respect to which such Grantor has determined in the exercise of its commercially reasonable judgment that it shall not use) or fail to use commercially reasonable efforts to maintain the level of the quality of products sold and services rendered under any of such Trademark at a level at least substantially consistent in all material respects with the quality of such products and services as of the date hereof, and each Grantor shall take commercially reasonable steps to insure that licensees of such Trademarks use such consistent standards of quality;</w:t>
      </w:r>
    </w:p>
    <w:p>
      <w:pPr>
        <w:spacing w:after="0" w:line="192"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525"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promptly notify Collateral Agent if any Senior Officer of such Grantor knows that any item of the Intellectual Property owned by such Grantor that is material to the business of any Grantors may become (a) abandoned or dedicated to the public or placed in the public domain, (b) invalid or unenforceable, or (c) subject to any adverse determination or development (including the institution of proceedings) in any action or proceeding in the United States Patent and Trademark Office, the United States Copyright Office, any state registry or any court (except, in each case of clauses (a), (b) and (c) above, for such Intellectual Property with respect to which such Grantor has determined in the exercise of its commercially reasonable judgment to permit to become abandoned, to be dedicated to the public or to be invalid or unenforceable or to be subject to any such adverse determination or development);</w:t>
      </w:r>
    </w:p>
    <w:p>
      <w:pPr>
        <w:spacing w:after="0" w:line="195"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05"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shall take all reasonable steps in the United States Patent and Trademark Office, the United States Copyright Office or any state registry to pursue any application and maintain any registration of each Trademark, Patent, and Copyright owned by such Grantor and material to its business which is now or shall become included in the Intellectual Property of such Grantor (except for such Trademarks, Patents, and Copyrights with respect to which such Grantor has determined in the exercise of its commercially reasonable judgment that it shall not seek registration or maintain) including, but not limited to, those items on </w:t>
      </w:r>
      <w:r>
        <w:rPr>
          <w:rFonts w:ascii="Times New Roman" w:cs="Times New Roman" w:eastAsia="Times New Roman" w:hAnsi="Times New Roman"/>
          <w:sz w:val="20"/>
          <w:szCs w:val="20"/>
          <w:u w:val="single" w:color="auto"/>
          <w:color w:val="auto"/>
        </w:rPr>
        <w:t>Schedule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(as each may be amended or supplemented from time to time);</w:t>
      </w:r>
    </w:p>
    <w:p>
      <w:pPr>
        <w:spacing w:after="0" w:line="192"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8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Intellectual Property owned by or exclusively licensed to any Grantor which is material such Grantor’s business is infringed, misappropriated, or diluted by a third party and such Grantor becomes aware of such infringement or misappropriation, such Grantor shall promptly take all actions it determines are necessary or appropriate, in the exercise of its reasonable business judgment, to stop such infringement,</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misappropriation, or dilution and protect its rights in such Intellectual Property including, but not limited to, the initiation of a suit for injunctive relief and to recover damages;</w:t>
      </w:r>
    </w:p>
    <w:p>
      <w:pPr>
        <w:spacing w:after="0" w:line="146" w:lineRule="exact"/>
        <w:rPr>
          <w:sz w:val="20"/>
          <w:szCs w:val="20"/>
          <w:color w:val="auto"/>
        </w:rPr>
      </w:pPr>
    </w:p>
    <w:p>
      <w:pPr>
        <w:jc w:val="both"/>
        <w:ind w:firstLine="1292"/>
        <w:spacing w:after="0" w:line="252" w:lineRule="auto"/>
        <w:tabs>
          <w:tab w:leader="none" w:pos="1871"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shall, substantially concurrently with the delivery of financial statements required to be delivered pursuant to Section 5.01(b) and Section 5.01(c) of the Credit Agreement, report to Collateral Agent (i) the filing of any application to register any Intellectual Property owned by such Grantor with the United States Patent and Trademark Office, the United States Copyright Office or any state registry (whether such application is filed by such Grantor or through any agent, employee, licensee, or designee thereof), (ii) the registration of any such Intellectual Property by any such office, and (iii) the acquisition of Intellectual Property by purchase or assignment that is the subject of a registration or a pending application or assignment, and promptly thereafter execute and deliver to Collateral Agent a completed Pledge Supplement and executed notice of security interest in such Intellectual Property for filing with the United States Patent and Trademark Office or United States Copyright Office, as applicable,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together with all Supplements to Schedules thereto;</w:t>
      </w:r>
    </w:p>
    <w:p>
      <w:pPr>
        <w:spacing w:after="0" w:line="175" w:lineRule="exact"/>
        <w:rPr>
          <w:rFonts w:ascii="Times New Roman" w:cs="Times New Roman" w:eastAsia="Times New Roman" w:hAnsi="Times New Roman"/>
          <w:sz w:val="20"/>
          <w:szCs w:val="20"/>
          <w:color w:val="auto"/>
        </w:rPr>
      </w:pPr>
    </w:p>
    <w:p>
      <w:pPr>
        <w:ind w:left="1880" w:hanging="588"/>
        <w:spacing w:after="0"/>
        <w:tabs>
          <w:tab w:leader="none" w:pos="188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229"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Reserved];</w:t>
      </w:r>
    </w:p>
    <w:p>
      <w:pPr>
        <w:spacing w:after="0" w:line="229"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47"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hereafter use commercially reasonable efforts so as not to permit the inclusion in any contract to which it hereafter becomes a party of any provision that could reasonably be expected to materially impair or prevent the creation of a security interest in, or the assignment of, such Grantor’s rights and interests in any property included within the definitions of any Material Intellectual Property acquired under such contracts (other than off-the-shelf software and software subject to shrink-wrap, click-wrap and other generally commercially available licenses);</w:t>
      </w:r>
    </w:p>
    <w:p>
      <w:pPr>
        <w:spacing w:after="0" w:line="191"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take commercially reasonable actions to protect the secrecy of all Trade Secrets of any Grantor; and</w:t>
      </w:r>
    </w:p>
    <w:p>
      <w:pPr>
        <w:spacing w:after="0" w:line="215" w:lineRule="exact"/>
        <w:rPr>
          <w:rFonts w:ascii="Times New Roman" w:cs="Times New Roman" w:eastAsia="Times New Roman" w:hAnsi="Times New Roman"/>
          <w:sz w:val="20"/>
          <w:szCs w:val="20"/>
          <w:color w:val="auto"/>
        </w:rPr>
      </w:pPr>
    </w:p>
    <w:p>
      <w:pPr>
        <w:ind w:firstLine="1292"/>
        <w:spacing w:after="0" w:line="283" w:lineRule="auto"/>
        <w:tabs>
          <w:tab w:leader="none" w:pos="1835"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take commercially reasonable actions to use proper statutory notice in connection with its use of any of the Intellectual Property that is material to the Grantors business.</w:t>
      </w:r>
    </w:p>
    <w:p>
      <w:pPr>
        <w:spacing w:after="0" w:line="1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4.8</w:t>
      </w:r>
      <w:r>
        <w:rPr>
          <w:sz w:val="20"/>
          <w:szCs w:val="20"/>
          <w:color w:val="auto"/>
        </w:rPr>
        <w:tab/>
      </w:r>
      <w:r>
        <w:rPr>
          <w:rFonts w:ascii="Times New Roman" w:cs="Times New Roman" w:eastAsia="Times New Roman" w:hAnsi="Times New Roman"/>
          <w:sz w:val="19"/>
          <w:szCs w:val="19"/>
          <w:b w:val="1"/>
          <w:bCs w:val="1"/>
          <w:color w:val="auto"/>
        </w:rPr>
        <w:t>Commercial Tort Claims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firstLine="1304"/>
        <w:spacing w:after="0" w:line="258" w:lineRule="auto"/>
        <w:tabs>
          <w:tab w:leader="none" w:pos="117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Grantor hereby represents and warrants to Collateral Agent and each other Secured Party that </w:t>
      </w:r>
      <w:r>
        <w:rPr>
          <w:rFonts w:ascii="Times New Roman" w:cs="Times New Roman" w:eastAsia="Times New Roman" w:hAnsi="Times New Roman"/>
          <w:sz w:val="20"/>
          <w:szCs w:val="20"/>
          <w:u w:val="single" w:color="auto"/>
          <w:color w:val="auto"/>
        </w:rPr>
        <w:t>Schedule 4.8</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sets forth, as of the Closing Date, each Commercial Tort Claim (i) with a value in excess of $2,000,000 individually with respect to such Grantor and (ii) with respect to which such Grantor has commenced a legal action; and</w:t>
      </w:r>
    </w:p>
    <w:p>
      <w:pPr>
        <w:spacing w:after="0" w:line="118" w:lineRule="exact"/>
        <w:rPr>
          <w:rFonts w:ascii="Times New Roman" w:cs="Times New Roman" w:eastAsia="Times New Roman" w:hAnsi="Times New Roman"/>
          <w:sz w:val="20"/>
          <w:szCs w:val="20"/>
          <w:color w:val="auto"/>
        </w:rPr>
      </w:pPr>
    </w:p>
    <w:p>
      <w:pPr>
        <w:ind w:left="-660" w:right="20" w:firstLine="1304"/>
        <w:spacing w:after="0" w:line="283" w:lineRule="auto"/>
        <w:tabs>
          <w:tab w:leader="none" w:pos="110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and Agreements</w:t>
      </w:r>
      <w:r>
        <w:rPr>
          <w:rFonts w:ascii="Times New Roman" w:cs="Times New Roman" w:eastAsia="Times New Roman" w:hAnsi="Times New Roman"/>
          <w:sz w:val="20"/>
          <w:szCs w:val="20"/>
          <w:color w:val="auto"/>
        </w:rPr>
        <w:t>. Each Grantor hereby covenants and agrees with Collateral Agent and each other Secured Party that with respect to any Commercial Tort Claim hereafter</w:t>
      </w:r>
    </w:p>
    <w:p>
      <w:pPr>
        <w:sectPr>
          <w:pgSz w:w="11900" w:h="16838" w:orient="portrait"/>
          <w:cols w:equalWidth="0" w:num="1">
            <w:col w:w="10580"/>
          </w:cols>
          <w:pgMar w:left="980" w:top="1440" w:right="33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arising with a value in excess of $2,000,000 individually with respect to such Grantor, it shall, within ninety (90) days after the commencement of any action that gives rise to such Commercial Tort Claim (or such longer period as Collateral Agent may agree), deliver to Collateral Agent a completed Pledge Supplement,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together with all Supplements to Schedules thereto, identifying such new Commercial Tort Claims.</w:t>
      </w:r>
    </w:p>
    <w:p>
      <w:pPr>
        <w:spacing w:after="0" w:line="27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ACCESS; RIGHT OF INSPECTION AND FURTHER ASSURANCES; ADDITIONAL GRANTORS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[Intentionally Reserved]</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Further Assurances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53" w:lineRule="auto"/>
        <w:tabs>
          <w:tab w:leader="none" w:pos="177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agrees that from time to time, at the expense of such Grantor, it shall promptly execute and deliver all further instruments and documents, and take all further action, that may be reasonably necessary, or that Collateral Agent may reasonably request, in order to create and/or maintain the validity, perfection or priority of and protect any security interest granted or purported to be granted hereby (but subject to the limitations set forth in this Agreement) or to enable Collateral Agent to exercise and enforce its rights and remedies hereunder with respect to any Collateral. Without limiting the generality of the foregoing, each Grantor shall:</w:t>
      </w:r>
    </w:p>
    <w:p>
      <w:pPr>
        <w:spacing w:after="0" w:line="137"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343"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or authorize the filing of such financing or continuation statements, or amendments thereto, and execute and deliver such other agreements, instruments, endorsements, powers of attorney or notices, as Collateral Agent may reasonably request, in order to perfect and preserve the security interests granted or purported to be granted hereby (but subject to the limitations set forth in this Agreement);</w:t>
      </w:r>
    </w:p>
    <w:p>
      <w:pPr>
        <w:spacing w:after="0" w:line="118" w:lineRule="exact"/>
        <w:rPr>
          <w:rFonts w:ascii="Times New Roman" w:cs="Times New Roman" w:eastAsia="Times New Roman" w:hAnsi="Times New Roman"/>
          <w:sz w:val="20"/>
          <w:szCs w:val="20"/>
          <w:color w:val="auto"/>
        </w:rPr>
      </w:pPr>
    </w:p>
    <w:p>
      <w:pPr>
        <w:jc w:val="both"/>
        <w:ind w:left="660" w:firstLine="1292"/>
        <w:spacing w:after="0" w:line="276" w:lineRule="auto"/>
        <w:tabs>
          <w:tab w:leader="none" w:pos="2396"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all actions reasonably necessary to ensure the recordation of appropriate evidence of the Liens and security interests granted hereunder in any owned Intellectual Property constituting Collateral which is registered or for which an application for registration is pending with the United States Patent and Trademark Office, the United States Copyright Office and the various Secretaries of State (it being agreed that no filings with the various Secretaries of State registries are required hereunder);</w:t>
      </w:r>
    </w:p>
    <w:p>
      <w:pPr>
        <w:spacing w:after="0" w:line="115" w:lineRule="exact"/>
        <w:rPr>
          <w:rFonts w:ascii="Times New Roman" w:cs="Times New Roman" w:eastAsia="Times New Roman" w:hAnsi="Times New Roman"/>
          <w:sz w:val="19"/>
          <w:szCs w:val="19"/>
          <w:color w:val="auto"/>
        </w:rPr>
      </w:pPr>
    </w:p>
    <w:p>
      <w:pPr>
        <w:jc w:val="both"/>
        <w:ind w:left="660" w:firstLine="1292"/>
        <w:spacing w:after="0" w:line="261" w:lineRule="auto"/>
        <w:tabs>
          <w:tab w:leader="none" w:pos="2465"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reasonable time, upon request by Collateral Agent following the occurrence and during the continuance of an Event of Default, assemble the Collateral and allow inspection of the Collateral by Collateral Agent, or Persons designated by Collateral Agent, to the extent applicable, in the manner provided under the Credit Agreement; and</w:t>
      </w:r>
    </w:p>
    <w:p>
      <w:pPr>
        <w:spacing w:after="0" w:line="127"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57"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Collateral Agent’s reasonable request, appear in and defend any action or proceeding that would reasonably be expected to affect such Grantor’s title (unless such Grantor determines, in its reasonable business judgment, that such title is no longer necessary or beneficial to the conduct of the business) or would reasonably be expected to have a material adverse effect on Collateral Agent’s security interest in all or any part of the Collateral, except for Permitted Liens (in each case, subject to the limitations set forth in this Agreement and except as otherwise permitted by the Credit Agreement).</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304"/>
        <w:spacing w:after="0" w:line="250" w:lineRule="auto"/>
        <w:tabs>
          <w:tab w:leader="none" w:pos="172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Grantor hereby authorizes Collateral Agent to file a Record or Records, including, without limitation, financing or continuation statements, and amendments thereto, in any jurisdictions and with any filing offices as Collateral Agent may determine, in its sole discretion, are reasonably necessary or advisable to perfect the security interest granted to Collateral Agent herein. Such financing statements may describe the Collateral in the same manner as described herein or may contain an indication or description of collateral that describes such property in any other manner as Collateral Agent may determine, in its sole discretion, is necessary, advisable or prudent to ensure the perfection of the security interest in the Collateral granted to Collateral Agent herein, including, without limitation, describing such property as “all assets, whether now owned or hereafter acquired” or “all personal property, whether now owned or hereafter acquired” (or words of similar effect). Each Grantor shall furnish to Collateral Agent from time to time statements and schedules further identifying and describing the Collateral and such other reports in connection with the Collateral as Collateral Agent may reasonably request, all in reasonable detail.</w:t>
      </w:r>
    </w:p>
    <w:p>
      <w:pPr>
        <w:spacing w:after="0" w:line="14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7"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Grantor shall, and hereby authorizes Collateral Agent to, amend </w:t>
      </w:r>
      <w:r>
        <w:rPr>
          <w:rFonts w:ascii="Times New Roman" w:cs="Times New Roman" w:eastAsia="Times New Roman" w:hAnsi="Times New Roman"/>
          <w:sz w:val="20"/>
          <w:szCs w:val="20"/>
          <w:u w:val="single" w:color="auto"/>
          <w:color w:val="auto"/>
        </w:rPr>
        <w:t>Schedule 4.7</w:t>
      </w:r>
      <w:r>
        <w:rPr>
          <w:rFonts w:ascii="Times New Roman" w:cs="Times New Roman" w:eastAsia="Times New Roman" w:hAnsi="Times New Roman"/>
          <w:sz w:val="20"/>
          <w:szCs w:val="20"/>
          <w:color w:val="auto"/>
        </w:rPr>
        <w:t xml:space="preserve"> (as such Schedule may be amended, restated, supplemented or otherwise modified from time to time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to include reference to any right, title or interest in any existing Intellectual Property or any Intellectual Property acquired or developed by any Grantor after the execution hereof, in each case, to the extent required to be pledged hereunder, or to delete any reference to any right, title or interest in any Intellectual Property in which any Grantor no longer has or claims any right, title or interest.</w:t>
      </w:r>
    </w:p>
    <w:p>
      <w:pPr>
        <w:spacing w:after="0" w:line="13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auto"/>
        </w:rPr>
        <w:t>5.3 Additional Grantors</w:t>
      </w:r>
      <w:r>
        <w:rPr>
          <w:rFonts w:ascii="Times New Roman" w:cs="Times New Roman" w:eastAsia="Times New Roman" w:hAnsi="Times New Roman"/>
          <w:sz w:val="19"/>
          <w:szCs w:val="19"/>
          <w:color w:val="auto"/>
        </w:rPr>
        <w:t>. From time to time subsequent to the date hereof, in accordance with the Credit Agreement, additional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Persons may become parties hereto as additional Grantors (each, an “</w:t>
      </w:r>
      <w:r>
        <w:rPr>
          <w:rFonts w:ascii="Times New Roman" w:cs="Times New Roman" w:eastAsia="Times New Roman" w:hAnsi="Times New Roman"/>
          <w:sz w:val="19"/>
          <w:szCs w:val="19"/>
          <w:b w:val="1"/>
          <w:bCs w:val="1"/>
          <w:color w:val="auto"/>
        </w:rPr>
        <w:t>Additional Grantor</w:t>
      </w:r>
      <w:r>
        <w:rPr>
          <w:rFonts w:ascii="Times New Roman" w:cs="Times New Roman" w:eastAsia="Times New Roman" w:hAnsi="Times New Roman"/>
          <w:sz w:val="19"/>
          <w:szCs w:val="19"/>
          <w:color w:val="auto"/>
        </w:rPr>
        <w:t>”), by executing a Counterpart Agreement, in each case, without the consent of any other Grantor. Upon execution and delivery of any such Counterpart Agreement to Collateral Agent, notice of which is hereby waived by Grantors, each Additional Grantor shall be a Grantor and shall be as fully a party hereto as if Additional Grantor were an original signatory hereto. Each Grantor expressly agrees that its obligations arising hereunder shall not be affected or diminished by the addition or release of any other Grantor hereunder, nor by any election of Collateral Agent not to cause any Subsidiary of any Grantor to become an Additional Grantor hereunder. This Agreement shall be fully effective as to any Grantor that is or becomes a party hereto regardless of whether any other Person becomes or fails to become or ceases to be a Grantor hereunder. Each reference in this Agreement and the other Credit Documents to “Grantor” shall also mean and be a reference to such Additional Grantor, and each reference in this Agreement and the other Credit Documents to “Collateral” shall also mean and be a reference to the Collateral of such Additional Grantor, and the supplemental schedules attached to each Counterpart Agreement shall be incorporated into and become a part of and supplement the corresponding Schedules hereto, and the Collateral Agent may attach such supplemental schedules to such Schedules; and each reference to such Schedules shall mean and be a reference to such Schedules as supplemented pursuant to each Counterpart Agreement.</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5.4 Schedules</w:t>
      </w:r>
      <w:r>
        <w:rPr>
          <w:rFonts w:ascii="Times New Roman" w:cs="Times New Roman" w:eastAsia="Times New Roman" w:hAnsi="Times New Roman"/>
          <w:sz w:val="20"/>
          <w:szCs w:val="20"/>
          <w:color w:val="auto"/>
        </w:rPr>
        <w:t>. From time to time as may be reasonably requested by Collateral Agent (which such request will not be made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frequently than once each year absent the occurrence and continuance of an Event of Default) or at Grantors’ election or as required by this Agreement, the Grantors shall supplement any Schedule hereto with respect to any matter hereafter arising that, if existing or occurring at the date of this Agreement, would have been required to be set forth or described in such Schedule or as an exception to such representation or that is necessary to correct any information in such</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Schedule or representation which has been rendered inaccurate thereby by delivering Collateral Agent either (x) a completed Pledge Supplement,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together with all supplements to Schedules thereto (and, in the case of any supplements to any Schedule, such Schedule shall be appropriately marked to show the changes made therein), whereupon such Schedule shall be deemed to be supplemented or (y) supplemental information in writing permitted or required to be provided under the Credit Agreement, which shall be deemed to supplement any reasonably related Schedule;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 such supplement to any such Schedule or representation shall be or be deemed a waiver of any Default or Event of Default resulting from the matters disclosed therein, except as consented to by Requisite Lenders in writing or otherwise permitted under the Credit Agreement, (b) each Grantor agrees that the security interest of Collateral Agent shall attach to all Collateral immediately upon any Grantor’s acquisition of rights therein and shall not be affected by the failure of any Grantor to deliver a Pledge Supplement as provided herein and (c) with respect to any such supplement to any such Schedule or representation, references in this Agreement to the “Closing Date” or “as of the date hereof” or words of similar import shall be deemed to be a reference to the date such supplement is delivered.</w:t>
      </w:r>
    </w:p>
    <w:p>
      <w:pPr>
        <w:spacing w:after="0" w:line="2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COLLATERAL AGENT APPOINTED ATTORNEY-IN-FACT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6.1 Power of Attorney</w:t>
      </w:r>
      <w:r>
        <w:rPr>
          <w:rFonts w:ascii="Times New Roman" w:cs="Times New Roman" w:eastAsia="Times New Roman" w:hAnsi="Times New Roman"/>
          <w:sz w:val="20"/>
          <w:szCs w:val="20"/>
          <w:color w:val="auto"/>
        </w:rPr>
        <w:t>. Each Grantor hereby irrevocably appoints Collateral Agent (such appointment being coupled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and terminable only upon the Payment in Full of the Secured Obligations) as such Grantor’s attorney-in-fact, with full authority in the place and stead of such Grantor and in the name of such Grantor, Collateral Agent or otherwise, from time to time in Collateral Agent’s discretion to take any action and to execute any instrument that Collateral Agent may deem reasonably necessary or advisable to accomplish the purposes of this Agreement, including, without limitation, the following:</w:t>
      </w:r>
    </w:p>
    <w:p>
      <w:pPr>
        <w:spacing w:after="0" w:line="137" w:lineRule="exact"/>
        <w:rPr>
          <w:sz w:val="20"/>
          <w:szCs w:val="20"/>
          <w:color w:val="auto"/>
        </w:rPr>
      </w:pPr>
    </w:p>
    <w:p>
      <w:pPr>
        <w:ind w:firstLine="1304"/>
        <w:spacing w:after="0" w:line="283" w:lineRule="auto"/>
        <w:tabs>
          <w:tab w:leader="none" w:pos="174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obtain and adjust insurance required to be maintained by such Grantor or paid to Collateral Agent pursuant to the Credit Agreement;</w:t>
      </w:r>
    </w:p>
    <w:p>
      <w:pPr>
        <w:spacing w:after="0" w:line="92" w:lineRule="exact"/>
        <w:rPr>
          <w:rFonts w:ascii="Times New Roman" w:cs="Times New Roman" w:eastAsia="Times New Roman" w:hAnsi="Times New Roman"/>
          <w:sz w:val="20"/>
          <w:szCs w:val="20"/>
          <w:color w:val="auto"/>
        </w:rPr>
      </w:pPr>
    </w:p>
    <w:p>
      <w:pPr>
        <w:ind w:firstLine="1304"/>
        <w:spacing w:after="0" w:line="283" w:lineRule="auto"/>
        <w:tabs>
          <w:tab w:leader="none" w:pos="176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ask for, demand, collect, sue for, recover, compound, receive and give acquittance and receipts for moneys due and to become due under or in respect of any of the Collateral;</w:t>
      </w:r>
    </w:p>
    <w:p>
      <w:pPr>
        <w:spacing w:after="0" w:line="92" w:lineRule="exact"/>
        <w:rPr>
          <w:rFonts w:ascii="Times New Roman" w:cs="Times New Roman" w:eastAsia="Times New Roman" w:hAnsi="Times New Roman"/>
          <w:sz w:val="20"/>
          <w:szCs w:val="20"/>
          <w:color w:val="auto"/>
        </w:rPr>
      </w:pPr>
    </w:p>
    <w:p>
      <w:pPr>
        <w:ind w:firstLine="1304"/>
        <w:spacing w:after="0" w:line="283" w:lineRule="auto"/>
        <w:tabs>
          <w:tab w:leader="none" w:pos="175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receive, endorse and collect any drafts or other instruments, documents and chattel paper in connection with clause (b) above;</w:t>
      </w:r>
    </w:p>
    <w:p>
      <w:pPr>
        <w:spacing w:after="0" w:line="10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3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file any claims or take any action or institute any proceedings that Collateral Agent may deem necessary or desirable for the collection of any of the Collateral or otherwise to enforce the rights of Collateral Agent with respect to any of the Collateral;</w:t>
      </w:r>
    </w:p>
    <w:p>
      <w:pPr>
        <w:spacing w:after="0" w:line="113" w:lineRule="exact"/>
        <w:rPr>
          <w:rFonts w:ascii="Times New Roman" w:cs="Times New Roman" w:eastAsia="Times New Roman" w:hAnsi="Times New Roman"/>
          <w:sz w:val="20"/>
          <w:szCs w:val="20"/>
          <w:color w:val="auto"/>
        </w:rPr>
      </w:pPr>
    </w:p>
    <w:p>
      <w:pPr>
        <w:ind w:firstLine="1304"/>
        <w:spacing w:after="0" w:line="283" w:lineRule="auto"/>
        <w:tabs>
          <w:tab w:leader="none" w:pos="1762"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prepare and file any UCC financing and continuation statements, and amendments thereto, against such Grantor as debtor with respect to the Collateral;</w:t>
      </w:r>
    </w:p>
    <w:p>
      <w:pPr>
        <w:spacing w:after="0" w:line="10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12"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upon the occurrence and during the continuance of any Event of Default, to declare the entire right, title and interest of such Grantor in and to the Intellectual Property owned by such Grantor, vested in the Collateral Agent for the benefit of the Secured Parties, in which event such rights,</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title and interest shall immediately vest, in the Collateral Agent for the benefit of the Secured Parties, and the Collateral Agent shall be entitled to (i) exercise the power of attorney referred to in this Section to execute, cause to be acknowledged and notarized and record said absolute assignment with the applicable agency or registrar; (ii) take and use or sell the Intellectual Property owned by such Grantor; (iii) take and use or sell the goodwill of such Grantor’s business symbolized by the Trademarks and the right to carry on the business and use the assets of such Grantor in connection with which the Trademarks or domain names have been used; and (iv) direct such Grantor to refrain, in which event such Grantor shall refrain, from using the Intellectual Property owned by such Grantor in any manner whatsoever, directly or indirectly, and such Grantor shall execute such further documents that the Collateral Agent may reasonably request to further confirm this and to transfer ownership of the Intellectual Property owned by such Grantor, including any registrations and pending applications in the United States Copyright Office, United States Patent and Trademark Office or applicable Domain Name registrar, to the Collateral Agent;</w:t>
      </w:r>
    </w:p>
    <w:p>
      <w:pPr>
        <w:spacing w:after="0" w:line="122" w:lineRule="exact"/>
        <w:rPr>
          <w:sz w:val="20"/>
          <w:szCs w:val="20"/>
          <w:color w:val="auto"/>
        </w:rPr>
      </w:pPr>
    </w:p>
    <w:p>
      <w:pPr>
        <w:ind w:firstLine="1304"/>
        <w:spacing w:after="0" w:line="283" w:lineRule="auto"/>
        <w:tabs>
          <w:tab w:leader="none" w:pos="1821"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sign the name of any Grantor on any invoice or bill of lading relating to any of the Collateral;</w:t>
      </w:r>
    </w:p>
    <w:p>
      <w:pPr>
        <w:spacing w:after="0" w:line="92" w:lineRule="exact"/>
        <w:rPr>
          <w:rFonts w:ascii="Times New Roman" w:cs="Times New Roman" w:eastAsia="Times New Roman" w:hAnsi="Times New Roman"/>
          <w:sz w:val="20"/>
          <w:szCs w:val="20"/>
          <w:color w:val="auto"/>
        </w:rPr>
      </w:pPr>
    </w:p>
    <w:p>
      <w:pPr>
        <w:ind w:firstLine="1304"/>
        <w:spacing w:after="0" w:line="283" w:lineRule="auto"/>
        <w:tabs>
          <w:tab w:leader="none" w:pos="1757"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prepare, file and sign any Grantor’s name on a proof of claim in bankruptcy or similar document against any Account Debtor of such Grantor;</w:t>
      </w:r>
    </w:p>
    <w:p>
      <w:pPr>
        <w:spacing w:after="0" w:line="10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to take or cause to be taken all actions necessary to perform or comply or cause performance or compliance with the terms of this Agreement, including, without limitation, access to pay or discharge taxes to the extent required to be paid under the Credit Agreement or Liens (other than Permitted Liens) levied or placed upon or threatened against the Collateral, the legality or validity thereof and the amounts necessary to discharge the same to be determined in good faith by Collateral Agent in its sole discretion, any such payments made by Collateral Agent to become obligations of such Grantor to Collateral Agent, due and payable immediately without demand; and</w:t>
      </w:r>
    </w:p>
    <w:p>
      <w:pPr>
        <w:spacing w:after="0" w:line="124"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3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 generally to sell, transfer, pledge, make any agreement with respect to or otherwise deal with any of the Collateral as fully and completely as though Collateral Agent were the absolute owner thereof for all purposes, and to do, at Collateral Agent’s option and such Grantor’s expense, at any time or from time to time, all acts and things that Collateral Agent deems reasonably necessary to protect, preserve or realize upon the Collateral and Collateral Agent’s security interest therein in order to effect the intent of this Agreement, all as fully and effectively as such Grantor might do.</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Anything in this Section 6.1 to the contrary notwithstanding, the Collateral Agent agrees that it will not exercise any rights under the power of attorney provided for in this Section 6.1 (except as permitted under Section 6.1(e)) unless an Event of Default shall have occurred and be continuing.</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6.2 No Duty on the Part of Collateral Agent or Secured Parties</w:t>
      </w:r>
      <w:r>
        <w:rPr>
          <w:rFonts w:ascii="Times New Roman" w:cs="Times New Roman" w:eastAsia="Times New Roman" w:hAnsi="Times New Roman"/>
          <w:sz w:val="20"/>
          <w:szCs w:val="20"/>
          <w:color w:val="auto"/>
        </w:rPr>
        <w:t>. The powers conferred on Collateral Agent hereunder are solely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protect the interests of the Secured Parties in the Collateral and shall not impose any duty upon Collateral Agent or any other Secured Party to exercise any such powers. Collateral Agent and the Secured Parties shall be accountable only for amounts that they actually receive as a result of the exercise of such powers, and neither they nor any of their respective officers, directors, employees, counsel, agents or attorneys-in-fact, in each case, shall be responsible to any Grantor for any</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act or failure to act hereunder, except for their own gross negligence or willful misconduct as determined by a final, non-appealable judgment of a court of competent jurisdiction.</w:t>
      </w:r>
    </w:p>
    <w:p>
      <w:pPr>
        <w:spacing w:after="0" w:line="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auto"/>
        </w:rPr>
        <w:t>6.3 PROXY</w:t>
      </w:r>
      <w:r>
        <w:rPr>
          <w:rFonts w:ascii="Times New Roman" w:cs="Times New Roman" w:eastAsia="Times New Roman" w:hAnsi="Times New Roman"/>
          <w:sz w:val="19"/>
          <w:szCs w:val="19"/>
          <w:color w:val="auto"/>
        </w:rPr>
        <w:t>. EACH GRANTOR HEREBY IRREVOCABLY CONSTITUTES AND APPOINTS THE COLLATERAL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(SUCH APPOINTMENT BEING TERMINABLE UPON THE PAYMENT IN FULL OF THE SECURED OBLIGATIONS) AS ITS PROXY AND ATTORNEY-IN-FACT (ONLY UPON THE OCCURRENCE AND DURING THE CONTINUANCE OF AN EVENT OF DEFAULT AS SET FORTH IN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WITH RESPECT TO THE COLLATERAL, INCLUDING THE RIGHT TO VOTE SUCH COLLATERAL, WITH FULL POWER OF SUBSTITUTION TO DO SO. IN ADDITION TO THE RIGHT TO VOTE ANY SUCH COLLATERAL, THE APPOINTMENT OF THE AGENT AS PROXY AND ATTORNEY-IN-FACT SHALL INCLUDE THE RIGHT TO EXERCISE ALL OTHER RIGHTS, POWERS, PRIVILEGES AND REMEDIES TO WHICH A HOLDER OF SUCH COLLATERAL WOULD BE ENTITLED (INCLUDING GIVING OR WITHHOLDING WRITTEN CONSENTS OF SHAREHOLDERS, PARTNERS OR MEMBERS, AS THE CASE MAY BE, CALLING SPECIAL MEETINGS OF SHAREHOLDERS AND VOTING AT SUCH MEETINGS). SUCH PROXY SHALL BE EFFECTIVE, AUTOMATICALLY AND WITHOUT THE NECESSITY OF ANY ACTION (INCLUDING ANY TRANSFER OF ANY SUCH COLLATERAL ON THE RECORD BOOKS OF THE ISSUER THEREOF) BY ANY PERSON (INCLUDING THE ISSUER OF SUCH COLLATERAL OR ANY OFFICER OR AGENT THEREOF), IN EACH CASE, ONLY UPON THE OCCURRENCE AND DURING THE CONTINUANCE OF AN EVENT OF DEFAULT.</w:t>
      </w:r>
    </w:p>
    <w:p>
      <w:pPr>
        <w:spacing w:after="0" w:line="12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6.3.1 </w:t>
      </w:r>
      <w:r>
        <w:rPr>
          <w:rFonts w:ascii="Times New Roman" w:cs="Times New Roman" w:eastAsia="Times New Roman" w:hAnsi="Times New Roman"/>
          <w:sz w:val="20"/>
          <w:szCs w:val="20"/>
          <w:b w:val="1"/>
          <w:bCs w:val="1"/>
          <w:u w:val="single" w:color="auto"/>
          <w:color w:val="auto"/>
        </w:rPr>
        <w:t>NATURE OF APPOINTMENT; LIMITATION OF DUTY</w:t>
      </w:r>
      <w:r>
        <w:rPr>
          <w:rFonts w:ascii="Times New Roman" w:cs="Times New Roman" w:eastAsia="Times New Roman" w:hAnsi="Times New Roman"/>
          <w:sz w:val="20"/>
          <w:szCs w:val="20"/>
          <w:color w:val="auto"/>
        </w:rPr>
        <w:t>. THE APPOINTMENT OF THE COLLATERAL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AS PROXY AND ATTORNEY-IN-FACT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IS COUPLED WITH AN INTEREST AND SHALL BE IRREVOCABLE UNTIL PAYMENT IN FULL OF THE SECURED OBLIGATIONS. NOTWITHSTANDING ANYTHING CONTAINED HEREIN, NEITHER THE COLLATERAL AGENT, NOR ANY SECURED PARTY, NOR ANY OF THEIR RESPECTIVE AFFILIATES, OFFICERS, DIRECTORS, EMPLOYEES, AGENTS OR REPRESENTATIVES SHALL HAVE ANY DUTY TO EXERCISE ANY RIGHT OR POWER GRANTED HEREUNDER OR OTHERWISE OR TO PRESERVE THE SAME AND SHALL NOT BE LIABLE FOR ANY FAILURE TO DO SO OR FOR ANY DELAY IN DOING SO, EXCEPT TO THE EXTENT SUCH DAMAGES ARE ATTRIBUTABLE TO THE GROSS NEGLIGENCE OR WILLFUL MISCONDUCT OF SUCH PERSON AS DETERMINED BY A COURT OF COMPETENT JURISDICTION IN A FINAL AND NON-APPEALABLE DECISION; PROVIDED THAT , IN NO EVENT SHALL THEY BE LIABLE FOR ANY PUNITIVE, EXEMPLARY, INDIRECT OR CONSEQUENTIAL DAMAGES; PROVIDED FURTHER THAT THE FOREGOING EXCEPTION SHALL NOT BE CONSTRUED TO OBLIGATE THE COLLATERAL AGENT TO TAKE OR REFRAIN FROM TAKING ANY ACTION WITH RESPECT TO THE COLLATERAL</w:t>
      </w:r>
    </w:p>
    <w:p>
      <w:pPr>
        <w:spacing w:after="0" w:line="3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REMEDIES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Generally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1304"/>
        <w:spacing w:after="0" w:line="269" w:lineRule="auto"/>
        <w:tabs>
          <w:tab w:leader="none" w:pos="1861"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shall have occurred and be continuing, Collateral Agent may exercise in respect of the Collateral, in addition to all other rights and remedies provided for herein</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or otherwise available to it at law or in equity, all the rights and remedies of Collateral Agent on default under the UCC (whether or not the UCC applies to the affected Collateral) to collect, enforce or satisfy any Secured Obligations then owing, whether by acceleration or otherwise, and also may pursue any of the following separately, successively or simultaneously:</w:t>
      </w:r>
    </w:p>
    <w:p>
      <w:pPr>
        <w:spacing w:after="0" w:line="127" w:lineRule="exact"/>
        <w:rPr>
          <w:sz w:val="20"/>
          <w:szCs w:val="20"/>
          <w:color w:val="auto"/>
        </w:rPr>
      </w:pPr>
    </w:p>
    <w:p>
      <w:pPr>
        <w:jc w:val="both"/>
        <w:ind w:left="660" w:firstLine="1292"/>
        <w:spacing w:after="0" w:line="261" w:lineRule="auto"/>
        <w:tabs>
          <w:tab w:leader="none" w:pos="2357"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Grantor to, and each Grantor hereby agrees that it shall at its expense and promptly upon request of Collateral Agent forthwith, assemble all or part of the Collateral as directed by Collateral Agent and make it available to Collateral Agent at a place to be designated by Collateral Agent that is reasonably convenient to the parties hereto;</w:t>
      </w:r>
    </w:p>
    <w:p>
      <w:pPr>
        <w:spacing w:after="0" w:line="113"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onto the property where any Collateral is located and take possession thereof with or without judicial</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w:t>
      </w:r>
    </w:p>
    <w:p>
      <w:pPr>
        <w:spacing w:after="0" w:line="159" w:lineRule="exact"/>
        <w:rPr>
          <w:rFonts w:ascii="Times New Roman" w:cs="Times New Roman" w:eastAsia="Times New Roman" w:hAnsi="Times New Roman"/>
          <w:sz w:val="20"/>
          <w:szCs w:val="20"/>
          <w:color w:val="auto"/>
        </w:rPr>
      </w:pPr>
    </w:p>
    <w:p>
      <w:pPr>
        <w:ind w:left="660" w:right="20" w:firstLine="1292"/>
        <w:spacing w:after="0" w:line="269" w:lineRule="auto"/>
        <w:tabs>
          <w:tab w:leader="none" w:pos="2576"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disposition of the Collateral, store, process, repair or recondition the Collateral or otherwise prepare the Collateral for disposition in any manner to the extent Collateral Agent deems appropriate;</w:t>
      </w:r>
    </w:p>
    <w:p>
      <w:pPr>
        <w:spacing w:after="0" w:line="118" w:lineRule="exact"/>
        <w:rPr>
          <w:rFonts w:ascii="Times New Roman" w:cs="Times New Roman" w:eastAsia="Times New Roman" w:hAnsi="Times New Roman"/>
          <w:sz w:val="20"/>
          <w:szCs w:val="20"/>
          <w:color w:val="auto"/>
        </w:rPr>
      </w:pPr>
    </w:p>
    <w:p>
      <w:pPr>
        <w:jc w:val="both"/>
        <w:ind w:left="660" w:firstLine="1292"/>
        <w:spacing w:after="0" w:line="270" w:lineRule="auto"/>
        <w:tabs>
          <w:tab w:leader="none" w:pos="2524" w:val="left"/>
        </w:tabs>
        <w:numPr>
          <w:ilvl w:val="1"/>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notice except as specified below or under the UCC, sell, assign, lease, license (on an exclusive or nonexclusive basis), grant an option or options to purchase or otherwise dispose of, deliver, or otherwise realize upon, the Collateral or any part thereof in one or more parcels at public or private sale (which sales may take place at such Grantor’s premises, at any of the Collateral Agent’s offices or elsewhere), for cash, on credit or for future delivery without assumption of any credit risk, at such time or times and at such price or prices and upon such other terms as Collateral Agent may deem commercially reasonable; and</w:t>
      </w:r>
    </w:p>
    <w:p>
      <w:pPr>
        <w:spacing w:after="0" w:line="121" w:lineRule="exact"/>
        <w:rPr>
          <w:rFonts w:ascii="Times New Roman" w:cs="Times New Roman" w:eastAsia="Times New Roman" w:hAnsi="Times New Roman"/>
          <w:sz w:val="19"/>
          <w:szCs w:val="19"/>
          <w:color w:val="auto"/>
        </w:rPr>
      </w:pPr>
    </w:p>
    <w:p>
      <w:pPr>
        <w:jc w:val="both"/>
        <w:ind w:left="660" w:firstLine="1292"/>
        <w:spacing w:after="0" w:line="253" w:lineRule="auto"/>
        <w:tabs>
          <w:tab w:leader="none" w:pos="2432"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any and all rights and remedies of any of the Grantors under or in connection with the Collateral, or otherwise in respect of the Collateral, including, without limitation, (A) any and all rights of such Grantor to demand or otherwise require payment of any amount under, or performance of any provision of, the collaterally assigned agreements, the receivables, the related contracts, the Accounts and the other Collateral and (B) exercise all other rights and remedies with respect to the collaterally assigned agreements, the receivables, the related contracts, the Accounts and the other Collateral, including, those set forth in Section 9-607 of the UCC.</w:t>
      </w:r>
    </w:p>
    <w:p>
      <w:pPr>
        <w:spacing w:after="0" w:line="124"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5"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or any other Secured Party may be the purchaser of any or all of the Collateral at any public or private (to the extent that the portion of the Collateral being privately sold is of a kind that is customarily sold on a recognized market or the subject of widely distributed standard price quotations) sale in accordance with the UCC and Collateral Agent, as collateral agent for and representative of the Secured Parties, shall be entitled, for the purpose of bidding and making settlement or payment of the purchase price for all or any portion of the Collateral sold at any such sale made in accordance with the UCC, to use and apply any of the Secured Obligations as a credit on account of the purchase price for any Collateral payable by Collateral Agent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Collateral Agent shall not be</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obligated to make any sale of Collateral regardless of notice of sale having been given. Collateral Agent may adjourn any public or private sale from time to time by announcement at the time and place fixed therefor, and such sale may, without further notice, be made at the time and place to which it was so adjourned. Each Grantor agrees that it would not be commercially unreasonable for Collateral Agent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Collateral Agent arising by reason of the fact that the price at which any Collateral may have been sold at such a private sale was less than the price which might have been obtained at a public sale, even if Collateral Agent accepts the first offer received and does not offer such Collateral to more than one offeree. To the extent it may lawfully do so, each Grantor absolutely and irrevocably waives and relinquishes the benefit and advantage of, and covenants not to assert against the Collateral Agent or any purchaser of the Collateral, any valuation, stay (other than an automatic stay under any applicable Debtor Relief Law), appraisal, extension, moratorium, redemption or similar law and any and all rights or defenses it may have as a surety now or hereafter existing (other than Payment in Full of the Secured Obligations) which, but for this provision, might be applicable to the sale of any Collateral made under the judgment, order or decree of any court, or privately under the power of sale conferred by this Agreement, or otherwise. Except as otherwise specifically provided herein or any other Credit Document, each Grantor hereby waives any requirements as to presentment, demand, protest, any notice (to the maximum extent permitted by applicable law) of any kind or all other requirements as to the time, place and terms of sale in connection with this Agreement or any Collateral. If the proceeds of any sale or other disposition of the Collateral are insufficient to pay all the Secured Obligations, Grantors shall be liable for the deficiency and the reasonable fees of any attorneys employed by Collateral Agent to collect such deficiency. Each Grantor further agrees that a breach of any of the covenants contained in this Section will cause irreparable injury to Collateral Agent, that Collateral Agent has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 except for a defense that no default has occurred giving rise to the Secured Obligations becoming due and payable prior to their stated maturities. Nothing in this Section shall in any way alter the rights of Collateral Agent hereunder.</w:t>
      </w:r>
    </w:p>
    <w:p>
      <w:pPr>
        <w:spacing w:after="0" w:line="139" w:lineRule="exact"/>
        <w:rPr>
          <w:sz w:val="20"/>
          <w:szCs w:val="20"/>
          <w:color w:val="auto"/>
        </w:rPr>
      </w:pPr>
    </w:p>
    <w:p>
      <w:pPr>
        <w:jc w:val="both"/>
        <w:ind w:firstLine="1304"/>
        <w:spacing w:after="0" w:line="261" w:lineRule="auto"/>
        <w:tabs>
          <w:tab w:leader="none" w:pos="183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may sell the Collateral without giving any warranties as to the Collateral. Collateral Agent may specifically disclaim or modify any warranties of title or the like. The foregoing shall not be considered to adversely affect the commercial reasonableness of any sale of the Collateral.</w:t>
      </w:r>
    </w:p>
    <w:p>
      <w:pPr>
        <w:spacing w:after="0" w:line="12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74"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Collateral Agent shall not be required to (i) make any demand upon, or pursue or exhaust any of their rights or remedies against, the Grantors, any other obligor, guarantor, pledgor or any other person with respect to the payment of the Secured Obligations or to pursue or exhaust any of their rights or remedies with respect to any Collateral therefor or any direct or indirect guarantee thereof, (ii) marshal any of the Collateral or any such guarantee in any particular order, or (iii) effect a public sale of any Collateral.</w:t>
      </w:r>
    </w:p>
    <w:p>
      <w:pPr>
        <w:spacing w:after="0" w:line="1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7.2 Application of Proceeds</w:t>
      </w:r>
      <w:r>
        <w:rPr>
          <w:rFonts w:ascii="Times New Roman" w:cs="Times New Roman" w:eastAsia="Times New Roman" w:hAnsi="Times New Roman"/>
          <w:sz w:val="20"/>
          <w:szCs w:val="20"/>
          <w:color w:val="auto"/>
        </w:rPr>
        <w:t>. Except as expressly provided elsewhere in this Agreement, all proceeds received by Collateral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any sale, any collection from, or other realization upon all or any part of the Collateral shall be applied in full or in part by Collateral Agent against the Secured Obligations as provided in the Credit Agreement.</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7.3 Sales on Credit</w:t>
      </w:r>
      <w:r>
        <w:rPr>
          <w:rFonts w:ascii="Times New Roman" w:cs="Times New Roman" w:eastAsia="Times New Roman" w:hAnsi="Times New Roman"/>
          <w:sz w:val="20"/>
          <w:szCs w:val="20"/>
          <w:color w:val="auto"/>
        </w:rPr>
        <w:t>. If Collateral Agent sells any of the Collateral upon credit, Grantors will be credited only with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actually made by the purchaser thereof and received by Collateral Agent and applied to indebtedness of the purchaser thereof. In the event the purchaser fails to pay for the Collateral, Collateral Agent may resell the Collateral and Grantors shall be credited with proceeds of the sale.</w:t>
      </w:r>
    </w:p>
    <w:p>
      <w:pPr>
        <w:spacing w:after="0" w:line="11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Anything contained herein to the contrary notwithstanding, upon the occurrence and during the continuation of an Event of Default, solely for the purpose of enabling Collateral Agent to exercise rights and remedies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upon the occurrence and during the continuance of an Event of Default and at such time as Collateral Agent shall be lawfully entitled to exercise such rights and remedies, and for no other purpose, each Grantor hereby grants to Collateral Agent, to the extent it has the right to do so, an irrevocable (until the Termination Date), nonexclusive license (exercisable without payment of royalty or other compensation to such Grantor), subject, in the case of Trademarks, to sufficient rights to quality control and inspection in favor of such Grantor to avoid the risk of invalidation of said Trademarks, to use, operate under, license, or sublicense any Intellectual Property now owned or hereafter acquired by such Grantor, and wherever the same may be located.</w:t>
      </w:r>
    </w:p>
    <w:p>
      <w:pPr>
        <w:spacing w:after="0" w:line="13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Investment Related Property.</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Grantor recognizes that, by reason of certain prohibitions contained in the Securities Act and applicable state securities laws, Collateral Agent may be compelled, with respect to any sale of all or any part of the Investment Related Property conducted without prior registration or qualification of such Investment Related Property under the Securities Act and/or such state securities laws, to limit purchasers to those who will agree, among other things, to acquire the Investment Related Property for their own account, for investment and not with a view to the distribution or resale thereof. Each Grantor acknowledges that any such private sale may be at prices and on terms less favorable than those obtainable through a public sale without such restrictions (including a public offering made pursuant to a registration statement under the Securities Act) and, notwithstanding such circumstances, each Grantor agrees that any such private sale shall be deemed to have been made in a commercially reasonable manner and that Collateral Agent shall have no obligation to engage in public sales and no obligation to delay the sale of any Investment Related Property for the period of time necessary to permit the issuer thereof to register it for a form of public sale requiring registration under the Securities Act or under applicable state securities laws, even if such issuer would, or should, agree to so register it. If Collateral Agent determines to exercise its right to sell any or all of the Investment Related Property, upon receiving a written request, each Grantor shall and shall use its best efforts to cause each issuer of any Pledged Equity Interests to be sold hereunder from time to time to furnish to Collateral Agent all such information as Collateral Agent may request in order to determine the number and nature of interest, shares or other instruments included in the Investment Related Property which may be sold by Collateral Agent in exempt transactions under the Securities Act and the rules and regulations of the Securities and Exchange Commission thereunder, as the same are from time to time in effect.</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Collateral Agent is authorized, in connection with any sale of the Investment Related Property pursuant to this Section, to deliver or otherwise disclose to any prospective purchaser of the Investment Related Property any information in its possession relating to such Investment Related Property (it being agreed and understood that such prospective purchasers shall be bound by</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confidentiality obligations substantially similar to those confidentiality provisions set forth in the Credit Agreement)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7.6 Intellectual Property</w:t>
      </w:r>
      <w:r>
        <w:rPr>
          <w:rFonts w:ascii="Times New Roman" w:cs="Times New Roman" w:eastAsia="Times New Roman" w:hAnsi="Times New Roman"/>
          <w:sz w:val="20"/>
          <w:szCs w:val="20"/>
          <w:color w:val="auto"/>
        </w:rPr>
        <w:t>. Solely for the purpose of enabling Collateral Agent to exercise rights and remedies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occurrence and during the continuance of an Event of Default and at such time as Collateral Agent shall be lawfully entitled to exercise such rights and remedies, and for no other purpose, each Grantor hereby grants to Collateral Agent, to the extent it has the right to do so, an irrevocable (until the Termination Date), nonexclusive license (exercisable without payment of royalty or other compensation to such Grantor), subject, in the case of Trademarks, to sufficient rights to quality control and inspection in favor of such Grantor to avoid the risk of invalidation of said Trademarks, to use, operate under, license, or sublicense any Intellectual Property now owned or hereafter acquired by such Grantor, and wherever the same may be located.</w:t>
      </w:r>
    </w:p>
    <w:p>
      <w:pPr>
        <w:spacing w:after="0" w:line="13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7.7 Cash Proceeds</w:t>
      </w:r>
      <w:r>
        <w:rPr>
          <w:rFonts w:ascii="Times New Roman" w:cs="Times New Roman" w:eastAsia="Times New Roman" w:hAnsi="Times New Roman"/>
          <w:sz w:val="20"/>
          <w:szCs w:val="20"/>
          <w:color w:val="auto"/>
        </w:rPr>
        <w:t>. Subject to the rights of Collateral Agent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payments of Receivables,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set forth in the Credit Agreement, if an Event of Default has occurred and is continuing, all proceeds of any Collateral received by any Grantor consisting of cash, checks and other non-cash items (collectively, “</w:t>
      </w:r>
      <w:r>
        <w:rPr>
          <w:rFonts w:ascii="Times New Roman" w:cs="Times New Roman" w:eastAsia="Times New Roman" w:hAnsi="Times New Roman"/>
          <w:sz w:val="20"/>
          <w:szCs w:val="20"/>
          <w:u w:val="single" w:color="auto"/>
          <w:color w:val="auto"/>
        </w:rPr>
        <w:t>Cash Proceeds</w:t>
      </w:r>
      <w:r>
        <w:rPr>
          <w:rFonts w:ascii="Times New Roman" w:cs="Times New Roman" w:eastAsia="Times New Roman" w:hAnsi="Times New Roman"/>
          <w:sz w:val="20"/>
          <w:szCs w:val="20"/>
          <w:color w:val="auto"/>
        </w:rPr>
        <w:t>”) shall be held by such Grantor in trust for Collateral Agent, segregated from other funds of such Grantor and, upon notice from the Collateral Agent, shall promptly be turned over to Collateral Agent in the exact form received by such Grantor (duly indorsed by such Grantor to Collateral Agent, if required) and held by Collateral Agent in an account designated by the Collateral Agent for such purpose. Except as set forth in the Credit Agreement, upon the occurrence and during the continuation of an Event of Default, any Cash Proceeds received by Collateral Agent (whether from a Grantor or otherwise) shall be applied as set forth in the Credit Agreement.</w:t>
      </w:r>
    </w:p>
    <w:p>
      <w:pPr>
        <w:spacing w:after="0" w:line="28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Collateral Agent has been appointed to act as “Collateral Agent” hereunder by Lenders pursuant to the Credit Agreement and, by their acceptance of the benefits hereof, the other Secured Parties. Collateral Agent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and the other Credit Documents. In furtherance of the foregoing provisions of this section, each Secured Party, by its acceptance of the benefits hereof, agrees that it shall have no right individually to realize upon any of the Collateral hereunder, it being understood and agreed by such Secured Party that all powers, rights and remedies hereunder may be exercised solely by Collateral Agent for the benefit of Secured Parties in accordance with the terms of this section. Collateral Agent may resign at any time in accordance with the Credit Agreement. In the event of any such resignation, Requisite Lenders and Borrowers shall have the right to appoint a successor Collateral Agent in accordance with the Credit Agreement. Upon the acceptance of any appointment as Collateral Agent hereunder by a successor Collateral Agent, that successor Collateral Agent shall succeed to and become vested with all of the rights, powers, privileges and duties of the retiring or removed Collateral Agent under this Agreement. After any retiring or removed Collateral Agent’s resignation or removal hereunder as Collateral Agent, the provisions of this Agreement shall inure to its benefit as to any actions taken or omitted to be taken by it under this Agreement while it was Collateral Agent hereunder.</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CONTINUING SECURITY INTEREST; TRANSFER OF LOANS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71" w:lineRule="auto"/>
        <w:tabs>
          <w:tab w:leader="none" w:pos="1717"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create a continuing security interest in the Collateral and shall remain in full force and effect until the Termination Date, be binding upon each Grantor, its successors and assigns, and inure, together with the rights and remedies of Collateral Agent hereunder, to the benefit of Collateral Agent and its successors, transferees and permitted assigns. Upon the Termination Date, the security interest granted hereby shall automatically terminate hereunder and of record and all rights to the Collateral shall revert to Grantors.</w:t>
      </w:r>
    </w:p>
    <w:p>
      <w:pPr>
        <w:spacing w:after="0" w:line="120" w:lineRule="exact"/>
        <w:rPr>
          <w:rFonts w:ascii="Times New Roman" w:cs="Times New Roman" w:eastAsia="Times New Roman" w:hAnsi="Times New Roman"/>
          <w:sz w:val="19"/>
          <w:szCs w:val="19"/>
          <w:color w:val="auto"/>
        </w:rPr>
      </w:pPr>
    </w:p>
    <w:p>
      <w:pPr>
        <w:jc w:val="both"/>
        <w:ind w:firstLine="1304"/>
        <w:spacing w:after="0" w:line="253" w:lineRule="auto"/>
        <w:tabs>
          <w:tab w:leader="none" w:pos="176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interest in and Lien in favor of the Collateral Agent in any Collateral shall automatically terminate (i) to the extent such property is the subject of a sale or other disposition of assets permitted by the Credit Agreement, (ii) as to property with respect to which Requisite Lenders (or such other Lenders as may be required to give such consent under Section 10.05 of the Credit Agreement) have otherwise consented, approved, authorized or ratified in writing, (iii) to the extent such property is owned by a Subsidiary Guarantor that is released from its obligations pursuant to Section 7.12 of the Credit Agreement, (iv) upon such property constituting Excluded Assets or (v) as otherwise provided in Section 9.08 of the Credit Agreement.</w:t>
      </w:r>
    </w:p>
    <w:p>
      <w:pPr>
        <w:spacing w:after="0" w:line="12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2"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such termination or release pursuant to clauses (a) and (b) above, Collateral Agent shall, at the sole expense of Grantors, (i) authorize Grantors to file any UCC-3 termination statements, and (ii) execute and deliver any releases and other appropriate documentation (including, without limitation, lien releases, mortgage releases, discharges of security interests, reassignments of Intellectual Property, terminations of deposit account control agreements and other similar discharge or release documents), all in form and substance reasonably satisfactory to Collateral Agent, that are reasonably requested by Grantors, in the case of each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effectuate and evidence such termination and release above and without recourse to Collateral Agent and without representation, warranty or other assurance of any kind.</w:t>
      </w:r>
    </w:p>
    <w:p>
      <w:pPr>
        <w:spacing w:after="0" w:line="29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STANDARD OF CARE; COLLATERAL AGENT MAY PERFORM</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powers conferred on Collateral Agent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Collateral Agent shall have no duty as to any Collateral or as to the taking of any necessary steps to preserve rights against prior parties or any other rights pertaining to any Collateral. Collateral Agent shall be deemed to have exercised reasonable care in the custody and preservation of Collateral in its possession if such Collateral is accorded treatment substantially equal to that which Collateral Agent accords its own property. Neither Collateral Agent nor any of its directors, officers, employees or agents shall be liable for failure to demand, collect or realize upon all or any part of the Collateral or for any delay in doing so or shall be under any obligation to sell or otherwise dispose of any Collateral upon the request of any Grantor or otherwise. If an Event of Default shall have occurred and is continuing and any Grantor fails to perform any agreement contained herein, Collateral Agent may (to the extent permitted hereunder) itself perform, or cause performance of, such agreement, and the expenses of Collateral Agent incurred in connection therewith shall be payable by each Grantor under Section 10.02 of the Credit Agreement.</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REINSTATEMENT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Agreement shall remain in full force and effect and continue to be effective should (a) any petition be filed by or against any Grantor for liquidation or reorganization, (b) any Grantor become insolvent or make an assignment for the benefit of any creditor or creditors, or (c)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to the extent of the amount so rescinded, reduced, restored or returned,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29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INDEMNITY AND EXPENSES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1304"/>
        <w:spacing w:after="0" w:line="310" w:lineRule="auto"/>
        <w:tabs>
          <w:tab w:leader="none" w:pos="1729"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Grantor jointly and severally agrees to defend, protect, indemnify and hold harmless each Secured Party and each other Indemnitee in accordance with Section 10.03 of the Credit Agreement, which is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83" w:lineRule="exact"/>
        <w:rPr>
          <w:rFonts w:ascii="Times New Roman" w:cs="Times New Roman" w:eastAsia="Times New Roman" w:hAnsi="Times New Roman"/>
          <w:sz w:val="19"/>
          <w:szCs w:val="19"/>
          <w:color w:val="auto"/>
        </w:rPr>
      </w:pPr>
    </w:p>
    <w:p>
      <w:pPr>
        <w:ind w:firstLine="1304"/>
        <w:spacing w:after="0" w:line="269" w:lineRule="auto"/>
        <w:tabs>
          <w:tab w:leader="none" w:pos="1748"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Grantor jointly and severally agrees to pay to the Agents costs and expenses in accordance with Section 10.02 of the Credit Agreement, which is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7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notice required or permitted to be given under this Agreement shall be given in accordance with Section 10.01 of the Credit Agreement. No failure or delay on the part of Collateral Agent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Credit Documents are cumulative to, and not exclusive of, any rights or remedies otherwise available.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This Agreement shall be binding upon and inure to the benefit of Collateral Agent and Grantors and their respective successors and permitted assigns. No Grantor shall, without the prior written consent of Collateral Agent given in accordance with the Credit Agreement, assign any right, duty or obligation hereunder. This Agreement, the other Credit Documents and any other documents delivered in connection with the foregoing embody the entire agreement and understanding between Grantors and Collateral Agent and supersede all prior agreements and understandings between such parties relating to the subject matter hereof and thereof. Accordingly, the Credit Documents and any other documents delivered in connection therewith may not</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be contradicted by evidence of prior, contemporaneous or subsequent oral agreements of the parties. There are no unwritten oral agreements between the parties with respect to the matters covered herein.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of a signature page of this Agreement by facsimile or other electronic transmission shall be effective as a manually executed counterpart of this Agreement.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contained herein to the contrary, the Collateral Agent is under no obligation to agree to accept electronic signatures in any form or in any format unless expressly agreed to by the Collateral Agent pursuant to procedures approved by it. Subject to </w:t>
      </w:r>
      <w:r>
        <w:rPr>
          <w:rFonts w:ascii="Times New Roman" w:cs="Times New Roman" w:eastAsia="Times New Roman" w:hAnsi="Times New Roman"/>
          <w:sz w:val="19"/>
          <w:szCs w:val="19"/>
          <w:u w:val="single" w:color="auto"/>
          <w:color w:val="auto"/>
        </w:rPr>
        <w:t>Sections 5.3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5.4</w:t>
      </w:r>
      <w:r>
        <w:rPr>
          <w:rFonts w:ascii="Times New Roman" w:cs="Times New Roman" w:eastAsia="Times New Roman" w:hAnsi="Times New Roman"/>
          <w:sz w:val="19"/>
          <w:szCs w:val="19"/>
          <w:color w:val="auto"/>
        </w:rPr>
        <w:t>, no amendment or waiver of any provision of this Agreement, and no consent to any departure by any Grantor herefrom, shall in any event be effective unless the same shall be in writing and signed by the Collateral Agent and, with respect to any amendment, such Grantor, and then such waiver or consent shall be effective only in the specific instance and for the specific purpose for which given.</w:t>
      </w:r>
    </w:p>
    <w:p>
      <w:pPr>
        <w:spacing w:after="0" w:line="12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THIS AGREEMENT AND THE RIGHTS AND OBLIGATIONS OF THE PARTIES HEREUNDER SHALL BE GOVERNED BY, AND SHALL BE CONSTRUED AND ENFORCED IN ACCORDANCE WITH, THE LAWS OF THE STATE OF NEW YORK.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Sections 1.02 and Sections 1.04 through 1.10 of the Credit Agreement are incorporated herein by reference, </w:t>
      </w:r>
      <w:r>
        <w:rPr>
          <w:rFonts w:ascii="Times New Roman" w:cs="Times New Roman" w:eastAsia="Times New Roman" w:hAnsi="Times New Roman"/>
          <w:sz w:val="20"/>
          <w:szCs w:val="20"/>
          <w:i w:val="1"/>
          <w:iCs w:val="1"/>
          <w:color w:val="auto"/>
        </w:rPr>
        <w:t>mutatis mutandis.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Without limiting any provision of the Credit Agreement or herein, all covenants, agreements, indemnities, representations and warranties made by the Grantors in this Agreement shall be considered to have been relied upon by the Lenders and shall survive the execution and delivery of the Credit Documents and the making of any Loans, regardless of any investigation made by any such Lender or on its behalf and notwithstanding that the Agent or any Lender may have had notice or knowledge of any Default or Event of Default or incorrect representation or warranty at the time any credit is extended under the Credit Agreement, and shall continue in full force and effect until the termination of this Agreement pursuant to its terms, or, with respect to any individual Grantor, until such Grantor is otherwise released from its obligations under this Agreement in accordance with the terms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1019810</wp:posOffset>
            </wp:positionV>
            <wp:extent cx="2545715" cy="8058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Priority Technology Holdings, Inc. Announces Closing of New Senior Credit Facilities with Lower Interest Rate</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ALPHARETTA, GA – August 4, 2025 -- Priority Technology Holdings, Inc. (NASDAQ: PRTH) ("Priority" or the "Company"), the payments and banking solution that streamlines collecting, storing, lending and sending money to unlock revenue opportunities, today announced the successful closing of $1.1 billion in new senior credit facilities, consisting of a $1 billion term loan with a 7-year maturity and a $100 million revolving credit facility with a 5-year maturity.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loan proceeds will be used to refinance existing debt, to satisfy outstanding obligations related to the 2023 acquisition of Plastiq, to fund strategic growth initiatives and for general corporate purposes. As a result of the financing, the Company lowered the interest rate on the term loan by 100 basis points compared to its existing debt and extended the term loan maturity to 2032.</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significant refinancing strengthens our balance sheet, improves our cash flow and provides Priority with enhanced financial flexibility to execute our growth strategy,” said Tim O’Leary, Chief Financial Officer of Priority. “The successful issuance of these credit facilities on favorable terms demonstrates the capital market’s confidence in our business model and growth trajectory. We appreciate the strong support of both existing and new investors in this financing and look forward to continuing our focus on execution.”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81F2D"/>
        </w:rPr>
        <w:t>About Priority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081F2D"/>
        </w:rPr>
        <w:t>Priority is the payments and banking solution that enables businesses to collect, store, lend and send funds through a unified commerce engine. Our platform combines payables, merchant services, and banking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and its publicly traded parent, Priority Technology Holdings, Inc. (NASDAQ: PRTH), visit prioritycommerce.com.</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81F2D"/>
        </w:rPr>
        <w:t>Forward Looking Statements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w:t>
      </w:r>
    </w:p>
    <w:p>
      <w:pPr>
        <w:sectPr>
          <w:pgSz w:w="11900" w:h="16838" w:orient="portrait"/>
          <w:cols w:equalWidth="0" w:num="1">
            <w:col w:w="11240"/>
          </w:cols>
          <w:pgMar w:left="320" w:top="126"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“projects,” “targeting,” “potential” or “contingent,” “guidance,” “outlook” or words of similar meaning. These forward-looking statements include, but are not limited to, the Purchase Agreement and our ability to close on the Purchase Agreement.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1)"/>
      <w:numFmt w:val="decimal"/>
      <w:start w:val="2"/>
    </w:lvl>
  </w:abstractNum>
  <w:abstractNum w:abstractNumId="2">
    <w:nsid w:val="3F06ECB2"/>
    <w:multiLevelType w:val="hybridMultilevel"/>
    <w:lvl w:ilvl="0">
      <w:lvlJc w:val="left"/>
      <w:lvlText w:val="(%1)"/>
      <w:numFmt w:val="lowerLetter"/>
      <w:start w:val="1"/>
    </w:lvl>
    <w:lvl w:ilvl="1">
      <w:lvlJc w:val="left"/>
      <w:lvlText w:val="(%2)"/>
      <w:numFmt w:val="lowerLetter"/>
      <w:start w:val="9"/>
    </w:lvl>
  </w:abstractNum>
  <w:abstractNum w:abstractNumId="3">
    <w:nsid w:val="3B594807"/>
    <w:multiLevelType w:val="hybridMultilevel"/>
    <w:lvl w:ilvl="0">
      <w:lvlJc w:val="left"/>
      <w:lvlText w:val="(%1)"/>
      <w:numFmt w:val="lowerRoman"/>
      <w:start w:val="2"/>
    </w:lvl>
    <w:lvl w:ilvl="1">
      <w:lvlJc w:val="left"/>
      <w:lvlText w:val="(%2)"/>
      <w:numFmt w:val="upperLetter"/>
      <w:start w:val="1"/>
    </w:lvl>
  </w:abstractNum>
  <w:abstractNum w:abstractNumId="4">
    <w:nsid w:val="6CAA2304"/>
    <w:multiLevelType w:val="hybridMultilevel"/>
    <w:lvl w:ilvl="0">
      <w:lvlJc w:val="left"/>
      <w:lvlText w:val="(%1)"/>
      <w:numFmt w:val="lowerRoman"/>
      <w:start w:val="3"/>
    </w:lvl>
    <w:lvl w:ilvl="1">
      <w:lvlJc w:val="left"/>
      <w:lvlText w:val="(%2)"/>
      <w:numFmt w:val="upperLetter"/>
      <w:start w:val="1"/>
    </w:lvl>
  </w:abstractNum>
  <w:abstractNum w:abstractNumId="5">
    <w:nsid w:val="3F7C2FF4"/>
    <w:multiLevelType w:val="hybridMultilevel"/>
    <w:lvl w:ilvl="0">
      <w:lvlJc w:val="left"/>
      <w:lvlText w:val="(%1)"/>
      <w:numFmt w:val="lowerRoman"/>
      <w:start w:val="6"/>
    </w:lvl>
  </w:abstractNum>
  <w:abstractNum w:abstractNumId="6">
    <w:nsid w:val="25413BEC"/>
    <w:multiLevelType w:val="hybridMultilevel"/>
    <w:lvl w:ilvl="0">
      <w:lvlJc w:val="left"/>
      <w:lvlText w:val="(%1)"/>
      <w:numFmt w:val="lowerLetter"/>
      <w:start w:val="1"/>
    </w:lvl>
  </w:abstractNum>
  <w:abstractNum w:abstractNumId="7">
    <w:nsid w:val="17180B0B"/>
    <w:multiLevelType w:val="hybridMultilevel"/>
    <w:lvl w:ilvl="0">
      <w:lvlJc w:val="left"/>
      <w:lvlText w:val="(%1)"/>
      <w:numFmt w:val="lowerLetter"/>
      <w:start w:val="2"/>
    </w:lvl>
  </w:abstractNum>
  <w:abstractNum w:abstractNumId="8">
    <w:nsid w:val="579328B9"/>
    <w:multiLevelType w:val="hybridMultilevel"/>
    <w:lvl w:ilvl="0">
      <w:lvlJc w:val="left"/>
      <w:lvlText w:val="(%1)"/>
      <w:numFmt w:val="lowerLetter"/>
      <w:start w:val="5"/>
    </w:lvl>
  </w:abstractNum>
  <w:abstractNum w:abstractNumId="9">
    <w:nsid w:val="5D205E20"/>
    <w:multiLevelType w:val="hybridMultilevel"/>
    <w:lvl w:ilvl="0">
      <w:lvlJc w:val="left"/>
      <w:lvlText w:val="(%1)"/>
      <w:numFmt w:val="lowerLetter"/>
      <w:start w:val="1"/>
    </w:lvl>
  </w:abstractNum>
  <w:abstractNum w:abstractNumId="10">
    <w:nsid w:val="11CCA8BA"/>
    <w:multiLevelType w:val="hybridMultilevel"/>
    <w:lvl w:ilvl="0">
      <w:lvlJc w:val="left"/>
      <w:lvlText w:val="(%1)"/>
      <w:numFmt w:val="lowerLetter"/>
      <w:start w:val="1"/>
    </w:lvl>
    <w:lvl w:ilvl="1">
      <w:lvlJc w:val="left"/>
      <w:lvlText w:val="(%2)"/>
      <w:numFmt w:val="lowerRoman"/>
      <w:start w:val="2"/>
    </w:lvl>
  </w:abstractNum>
  <w:abstractNum w:abstractNumId="11">
    <w:nsid w:val="4D32AB86"/>
    <w:multiLevelType w:val="hybridMultilevel"/>
    <w:lvl w:ilvl="0">
      <w:lvlJc w:val="left"/>
      <w:lvlText w:val="%1"/>
      <w:numFmt w:val="lowerLetter"/>
      <w:start w:val="1"/>
    </w:lvl>
    <w:lvl w:ilvl="1">
      <w:lvlJc w:val="left"/>
      <w:lvlText w:val="(%2)"/>
      <w:numFmt w:val="lowerRoman"/>
      <w:start w:val="4"/>
    </w:lvl>
  </w:abstractNum>
  <w:abstractNum w:abstractNumId="12">
    <w:nsid w:val="3F07ACC3"/>
    <w:multiLevelType w:val="hybridMultilevel"/>
    <w:lvl w:ilvl="0">
      <w:lvlJc w:val="left"/>
      <w:lvlText w:val="(%1)"/>
      <w:numFmt w:val="lowerLetter"/>
      <w:start w:val="2"/>
    </w:lvl>
  </w:abstractNum>
  <w:abstractNum w:abstractNumId="13">
    <w:nsid w:val="6B47F63E"/>
    <w:multiLevelType w:val="hybridMultilevel"/>
    <w:lvl w:ilvl="0">
      <w:lvlJc w:val="left"/>
      <w:lvlText w:val="(%1)"/>
      <w:numFmt w:val="lowerLetter"/>
      <w:start w:val="1"/>
    </w:lvl>
  </w:abstractNum>
  <w:abstractNum w:abstractNumId="14">
    <w:nsid w:val="5CB44A05"/>
    <w:multiLevelType w:val="hybridMultilevel"/>
    <w:lvl w:ilvl="0">
      <w:lvlJc w:val="left"/>
      <w:lvlText w:val="(%1)"/>
      <w:numFmt w:val="lowerRoman"/>
      <w:start w:val="1"/>
    </w:lvl>
  </w:abstractNum>
  <w:abstractNum w:abstractNumId="15">
    <w:nsid w:val="16CF80F1"/>
    <w:multiLevelType w:val="hybridMultilevel"/>
    <w:lvl w:ilvl="0">
      <w:lvlJc w:val="left"/>
      <w:lvlText w:val="(%1)"/>
      <w:numFmt w:val="lowerRoman"/>
      <w:start w:val="7"/>
    </w:lvl>
  </w:abstractNum>
  <w:abstractNum w:abstractNumId="16">
    <w:nsid w:val="1C695DEC"/>
    <w:multiLevelType w:val="hybridMultilevel"/>
    <w:lvl w:ilvl="0">
      <w:lvlJc w:val="left"/>
      <w:lvlText w:val="(%1)"/>
      <w:numFmt w:val="lowerLetter"/>
      <w:start w:val="1"/>
    </w:lvl>
  </w:abstractNum>
  <w:abstractNum w:abstractNumId="17">
    <w:nsid w:val="3FCFAED9"/>
    <w:multiLevelType w:val="hybridMultilevel"/>
    <w:lvl w:ilvl="0">
      <w:lvlJc w:val="left"/>
      <w:lvlText w:val="(%1)"/>
      <w:numFmt w:val="lowerLetter"/>
      <w:start w:val="3"/>
    </w:lvl>
  </w:abstractNum>
  <w:abstractNum w:abstractNumId="18">
    <w:nsid w:val="F856867"/>
    <w:multiLevelType w:val="hybridMultilevel"/>
    <w:lvl w:ilvl="0">
      <w:lvlJc w:val="left"/>
      <w:lvlText w:val="(%1)"/>
      <w:numFmt w:val="lowerLetter"/>
      <w:start w:val="1"/>
    </w:lvl>
  </w:abstractNum>
  <w:abstractNum w:abstractNumId="19">
    <w:nsid w:val="11B1CC33"/>
    <w:multiLevelType w:val="hybridMultilevel"/>
    <w:lvl w:ilvl="0">
      <w:lvlJc w:val="left"/>
      <w:lvlText w:val="(%1)"/>
      <w:numFmt w:val="lowerLetter"/>
      <w:start w:val="1"/>
    </w:lvl>
  </w:abstractNum>
  <w:abstractNum w:abstractNumId="20">
    <w:nsid w:val="2E22FBB7"/>
    <w:multiLevelType w:val="hybridMultilevel"/>
    <w:lvl w:ilvl="0">
      <w:lvlJc w:val="left"/>
      <w:lvlText w:val="(%1)"/>
      <w:numFmt w:val="lowerLetter"/>
      <w:start w:val="5"/>
    </w:lvl>
  </w:abstractNum>
  <w:abstractNum w:abstractNumId="21">
    <w:nsid w:val="29934699"/>
    <w:multiLevelType w:val="hybridMultilevel"/>
    <w:lvl w:ilvl="0">
      <w:lvlJc w:val="left"/>
      <w:lvlText w:val="C"/>
      <w:numFmt w:val="bullet"/>
      <w:start w:val="1"/>
    </w:lvl>
  </w:abstractNum>
  <w:abstractNum w:abstractNumId="22">
    <w:nsid w:val="77485850"/>
    <w:multiLevelType w:val="hybridMultilevel"/>
    <w:lvl w:ilvl="0">
      <w:lvlJc w:val="left"/>
      <w:lvlText w:val="%1)"/>
      <w:numFmt w:val="lowerLetter"/>
      <w:start w:val="1"/>
    </w:lvl>
  </w:abstractNum>
  <w:abstractNum w:abstractNumId="23">
    <w:nsid w:val="744939A3"/>
    <w:multiLevelType w:val="hybridMultilevel"/>
    <w:lvl w:ilvl="0">
      <w:lvlJc w:val="left"/>
      <w:lvlText w:val="(%1)"/>
      <w:numFmt w:val="lowerLetter"/>
      <w:start w:val="1"/>
    </w:lvl>
  </w:abstractNum>
  <w:abstractNum w:abstractNumId="24">
    <w:nsid w:val="4FA0D2E3"/>
    <w:multiLevelType w:val="hybridMultilevel"/>
    <w:lvl w:ilvl="0">
      <w:lvlJc w:val="left"/>
      <w:lvlText w:val="(%1)"/>
      <w:numFmt w:val="lowerLetter"/>
      <w:start w:val="3"/>
    </w:lvl>
  </w:abstractNum>
  <w:abstractNum w:abstractNumId="25">
    <w:nsid w:val="6B1D2C14"/>
    <w:multiLevelType w:val="hybridMultilevel"/>
    <w:lvl w:ilvl="0">
      <w:lvlJc w:val="left"/>
      <w:lvlText w:val="(%1)"/>
      <w:numFmt w:val="decimal"/>
      <w:start w:val="1"/>
    </w:lvl>
    <w:lvl w:ilvl="1">
      <w:lvlJc w:val="left"/>
      <w:lvlText w:val="(%2)"/>
      <w:numFmt w:val="lowerLetter"/>
      <w:start w:val="1"/>
    </w:lvl>
  </w:abstractNum>
  <w:abstractNum w:abstractNumId="26">
    <w:nsid w:val="68B867D3"/>
    <w:multiLevelType w:val="hybridMultilevel"/>
    <w:lvl w:ilvl="0">
      <w:lvlJc w:val="left"/>
      <w:lvlText w:val="(%1)"/>
      <w:numFmt w:val="decimal"/>
      <w:start w:val="1"/>
    </w:lvl>
  </w:abstractNum>
  <w:abstractNum w:abstractNumId="27">
    <w:nsid w:val="3F7F5DD9"/>
    <w:multiLevelType w:val="hybridMultilevel"/>
    <w:lvl w:ilvl="0">
      <w:lvlJc w:val="left"/>
      <w:lvlText w:val="(%1)"/>
      <w:numFmt w:val="lowerRoman"/>
      <w:start w:val="4"/>
    </w:lvl>
  </w:abstractNum>
  <w:abstractNum w:abstractNumId="28">
    <w:nsid w:val="2AE05A34"/>
    <w:multiLevelType w:val="hybridMultilevel"/>
    <w:lvl w:ilvl="0">
      <w:lvlJc w:val="left"/>
      <w:lvlText w:val="(%1)"/>
      <w:numFmt w:val="lowerLetter"/>
      <w:start w:val="1"/>
    </w:lvl>
  </w:abstractNum>
  <w:abstractNum w:abstractNumId="29">
    <w:nsid w:val="32794FF7"/>
    <w:multiLevelType w:val="hybridMultilevel"/>
    <w:lvl w:ilvl="0">
      <w:lvlJc w:val="left"/>
      <w:lvlText w:val="(%1)"/>
      <w:numFmt w:val="lowerLetter"/>
      <w:start w:val="18"/>
    </w:lvl>
  </w:abstractNum>
  <w:abstractNum w:abstractNumId="30">
    <w:nsid w:val="5454945E"/>
    <w:multiLevelType w:val="hybridMultilevel"/>
    <w:lvl w:ilvl="0">
      <w:lvlJc w:val="left"/>
      <w:lvlText w:val="(%1)"/>
      <w:numFmt w:val="upperLetter"/>
      <w:start w:val="1"/>
    </w:lvl>
  </w:abstractNum>
  <w:abstractNum w:abstractNumId="31">
    <w:nsid w:val="4DEFDFA0"/>
    <w:multiLevelType w:val="hybridMultilevel"/>
    <w:lvl w:ilvl="0">
      <w:lvlJc w:val="left"/>
      <w:lvlText w:val="(%1)"/>
      <w:numFmt w:val="lowerLetter"/>
      <w:start w:val="1"/>
    </w:lvl>
  </w:abstractNum>
  <w:abstractNum w:abstractNumId="32">
    <w:nsid w:val="2123D5F2"/>
    <w:multiLevelType w:val="hybridMultilevel"/>
    <w:lvl w:ilvl="0">
      <w:lvlJc w:val="left"/>
      <w:lvlText w:val="(%1)"/>
      <w:numFmt w:val="lowerLetter"/>
      <w:start w:val="1"/>
    </w:lvl>
    <w:lvl w:ilvl="1">
      <w:lvlJc w:val="left"/>
      <w:lvlText w:val="(%2)"/>
      <w:numFmt w:val="lowerRoman"/>
      <w:start w:val="1"/>
    </w:lvl>
  </w:abstractNum>
  <w:abstractNum w:abstractNumId="33">
    <w:nsid w:val="135B8110"/>
    <w:multiLevelType w:val="hybridMultilevel"/>
    <w:lvl w:ilvl="0">
      <w:lvlJc w:val="left"/>
      <w:lvlText w:val="%1"/>
      <w:numFmt w:val="lowerLetter"/>
      <w:start w:val="1"/>
    </w:lvl>
    <w:lvl w:ilvl="1">
      <w:lvlJc w:val="left"/>
      <w:lvlText w:val="(%2)"/>
      <w:numFmt w:val="lowerLetter"/>
      <w:start w:val="23"/>
    </w:lvl>
    <w:lvl w:ilvl="2">
      <w:lvlJc w:val="left"/>
      <w:lvlText w:val="(%3)"/>
      <w:numFmt w:val="lowerRoman"/>
      <w:start w:val="6"/>
    </w:lvl>
  </w:abstractNum>
  <w:abstractNum w:abstractNumId="34">
    <w:nsid w:val="94927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5">
    <w:nsid w:val="DCDF8F6"/>
    <w:multiLevelType w:val="hybridMultilevel"/>
    <w:lvl w:ilvl="0">
      <w:lvlJc w:val="left"/>
      <w:lvlText w:val="(%1)"/>
      <w:numFmt w:val="lowerRoman"/>
      <w:start w:val="3"/>
    </w:lvl>
  </w:abstractNum>
  <w:abstractNum w:abstractNumId="36">
    <w:nsid w:val="52D7B105"/>
    <w:multiLevelType w:val="hybridMultilevel"/>
    <w:lvl w:ilvl="0">
      <w:lvlJc w:val="left"/>
      <w:lvlText w:val="(%1)"/>
      <w:numFmt w:val="lowerLetter"/>
      <w:start w:val="23"/>
    </w:lvl>
    <w:lvl w:ilvl="1">
      <w:lvlJc w:val="left"/>
      <w:lvlText w:val="(%2)"/>
      <w:numFmt w:val="lowerRoman"/>
      <w:start w:val="7"/>
    </w:lvl>
  </w:abstractNum>
  <w:abstractNum w:abstractNumId="37">
    <w:nsid w:val="2E8A6394"/>
    <w:multiLevelType w:val="hybridMultilevel"/>
    <w:lvl w:ilvl="0">
      <w:lvlJc w:val="left"/>
      <w:lvlText w:val="(%1)"/>
      <w:numFmt w:val="lowerLetter"/>
      <w:start w:val="1"/>
    </w:lvl>
  </w:abstractNum>
  <w:abstractNum w:abstractNumId="38">
    <w:nsid w:val="24E60401"/>
    <w:multiLevelType w:val="hybridMultilevel"/>
    <w:lvl w:ilvl="0">
      <w:lvlJc w:val="left"/>
      <w:lvlText w:val="(%1)"/>
      <w:numFmt w:val="lowerRoman"/>
      <w:start w:val="5"/>
    </w:lvl>
  </w:abstractNum>
  <w:abstractNum w:abstractNumId="39">
    <w:nsid w:val="2A6AD9BE"/>
    <w:multiLevelType w:val="hybridMultilevel"/>
    <w:lvl w:ilvl="0">
      <w:lvlJc w:val="left"/>
      <w:lvlText w:val="(%1)"/>
      <w:numFmt w:val="lowerRoman"/>
      <w:start w:val="2"/>
    </w:lvl>
  </w:abstractNum>
  <w:abstractNum w:abstractNumId="40">
    <w:nsid w:val="BAAC1B4"/>
    <w:multiLevelType w:val="hybridMultilevel"/>
    <w:lvl w:ilvl="0">
      <w:lvlJc w:val="left"/>
      <w:lvlText w:val="(%1)"/>
      <w:numFmt w:val="lowerRoman"/>
      <w:start w:val="3"/>
    </w:lvl>
  </w:abstractNum>
  <w:abstractNum w:abstractNumId="41">
    <w:nsid w:val="36B2ACBC"/>
    <w:multiLevelType w:val="hybridMultilevel"/>
    <w:lvl w:ilvl="0">
      <w:lvlJc w:val="left"/>
      <w:lvlText w:val="(%1)"/>
      <w:numFmt w:val="lowerRoman"/>
      <w:start w:val="2"/>
    </w:lvl>
  </w:abstractNum>
  <w:abstractNum w:abstractNumId="42">
    <w:nsid w:val="779D8544"/>
    <w:multiLevelType w:val="hybridMultilevel"/>
    <w:lvl w:ilvl="0">
      <w:lvlJc w:val="left"/>
      <w:lvlText w:val="(%1)"/>
      <w:numFmt w:val="lowerRoman"/>
      <w:start w:val="1"/>
    </w:lvl>
  </w:abstractNum>
  <w:abstractNum w:abstractNumId="43">
    <w:nsid w:val="4AB26E78"/>
    <w:multiLevelType w:val="hybridMultilevel"/>
    <w:lvl w:ilvl="0">
      <w:lvlJc w:val="left"/>
      <w:lvlText w:val="%1)"/>
      <w:numFmt w:val="decimal"/>
      <w:start w:val="1"/>
    </w:lvl>
  </w:abstractNum>
  <w:abstractNum w:abstractNumId="44">
    <w:nsid w:val="21FAA2FA"/>
    <w:multiLevelType w:val="hybridMultilevel"/>
    <w:lvl w:ilvl="0">
      <w:lvlJc w:val="left"/>
      <w:lvlText w:val="(%1)"/>
      <w:numFmt w:val="decimal"/>
      <w:start w:val="1"/>
    </w:lvl>
  </w:abstractNum>
  <w:abstractNum w:abstractNumId="45">
    <w:nsid w:val="5451CF49"/>
    <w:multiLevelType w:val="hybridMultilevel"/>
    <w:lvl w:ilvl="0">
      <w:lvlJc w:val="left"/>
      <w:lvlText w:val="(%1)"/>
      <w:numFmt w:val="decimal"/>
      <w:start w:val="2"/>
    </w:lvl>
  </w:abstractNum>
  <w:abstractNum w:abstractNumId="46">
    <w:nsid w:val="6181EF69"/>
    <w:multiLevelType w:val="hybridMultilevel"/>
    <w:lvl w:ilvl="0">
      <w:lvlJc w:val="left"/>
      <w:lvlText w:val="(%1)"/>
      <w:numFmt w:val="decimal"/>
      <w:start w:val="2"/>
    </w:lvl>
  </w:abstractNum>
  <w:abstractNum w:abstractNumId="47">
    <w:nsid w:val="3E6400E6"/>
    <w:multiLevelType w:val="hybridMultilevel"/>
    <w:lvl w:ilvl="0">
      <w:lvlJc w:val="left"/>
      <w:lvlText w:val="(%1)"/>
      <w:numFmt w:val="lowerLetter"/>
      <w:start w:val="1"/>
    </w:lvl>
  </w:abstractNum>
  <w:abstractNum w:abstractNumId="48">
    <w:nsid w:val="14217E23"/>
    <w:multiLevelType w:val="hybridMultilevel"/>
    <w:lvl w:ilvl="0">
      <w:lvlJc w:val="left"/>
      <w:lvlText w:val="(%1)"/>
      <w:numFmt w:val="lowerLetter"/>
      <w:start w:val="2"/>
    </w:lvl>
  </w:abstractNum>
  <w:abstractNum w:abstractNumId="49">
    <w:nsid w:val="710757D0"/>
    <w:multiLevelType w:val="hybridMultilevel"/>
    <w:lvl w:ilvl="0">
      <w:lvlJc w:val="left"/>
      <w:lvlText w:val="(%1)"/>
      <w:numFmt w:val="lowerRoman"/>
      <w:start w:val="2"/>
    </w:lvl>
  </w:abstractNum>
  <w:abstractNum w:abstractNumId="50">
    <w:nsid w:val="5015CD1A"/>
    <w:multiLevelType w:val="hybridMultilevel"/>
    <w:lvl w:ilvl="0">
      <w:lvlJc w:val="left"/>
      <w:lvlText w:val="(%1)"/>
      <w:numFmt w:val="lowerLetter"/>
      <w:start w:val="1"/>
    </w:lvl>
  </w:abstractNum>
  <w:abstractNum w:abstractNumId="51">
    <w:nsid w:val="424479DA"/>
    <w:multiLevelType w:val="hybridMultilevel"/>
    <w:lvl w:ilvl="0">
      <w:lvlJc w:val="left"/>
      <w:lvlText w:val="(%1)"/>
      <w:numFmt w:val="lowerLetter"/>
      <w:start w:val="1"/>
    </w:lvl>
  </w:abstractNum>
  <w:abstractNum w:abstractNumId="52">
    <w:nsid w:val="1A9A9E69"/>
    <w:multiLevelType w:val="hybridMultilevel"/>
    <w:lvl w:ilvl="0">
      <w:lvlJc w:val="left"/>
      <w:lvlText w:val="(%1)"/>
      <w:numFmt w:val="lowerLetter"/>
      <w:start w:val="3"/>
    </w:lvl>
  </w:abstractNum>
  <w:abstractNum w:abstractNumId="53">
    <w:nsid w:val="475E256A"/>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54">
    <w:nsid w:val="368DB37E"/>
    <w:multiLevelType w:val="hybridMultilevel"/>
    <w:lvl w:ilvl="0">
      <w:lvlJc w:val="left"/>
      <w:lvlText w:val="(%1)"/>
      <w:numFmt w:val="lowerLetter"/>
      <w:start w:val="1"/>
    </w:lvl>
  </w:abstractNum>
  <w:abstractNum w:abstractNumId="55">
    <w:nsid w:val="6A3B714C"/>
    <w:multiLevelType w:val="hybridMultilevel"/>
    <w:lvl w:ilvl="0">
      <w:lvlJc w:val="left"/>
      <w:lvlText w:val="(%1)"/>
      <w:numFmt w:val="lowerLetter"/>
      <w:start w:val="1"/>
    </w:lvl>
  </w:abstractNum>
  <w:abstractNum w:abstractNumId="56">
    <w:nsid w:val="327B517E"/>
    <w:multiLevelType w:val="hybridMultilevel"/>
    <w:lvl w:ilvl="0">
      <w:lvlJc w:val="left"/>
      <w:lvlText w:val="(%1)"/>
      <w:numFmt w:val="lowerLetter"/>
      <w:start w:val="2"/>
    </w:lvl>
  </w:abstractNum>
  <w:abstractNum w:abstractNumId="57">
    <w:nsid w:val="1F461B51"/>
    <w:multiLevelType w:val="hybridMultilevel"/>
    <w:lvl w:ilvl="0">
      <w:lvlJc w:val="left"/>
      <w:lvlText w:val="(%1)"/>
      <w:numFmt w:val="lowerLetter"/>
      <w:start w:val="1"/>
    </w:lvl>
  </w:abstractNum>
  <w:abstractNum w:abstractNumId="58">
    <w:nsid w:val="29BACF25"/>
    <w:multiLevelType w:val="hybridMultilevel"/>
    <w:lvl w:ilvl="0">
      <w:lvlJc w:val="left"/>
      <w:lvlText w:val="%1"/>
      <w:numFmt w:val="lowerLetter"/>
      <w:start w:val="1"/>
    </w:lvl>
    <w:lvl w:ilvl="1">
      <w:lvlJc w:val="left"/>
      <w:lvlText w:val="(%2)"/>
      <w:numFmt w:val="lowerLetter"/>
      <w:start w:val="1"/>
    </w:lvl>
  </w:abstractNum>
  <w:abstractNum w:abstractNumId="59">
    <w:nsid w:val="5D5BABB3"/>
    <w:multiLevelType w:val="hybridMultilevel"/>
    <w:lvl w:ilvl="0">
      <w:lvlJc w:val="left"/>
      <w:lvlText w:val="(%1)"/>
      <w:numFmt w:val="lowerLetter"/>
      <w:start w:val="9"/>
    </w:lvl>
    <w:lvl w:ilvl="1">
      <w:lvlJc w:val="left"/>
      <w:lvlText w:val="(%2)"/>
      <w:numFmt w:val="lowerLetter"/>
      <w:start w:val="2"/>
    </w:lvl>
  </w:abstractNum>
  <w:abstractNum w:abstractNumId="60">
    <w:nsid w:val="51BF6B48"/>
    <w:multiLevelType w:val="hybridMultilevel"/>
    <w:lvl w:ilvl="0">
      <w:lvlJc w:val="left"/>
      <w:lvlText w:val="(%1)"/>
      <w:numFmt w:val="lowerLetter"/>
      <w:start w:val="35"/>
    </w:lvl>
    <w:lvl w:ilvl="1">
      <w:lvlJc w:val="left"/>
      <w:lvlText w:val="%2"/>
      <w:numFmt w:val="lowerLetter"/>
      <w:start w:val="1"/>
    </w:lvl>
  </w:abstractNum>
  <w:abstractNum w:abstractNumId="61">
    <w:nsid w:val="7E0F6384"/>
    <w:multiLevelType w:val="hybridMultilevel"/>
    <w:lvl w:ilvl="0">
      <w:lvlJc w:val="left"/>
      <w:lvlText w:val="(%1)"/>
      <w:numFmt w:val="lowerLetter"/>
      <w:start w:val="3"/>
    </w:lvl>
  </w:abstractNum>
  <w:abstractNum w:abstractNumId="62">
    <w:nsid w:val="2B4B8B53"/>
    <w:multiLevelType w:val="hybridMultilevel"/>
    <w:lvl w:ilvl="0">
      <w:lvlJc w:val="left"/>
      <w:lvlText w:val="%1"/>
      <w:numFmt w:val="upperLetter"/>
      <w:start w:val="1"/>
    </w:lvl>
    <w:lvl w:ilvl="1">
      <w:lvlJc w:val="left"/>
      <w:lvlText w:val="(%2)"/>
      <w:numFmt w:val="lowerLetter"/>
      <w:start w:val="1"/>
    </w:lvl>
  </w:abstractNum>
  <w:abstractNum w:abstractNumId="63">
    <w:nsid w:val="72E3413A"/>
    <w:multiLevelType w:val="hybridMultilevel"/>
    <w:lvl w:ilvl="0">
      <w:lvlJc w:val="left"/>
      <w:lvlText w:val="(%1)"/>
      <w:numFmt w:val="upperLetter"/>
      <w:start w:val="2"/>
    </w:lvl>
    <w:lvl w:ilvl="1">
      <w:lvlJc w:val="left"/>
      <w:lvlText w:val="%2"/>
      <w:numFmt w:val="lowerLetter"/>
      <w:start w:val="1"/>
    </w:lvl>
  </w:abstractNum>
  <w:abstractNum w:abstractNumId="64">
    <w:nsid w:val="116AE494"/>
    <w:multiLevelType w:val="hybridMultilevel"/>
    <w:lvl w:ilvl="0">
      <w:lvlJc w:val="left"/>
      <w:lvlText w:val="(%1)"/>
      <w:numFmt w:val="upperLetter"/>
      <w:start w:val="1"/>
    </w:lvl>
  </w:abstractNum>
  <w:abstractNum w:abstractNumId="65">
    <w:nsid w:val="3494B2FB"/>
    <w:multiLevelType w:val="hybridMultilevel"/>
    <w:lvl w:ilvl="0">
      <w:lvlJc w:val="left"/>
      <w:lvlText w:val="%1"/>
      <w:numFmt w:val="decimal"/>
      <w:start w:val="1"/>
    </w:lvl>
    <w:lvl w:ilvl="1">
      <w:lvlJc w:val="left"/>
      <w:lvlText w:val="(%2)"/>
      <w:numFmt w:val="upperLetter"/>
      <w:start w:val="2"/>
    </w:lvl>
  </w:abstractNum>
  <w:abstractNum w:abstractNumId="66">
    <w:nsid w:val="B13A31"/>
    <w:multiLevelType w:val="hybridMultilevel"/>
    <w:lvl w:ilvl="0">
      <w:lvlJc w:val="left"/>
      <w:lvlText w:val="(%1)"/>
      <w:numFmt w:val="decimal"/>
      <w:start w:val="12"/>
    </w:lvl>
    <w:lvl w:ilvl="1">
      <w:lvlJc w:val="left"/>
      <w:lvlText w:val="(%2)"/>
      <w:numFmt w:val="upperLetter"/>
      <w:start w:val="3"/>
    </w:lvl>
  </w:abstractNum>
  <w:abstractNum w:abstractNumId="67">
    <w:nsid w:val="64429599"/>
    <w:multiLevelType w:val="hybridMultilevel"/>
    <w:lvl w:ilvl="0">
      <w:lvlJc w:val="left"/>
      <w:lvlText w:val="(%1)"/>
      <w:numFmt w:val="decimal"/>
      <w:start w:val="1"/>
    </w:lvl>
    <w:lvl w:ilvl="1">
      <w:lvlJc w:val="left"/>
      <w:lvlText w:val="(%2)"/>
      <w:numFmt w:val="upperLetter"/>
      <w:start w:val="4"/>
    </w:lvl>
  </w:abstractNum>
  <w:abstractNum w:abstractNumId="68">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9">
    <w:nsid w:val="25973E3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70">
    <w:nsid w:val="EAD6F5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1">
    <w:nsid w:val="6EC9D844"/>
    <w:multiLevelType w:val="hybridMultilevel"/>
    <w:lvl w:ilvl="0">
      <w:lvlJc w:val="left"/>
      <w:lvlText w:val="(%1)"/>
      <w:numFmt w:val="lowerRoman"/>
      <w:start w:val="2"/>
    </w:lvl>
  </w:abstractNum>
  <w:abstractNum w:abstractNumId="72">
    <w:nsid w:val="5C49EAEE"/>
    <w:multiLevelType w:val="hybridMultilevel"/>
    <w:lvl w:ilvl="0">
      <w:lvlJc w:val="left"/>
      <w:lvlText w:val="%1"/>
      <w:numFmt w:val="lowerLetter"/>
      <w:start w:val="1"/>
    </w:lvl>
    <w:lvl w:ilvl="1">
      <w:lvlJc w:val="left"/>
      <w:lvlText w:val="(%2)"/>
      <w:numFmt w:val="lowerRoman"/>
      <w:start w:val="4"/>
    </w:lvl>
  </w:abstractNum>
  <w:abstractNum w:abstractNumId="73">
    <w:nsid w:val="64AF49B"/>
    <w:multiLevelType w:val="hybridMultilevel"/>
    <w:lvl w:ilvl="0">
      <w:lvlJc w:val="left"/>
      <w:lvlText w:val="(%1)"/>
      <w:numFmt w:val="lowerLetter"/>
      <w:start w:val="3"/>
    </w:lvl>
    <w:lvl w:ilvl="1">
      <w:lvlJc w:val="left"/>
      <w:lvlText w:val="(%2)"/>
      <w:numFmt w:val="lowerRoman"/>
      <w:start w:val="1"/>
    </w:lvl>
  </w:abstractNum>
  <w:abstractNum w:abstractNumId="74">
    <w:nsid w:val="397C46BC"/>
    <w:multiLevelType w:val="hybridMultilevel"/>
    <w:lvl w:ilvl="0">
      <w:lvlJc w:val="left"/>
      <w:lvlText w:val="%1"/>
      <w:numFmt w:val="lowerLetter"/>
      <w:start w:val="1"/>
    </w:lvl>
    <w:lvl w:ilvl="1">
      <w:lvlJc w:val="left"/>
      <w:lvlText w:val="(%2)"/>
      <w:numFmt w:val="lowerRoman"/>
      <w:start w:val="4"/>
    </w:lvl>
  </w:abstractNum>
  <w:abstractNum w:abstractNumId="75">
    <w:nsid w:val="7E448DE9"/>
    <w:multiLevelType w:val="hybridMultilevel"/>
    <w:lvl w:ilvl="0">
      <w:lvlJc w:val="left"/>
      <w:lvlText w:val="(%1)"/>
      <w:numFmt w:val="lowerLetter"/>
      <w:start w:val="4"/>
    </w:lvl>
    <w:lvl w:ilvl="1">
      <w:lvlJc w:val="left"/>
      <w:lvlText w:val="(%2)"/>
      <w:numFmt w:val="lowerRoman"/>
      <w:start w:val="1"/>
    </w:lvl>
  </w:abstractNum>
  <w:abstractNum w:abstractNumId="76">
    <w:nsid w:val="5A9CC3E5"/>
    <w:multiLevelType w:val="hybridMultilevel"/>
    <w:lvl w:ilvl="0">
      <w:lvlJc w:val="left"/>
      <w:lvlText w:val="(%1)"/>
      <w:numFmt w:val="lowerLetter"/>
      <w:start w:val="5"/>
    </w:lvl>
    <w:lvl w:ilvl="1">
      <w:lvlJc w:val="left"/>
      <w:lvlText w:val="(%2)"/>
      <w:numFmt w:val="lowerRoman"/>
      <w:start w:val="1"/>
    </w:lvl>
  </w:abstractNum>
  <w:abstractNum w:abstractNumId="77">
    <w:nsid w:val="1AFE3625"/>
    <w:multiLevelType w:val="hybridMultilevel"/>
    <w:lvl w:ilvl="0">
      <w:lvlJc w:val="left"/>
      <w:lvlText w:val="(%1)"/>
      <w:numFmt w:val="lowerLetter"/>
      <w:start w:val="6"/>
    </w:lvl>
  </w:abstractNum>
  <w:abstractNum w:abstractNumId="78">
    <w:nsid w:val="3CA88ECF"/>
    <w:multiLevelType w:val="hybridMultilevel"/>
    <w:lvl w:ilvl="0">
      <w:lvlJc w:val="left"/>
      <w:lvlText w:val="(%1)"/>
      <w:numFmt w:val="lowerLetter"/>
      <w:start w:val="7"/>
    </w:lvl>
  </w:abstractNum>
  <w:abstractNum w:abstractNumId="79">
    <w:nsid w:val="6EBE4208"/>
    <w:multiLevelType w:val="hybridMultilevel"/>
    <w:lvl w:ilvl="0">
      <w:lvlJc w:val="left"/>
      <w:lvlText w:val="(%1)"/>
      <w:numFmt w:val="lowerLetter"/>
      <w:start w:val="8"/>
    </w:lvl>
  </w:abstractNum>
  <w:abstractNum w:abstractNumId="80">
    <w:nsid w:val="C058DF5"/>
    <w:multiLevelType w:val="hybridMultilevel"/>
    <w:lvl w:ilvl="0">
      <w:lvlJc w:val="left"/>
      <w:lvlText w:val="(%1)"/>
      <w:numFmt w:val="lowerLetter"/>
      <w:start w:val="10"/>
    </w:lvl>
  </w:abstractNum>
  <w:abstractNum w:abstractNumId="81">
    <w:nsid w:val="CBE5BE9"/>
    <w:multiLevelType w:val="hybridMultilevel"/>
    <w:lvl w:ilvl="0">
      <w:lvlJc w:val="left"/>
      <w:lvlText w:val="(%1)"/>
      <w:numFmt w:val="lowerLetter"/>
      <w:start w:val="1"/>
    </w:lvl>
  </w:abstractNum>
  <w:abstractNum w:abstractNumId="82">
    <w:nsid w:val="3102BBE2"/>
    <w:multiLevelType w:val="hybridMultilevel"/>
    <w:lvl w:ilvl="0">
      <w:lvlJc w:val="left"/>
      <w:lvlText w:val="(%1)"/>
      <w:numFmt w:val="lowerLetter"/>
      <w:start w:val="2"/>
    </w:lvl>
  </w:abstractNum>
  <w:abstractNum w:abstractNumId="83">
    <w:nsid w:val="26A02C5E"/>
    <w:multiLevelType w:val="hybridMultilevel"/>
    <w:lvl w:ilvl="0">
      <w:lvlJc w:val="left"/>
      <w:lvlText w:val="(%1)"/>
      <w:numFmt w:val="lowerLetter"/>
      <w:start w:val="3"/>
    </w:lvl>
    <w:lvl w:ilvl="1">
      <w:lvlJc w:val="left"/>
      <w:lvlText w:val="(%2)"/>
      <w:numFmt w:val="lowerRoman"/>
      <w:start w:val="1"/>
    </w:lvl>
  </w:abstractNum>
  <w:abstractNum w:abstractNumId="84">
    <w:nsid w:val="541C8153"/>
    <w:multiLevelType w:val="hybridMultilevel"/>
    <w:lvl w:ilvl="0">
      <w:lvlJc w:val="left"/>
      <w:lvlText w:val="%1"/>
      <w:numFmt w:val="lowerLetter"/>
      <w:start w:val="1"/>
    </w:lvl>
    <w:lvl w:ilvl="1">
      <w:lvlJc w:val="left"/>
      <w:lvlText w:val="(%2)"/>
      <w:numFmt w:val="lowerRoman"/>
      <w:start w:val="4"/>
    </w:lvl>
  </w:abstractNum>
  <w:abstractNum w:abstractNumId="85">
    <w:nsid w:val="67906F60"/>
    <w:multiLevelType w:val="hybridMultilevel"/>
    <w:lvl w:ilvl="0">
      <w:lvlJc w:val="left"/>
      <w:lvlText w:val="(%1)"/>
      <w:numFmt w:val="lowerLetter"/>
      <w:start w:val="4"/>
    </w:lvl>
    <w:lvl w:ilvl="1">
      <w:lvlJc w:val="left"/>
      <w:lvlText w:val="(%2)"/>
      <w:numFmt w:val="lowerRoman"/>
      <w:start w:val="1"/>
    </w:lvl>
  </w:abstractNum>
  <w:abstractNum w:abstractNumId="86">
    <w:nsid w:val="10DB9DAA"/>
    <w:multiLevelType w:val="hybridMultilevel"/>
    <w:lvl w:ilvl="0">
      <w:lvlJc w:val="left"/>
      <w:lvlText w:val="(%1)"/>
      <w:numFmt w:val="lowerLetter"/>
      <w:start w:val="1"/>
    </w:lvl>
  </w:abstractNum>
  <w:abstractNum w:abstractNumId="87">
    <w:nsid w:val="697D2D2"/>
    <w:multiLevelType w:val="hybridMultilevel"/>
    <w:lvl w:ilvl="0">
      <w:lvlJc w:val="left"/>
      <w:lvlText w:val="(%1)"/>
      <w:numFmt w:val="lowerLetter"/>
      <w:start w:val="1"/>
    </w:lvl>
  </w:abstractNum>
  <w:abstractNum w:abstractNumId="88">
    <w:nsid w:val="6D68AB2"/>
    <w:multiLevelType w:val="hybridMultilevel"/>
    <w:lvl w:ilvl="0">
      <w:lvlJc w:val="left"/>
      <w:lvlText w:val="(%1)"/>
      <w:numFmt w:val="lowerLetter"/>
      <w:start w:val="2"/>
    </w:lvl>
  </w:abstractNum>
  <w:abstractNum w:abstractNumId="89">
    <w:nsid w:val="3A966CD0"/>
    <w:multiLevelType w:val="hybridMultilevel"/>
    <w:lvl w:ilvl="0">
      <w:lvlJc w:val="left"/>
      <w:lvlText w:val="%1"/>
      <w:numFmt w:val="lowerLetter"/>
      <w:start w:val="1"/>
    </w:lvl>
    <w:lvl w:ilvl="1">
      <w:lvlJc w:val="left"/>
      <w:lvlText w:val="(%2)"/>
      <w:numFmt w:val="lowerRoman"/>
      <w:start w:val="1"/>
    </w:lvl>
  </w:abstractNum>
  <w:abstractNum w:abstractNumId="90">
    <w:nsid w:val="63F37E85"/>
    <w:multiLevelType w:val="hybridMultilevel"/>
    <w:lvl w:ilvl="0">
      <w:lvlJc w:val="left"/>
      <w:lvlText w:val="(%1)"/>
      <w:numFmt w:val="lowerLetter"/>
      <w:start w:val="2"/>
    </w:lvl>
    <w:lvl w:ilvl="1">
      <w:lvlJc w:val="left"/>
      <w:lvlText w:val="%2"/>
      <w:numFmt w:val="lowerRoman"/>
      <w:start w:val="1"/>
    </w:lvl>
  </w:abstractNum>
  <w:abstractNum w:abstractNumId="91">
    <w:nsid w:val="5895F5FA"/>
    <w:multiLevelType w:val="hybridMultilevel"/>
    <w:lvl w:ilvl="0">
      <w:lvlJc w:val="left"/>
      <w:lvlText w:val="(%1)"/>
      <w:numFmt w:val="lowerLetter"/>
      <w:start w:val="4"/>
    </w:lvl>
  </w:abstractNum>
  <w:abstractNum w:abstractNumId="92">
    <w:nsid w:val="38A5D054"/>
    <w:multiLevelType w:val="hybridMultilevel"/>
    <w:lvl w:ilvl="0">
      <w:lvlJc w:val="left"/>
      <w:lvlText w:val="%1"/>
      <w:numFmt w:val="lowerLetter"/>
      <w:start w:val="1"/>
    </w:lvl>
    <w:lvl w:ilvl="1">
      <w:lvlJc w:val="left"/>
      <w:lvlText w:val="(%2)"/>
      <w:numFmt w:val="lowerRoman"/>
      <w:start w:val="1"/>
    </w:lvl>
  </w:abstractNum>
  <w:abstractNum w:abstractNumId="93">
    <w:nsid w:val="F3F09D8"/>
    <w:multiLevelType w:val="hybridMultilevel"/>
    <w:lvl w:ilvl="0">
      <w:lvlJc w:val="left"/>
      <w:lvlText w:val="(%1)"/>
      <w:numFmt w:val="lowerLetter"/>
      <w:start w:val="2"/>
    </w:lvl>
    <w:lvl w:ilvl="1">
      <w:lvlJc w:val="left"/>
      <w:lvlText w:val="%2"/>
      <w:numFmt w:val="lowerRoman"/>
      <w:start w:val="1"/>
    </w:lvl>
  </w:abstractNum>
  <w:abstractNum w:abstractNumId="94">
    <w:nsid w:val="4B793735"/>
    <w:multiLevelType w:val="hybridMultilevel"/>
    <w:lvl w:ilvl="0">
      <w:lvlJc w:val="left"/>
      <w:lvlText w:val="(%1)"/>
      <w:numFmt w:val="lowerLetter"/>
      <w:start w:val="3"/>
    </w:lvl>
  </w:abstractNum>
  <w:abstractNum w:abstractNumId="95">
    <w:nsid w:val="4A10B4E8"/>
    <w:multiLevelType w:val="hybridMultilevel"/>
    <w:lvl w:ilvl="0">
      <w:lvlJc w:val="left"/>
      <w:lvlText w:val="(%1)"/>
      <w:numFmt w:val="lowerLetter"/>
      <w:start w:val="1"/>
    </w:lvl>
  </w:abstractNum>
  <w:abstractNum w:abstractNumId="96">
    <w:nsid w:val="43D3BCD4"/>
    <w:multiLevelType w:val="hybridMultilevel"/>
    <w:lvl w:ilvl="0">
      <w:lvlJc w:val="left"/>
      <w:lvlText w:val="(%1)"/>
      <w:numFmt w:val="lowerLetter"/>
      <w:start w:val="2"/>
    </w:lvl>
  </w:abstractNum>
  <w:abstractNum w:abstractNumId="97">
    <w:nsid w:val="4C2A7166"/>
    <w:multiLevelType w:val="hybridMultilevel"/>
    <w:lvl w:ilvl="0">
      <w:lvlJc w:val="left"/>
      <w:lvlText w:val="(%1)"/>
      <w:numFmt w:val="lowerLetter"/>
      <w:start w:val="3"/>
    </w:lvl>
  </w:abstractNum>
  <w:abstractNum w:abstractNumId="98">
    <w:nsid w:val="2E534A82"/>
    <w:multiLevelType w:val="hybridMultilevel"/>
    <w:lvl w:ilvl="0">
      <w:lvlJc w:val="left"/>
      <w:lvlText w:val="(%1)"/>
      <w:numFmt w:val="lowerLetter"/>
      <w:start w:val="1"/>
    </w:lvl>
    <w:lvl w:ilvl="1">
      <w:lvlJc w:val="left"/>
      <w:lvlText w:val="(%2)"/>
      <w:numFmt w:val="lowerRoman"/>
      <w:start w:val="1"/>
    </w:lvl>
  </w:abstractNum>
  <w:abstractNum w:abstractNumId="99">
    <w:nsid w:val="26F2D364"/>
    <w:multiLevelType w:val="hybridMultilevel"/>
    <w:lvl w:ilvl="0">
      <w:lvlJc w:val="left"/>
      <w:lvlText w:val="%1"/>
      <w:numFmt w:val="lowerLetter"/>
      <w:start w:val="1"/>
    </w:lvl>
    <w:lvl w:ilvl="1">
      <w:lvlJc w:val="left"/>
      <w:lvlText w:val="(%2)"/>
      <w:numFmt w:val="lowerLetter"/>
      <w:start w:val="61"/>
    </w:lvl>
  </w:abstractNum>
  <w:abstractNum w:abstractNumId="100">
    <w:nsid w:val="71C1AF98"/>
    <w:multiLevelType w:val="hybridMultilevel"/>
    <w:lvl w:ilvl="0">
      <w:lvlJc w:val="left"/>
      <w:lvlText w:val="(%1)"/>
      <w:numFmt w:val="lowerLetter"/>
      <w:start w:val="2"/>
    </w:lvl>
    <w:lvl w:ilvl="1">
      <w:lvlJc w:val="left"/>
      <w:lvlText w:val="%2"/>
      <w:numFmt w:val="lowerLetter"/>
      <w:start w:val="1"/>
    </w:lvl>
  </w:abstractNum>
  <w:abstractNum w:abstractNumId="101">
    <w:nsid w:val="3D00B9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
    <w:nsid w:val="15BCABA8"/>
    <w:multiLevelType w:val="hybridMultilevel"/>
    <w:lvl w:ilvl="0">
      <w:lvlJc w:val="left"/>
      <w:lvlText w:val="(%1)"/>
      <w:numFmt w:val="lowerRoman"/>
      <w:start w:val="2"/>
    </w:lvl>
    <w:lvl w:ilvl="1">
      <w:lvlJc w:val="left"/>
      <w:lvlText w:val="(%2)"/>
      <w:numFmt w:val="upperLetter"/>
      <w:start w:val="1"/>
    </w:lvl>
  </w:abstractNum>
  <w:abstractNum w:abstractNumId="103">
    <w:nsid w:val="4E0B9A87"/>
    <w:multiLevelType w:val="hybridMultilevel"/>
    <w:lvl w:ilvl="0">
      <w:lvlJc w:val="left"/>
      <w:lvlText w:val="%1"/>
      <w:numFmt w:val="lowerLetter"/>
      <w:start w:val="1"/>
    </w:lvl>
    <w:lvl w:ilvl="1">
      <w:lvlJc w:val="left"/>
      <w:lvlText w:val="(%2)"/>
      <w:numFmt w:val="lowerLetter"/>
      <w:start w:val="61"/>
    </w:lvl>
  </w:abstractNum>
  <w:abstractNum w:abstractNumId="104">
    <w:nsid w:val="434BAE75"/>
    <w:multiLevelType w:val="hybridMultilevel"/>
    <w:lvl w:ilvl="0">
      <w:lvlJc w:val="left"/>
      <w:lvlText w:val="(%1)"/>
      <w:numFmt w:val="lowerLetter"/>
      <w:start w:val="2"/>
    </w:lvl>
    <w:lvl w:ilvl="1">
      <w:lvlJc w:val="left"/>
      <w:lvlText w:val="(%2)"/>
      <w:numFmt w:val="lowerLetter"/>
      <w:start w:val="9"/>
    </w:lvl>
  </w:abstractNum>
  <w:abstractNum w:abstractNumId="105">
    <w:nsid w:val="4F38F265"/>
    <w:multiLevelType w:val="hybridMultilevel"/>
    <w:lvl w:ilvl="0">
      <w:lvlJc w:val="left"/>
      <w:lvlText w:val="(%1)"/>
      <w:numFmt w:val="lowerRoman"/>
      <w:start w:val="2"/>
    </w:lvl>
  </w:abstractNum>
  <w:abstractNum w:abstractNumId="106">
    <w:nsid w:val="4C502870"/>
    <w:multiLevelType w:val="hybridMultilevel"/>
    <w:lvl w:ilvl="0">
      <w:lvlJc w:val="left"/>
      <w:lvlText w:val="(%1)"/>
      <w:numFmt w:val="lowerLetter"/>
      <w:start w:val="1"/>
    </w:lvl>
  </w:abstractNum>
  <w:abstractNum w:abstractNumId="107">
    <w:nsid w:val="1DE8725A"/>
    <w:multiLevelType w:val="hybridMultilevel"/>
    <w:lvl w:ilvl="0">
      <w:lvlJc w:val="left"/>
      <w:lvlText w:val="(%1)"/>
      <w:numFmt w:val="lowerLetter"/>
      <w:start w:val="3"/>
    </w:lvl>
  </w:abstractNum>
  <w:abstractNum w:abstractNumId="108">
    <w:nsid w:val="6A37288A"/>
    <w:multiLevelType w:val="hybridMultilevel"/>
    <w:lvl w:ilvl="0">
      <w:lvlJc w:val="left"/>
      <w:lvlText w:val="(%1)"/>
      <w:numFmt w:val="lowerLetter"/>
      <w:start w:val="5"/>
    </w:lvl>
  </w:abstractNum>
  <w:abstractNum w:abstractNumId="109">
    <w:nsid w:val="8F8B73F"/>
    <w:multiLevelType w:val="hybridMultilevel"/>
    <w:lvl w:ilvl="0">
      <w:lvlJc w:val="left"/>
      <w:lvlText w:val="(%1)"/>
      <w:numFmt w:val="lowerLetter"/>
      <w:start w:val="8"/>
    </w:lvl>
    <w:lvl w:ilvl="1">
      <w:lvlJc w:val="left"/>
      <w:lvlText w:val="(%2)"/>
      <w:numFmt w:val="lowerRoman"/>
      <w:start w:val="1"/>
    </w:lvl>
  </w:abstractNum>
  <w:abstractNum w:abstractNumId="110">
    <w:nsid w:val="CA6B462"/>
    <w:multiLevelType w:val="hybridMultilevel"/>
    <w:lvl w:ilvl="0">
      <w:lvlJc w:val="left"/>
      <w:lvlText w:val="(%1)"/>
      <w:numFmt w:val="lowerLetter"/>
      <w:start w:val="1"/>
    </w:lvl>
  </w:abstractNum>
  <w:abstractNum w:abstractNumId="111">
    <w:nsid w:val="763CB680"/>
    <w:multiLevelType w:val="hybridMultilevel"/>
    <w:lvl w:ilvl="0">
      <w:lvlJc w:val="left"/>
      <w:lvlText w:val="(%1)"/>
      <w:numFmt w:val="lowerLetter"/>
      <w:start w:val="3"/>
    </w:lvl>
  </w:abstractNum>
  <w:abstractNum w:abstractNumId="112">
    <w:nsid w:val="15B71329"/>
    <w:multiLevelType w:val="hybridMultilevel"/>
    <w:lvl w:ilvl="0">
      <w:lvlJc w:val="left"/>
      <w:lvlText w:val="(%1)"/>
      <w:numFmt w:val="lowerLetter"/>
      <w:start w:val="1"/>
    </w:lvl>
  </w:abstractNum>
  <w:abstractNum w:abstractNumId="113">
    <w:nsid w:val="3DA97044"/>
    <w:multiLevelType w:val="hybridMultilevel"/>
    <w:lvl w:ilvl="0">
      <w:lvlJc w:val="left"/>
      <w:lvlText w:val="(%1)"/>
      <w:numFmt w:val="lowerLetter"/>
      <w:start w:val="6"/>
    </w:lvl>
  </w:abstractNum>
  <w:abstractNum w:abstractNumId="114">
    <w:nsid w:val="1CDCE2DE"/>
    <w:multiLevelType w:val="hybridMultilevel"/>
    <w:lvl w:ilvl="0">
      <w:lvlJc w:val="left"/>
      <w:lvlText w:val="%1"/>
      <w:numFmt w:val="lowerLetter"/>
      <w:start w:val="1"/>
    </w:lvl>
    <w:lvl w:ilvl="1">
      <w:lvlJc w:val="left"/>
      <w:lvlText w:val="(%2)"/>
      <w:numFmt w:val="lowerLetter"/>
      <w:start w:val="1"/>
    </w:lvl>
  </w:abstractNum>
  <w:abstractNum w:abstractNumId="115">
    <w:nsid w:val="69D3947C"/>
    <w:multiLevelType w:val="hybridMultilevel"/>
    <w:lvl w:ilvl="0">
      <w:lvlJc w:val="left"/>
      <w:lvlText w:val="(%1)"/>
      <w:numFmt w:val="lowerLetter"/>
      <w:start w:val="9"/>
    </w:lvl>
    <w:lvl w:ilvl="1">
      <w:lvlJc w:val="left"/>
      <w:lvlText w:val="(%2)"/>
      <w:numFmt w:val="lowerLetter"/>
      <w:start w:val="3"/>
    </w:lvl>
  </w:abstractNum>
  <w:abstractNum w:abstractNumId="116">
    <w:nsid w:val="2539DFA5"/>
    <w:multiLevelType w:val="hybridMultilevel"/>
    <w:lvl w:ilvl="0">
      <w:lvlJc w:val="left"/>
      <w:lvlText w:val="(%1)"/>
      <w:numFmt w:val="lowerLetter"/>
      <w:start w:val="4"/>
    </w:lvl>
  </w:abstractNum>
  <w:abstractNum w:abstractNumId="117">
    <w:nsid w:val="2DB88089"/>
    <w:multiLevelType w:val="hybridMultilevel"/>
    <w:lvl w:ilvl="0">
      <w:lvlJc w:val="left"/>
      <w:lvlText w:val="(%1)"/>
      <w:numFmt w:val="lowerLetter"/>
      <w:start w:val="1"/>
    </w:lvl>
  </w:abstractNum>
  <w:abstractNum w:abstractNumId="118">
    <w:nsid w:val="706B674E"/>
    <w:multiLevelType w:val="hybridMultilevel"/>
    <w:lvl w:ilvl="0">
      <w:lvlJc w:val="left"/>
      <w:lvlText w:val="(%1)"/>
      <w:numFmt w:val="lowerLetter"/>
      <w:start w:val="2"/>
    </w:lvl>
  </w:abstractNum>
  <w:abstractNum w:abstractNumId="119">
    <w:nsid w:val="2C106A57"/>
    <w:multiLevelType w:val="hybridMultilevel"/>
    <w:lvl w:ilvl="0">
      <w:lvlJc w:val="left"/>
      <w:lvlText w:val="(%1)"/>
      <w:numFmt w:val="lowerLetter"/>
      <w:start w:val="3"/>
    </w:lvl>
  </w:abstractNum>
  <w:abstractNum w:abstractNumId="120">
    <w:nsid w:val="684EED59"/>
    <w:multiLevelType w:val="hybridMultilevel"/>
    <w:lvl w:ilvl="0">
      <w:lvlJc w:val="left"/>
      <w:lvlText w:val="(%1)"/>
      <w:numFmt w:val="lowerLetter"/>
      <w:start w:val="1"/>
    </w:lvl>
  </w:abstractNum>
  <w:abstractNum w:abstractNumId="121">
    <w:nsid w:val="545EE5D3"/>
    <w:multiLevelType w:val="hybridMultilevel"/>
    <w:lvl w:ilvl="0">
      <w:lvlJc w:val="left"/>
      <w:lvlText w:val="(%1)"/>
      <w:numFmt w:val="lowerLetter"/>
      <w:start w:val="35"/>
    </w:lvl>
    <w:lvl w:ilvl="1">
      <w:lvlJc w:val="left"/>
      <w:lvlText w:val="(%2)"/>
      <w:numFmt w:val="lowerLetter"/>
      <w:start w:val="3"/>
    </w:lvl>
  </w:abstractNum>
  <w:abstractNum w:abstractNumId="122">
    <w:nsid w:val="4A66051"/>
    <w:multiLevelType w:val="hybridMultilevel"/>
    <w:lvl w:ilvl="0">
      <w:lvlJc w:val="left"/>
      <w:lvlText w:val="(%1)"/>
      <w:numFmt w:val="lowerLetter"/>
      <w:start w:val="4"/>
    </w:lvl>
    <w:lvl w:ilvl="1">
      <w:lvlJc w:val="left"/>
      <w:lvlText w:val="(%2)"/>
      <w:numFmt w:val="lowerRoman"/>
      <w:start w:val="1"/>
    </w:lvl>
  </w:abstractNum>
  <w:abstractNum w:abstractNumId="123">
    <w:nsid w:val="20F4BDAD"/>
    <w:multiLevelType w:val="hybridMultilevel"/>
    <w:lvl w:ilvl="0">
      <w:lvlJc w:val="left"/>
      <w:lvlText w:val="(%1)"/>
      <w:numFmt w:val="lowerLetter"/>
      <w:start w:val="5"/>
    </w:lvl>
  </w:abstractNum>
  <w:abstractNum w:abstractNumId="124">
    <w:nsid w:val="639DEFAC"/>
    <w:multiLevelType w:val="hybridMultilevel"/>
    <w:lvl w:ilvl="0">
      <w:lvlJc w:val="left"/>
      <w:lvlText w:val="(%1)"/>
      <w:numFmt w:val="lowerLetter"/>
      <w:start w:val="6"/>
    </w:lvl>
  </w:abstractNum>
  <w:abstractNum w:abstractNumId="125">
    <w:nsid w:val="501F9786"/>
    <w:multiLevelType w:val="hybridMultilevel"/>
    <w:lvl w:ilvl="0">
      <w:lvlJc w:val="left"/>
      <w:lvlText w:val="(%1)"/>
      <w:numFmt w:val="lowerLetter"/>
      <w:start w:val="1"/>
    </w:lvl>
    <w:lvl w:ilvl="1">
      <w:lvlJc w:val="left"/>
      <w:lvlText w:val="(%2)"/>
      <w:numFmt w:val="lowerRoman"/>
      <w:start w:val="1"/>
    </w:lvl>
  </w:abstractNum>
  <w:abstractNum w:abstractNumId="126">
    <w:nsid w:val="6B0572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7">
    <w:nsid w:val="2771AC80"/>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28">
    <w:nsid w:val="1C4A08EC"/>
    <w:multiLevelType w:val="hybridMultilevel"/>
    <w:lvl w:ilvl="0">
      <w:lvlJc w:val="left"/>
      <w:lvlText w:val="(%1)"/>
      <w:numFmt w:val="lowerLetter"/>
      <w:start w:val="3"/>
    </w:lvl>
  </w:abstractNum>
  <w:abstractNum w:abstractNumId="129">
    <w:nsid w:val="1958BD17"/>
    <w:multiLevelType w:val="hybridMultilevel"/>
    <w:lvl w:ilvl="0">
      <w:lvlJc w:val="left"/>
      <w:lvlText w:val="(%1)"/>
      <w:numFmt w:val="lowerRoman"/>
      <w:start w:val="3"/>
    </w:lvl>
  </w:abstractNum>
  <w:abstractNum w:abstractNumId="130">
    <w:nsid w:val="4E647FE4"/>
    <w:multiLevelType w:val="hybridMultilevel"/>
    <w:lvl w:ilvl="0">
      <w:lvlJc w:val="left"/>
      <w:lvlText w:val="%1"/>
      <w:numFmt w:val="upperLetter"/>
      <w:start w:val="1"/>
    </w:lvl>
    <w:lvl w:ilvl="1">
      <w:lvlJc w:val="left"/>
      <w:lvlText w:val="(%2)"/>
      <w:numFmt w:val="lowerLetter"/>
      <w:start w:val="1"/>
    </w:lvl>
  </w:abstractNum>
  <w:abstractNum w:abstractNumId="131">
    <w:nsid w:val="E0BB885"/>
    <w:multiLevelType w:val="hybridMultilevel"/>
    <w:lvl w:ilvl="0">
      <w:lvlJc w:val="left"/>
      <w:lvlText w:val="(%1)"/>
      <w:numFmt w:val="upperLetter"/>
      <w:start w:val="4"/>
    </w:lvl>
    <w:lvl w:ilvl="1">
      <w:lvlJc w:val="left"/>
      <w:lvlText w:val="%2"/>
      <w:numFmt w:val="lowerLetter"/>
      <w:start w:val="1"/>
    </w:lvl>
  </w:abstractNum>
  <w:abstractNum w:abstractNumId="132">
    <w:nsid w:val="565976F1"/>
    <w:multiLevelType w:val="hybridMultilevel"/>
    <w:lvl w:ilvl="0">
      <w:lvlJc w:val="left"/>
      <w:lvlText w:val="(%1)"/>
      <w:numFmt w:val="upperLetter"/>
      <w:start w:val="4"/>
    </w:lvl>
    <w:lvl w:ilvl="1">
      <w:lvlJc w:val="left"/>
      <w:lvlText w:val="%2"/>
      <w:numFmt w:val="lowerLetter"/>
      <w:start w:val="1"/>
    </w:lvl>
  </w:abstractNum>
  <w:abstractNum w:abstractNumId="133">
    <w:nsid w:val="64212B8C"/>
    <w:multiLevelType w:val="hybridMultilevel"/>
    <w:lvl w:ilvl="0">
      <w:lvlJc w:val="left"/>
      <w:lvlText w:val="(%1)"/>
      <w:numFmt w:val="lowerLetter"/>
      <w:start w:val="2"/>
    </w:lvl>
  </w:abstractNum>
  <w:abstractNum w:abstractNumId="134">
    <w:nsid w:val="5C17530C"/>
    <w:multiLevelType w:val="hybridMultilevel"/>
    <w:lvl w:ilvl="0">
      <w:lvlJc w:val="left"/>
      <w:lvlText w:val="(%1)"/>
      <w:numFmt w:val="lowerLetter"/>
      <w:start w:val="4"/>
    </w:lvl>
    <w:lvl w:ilvl="1">
      <w:lvlJc w:val="left"/>
      <w:lvlText w:val="(%2)"/>
      <w:numFmt w:val="lowerRoman"/>
      <w:start w:val="1"/>
    </w:lvl>
  </w:abstractNum>
  <w:abstractNum w:abstractNumId="135">
    <w:nsid w:val="19A52566"/>
    <w:multiLevelType w:val="hybridMultilevel"/>
    <w:lvl w:ilvl="0">
      <w:lvlJc w:val="left"/>
      <w:lvlText w:val="(%1)"/>
      <w:numFmt w:val="lowerRoman"/>
      <w:start w:val="1"/>
    </w:lvl>
    <w:lvl w:ilvl="1">
      <w:lvlJc w:val="left"/>
      <w:lvlText w:val="(%2)"/>
      <w:numFmt w:val="upperLetter"/>
      <w:start w:val="1"/>
    </w:lvl>
  </w:abstractNum>
  <w:abstractNum w:abstractNumId="136">
    <w:nsid w:val="335A1DF1"/>
    <w:multiLevelType w:val="hybridMultilevel"/>
    <w:lvl w:ilvl="0">
      <w:lvlJc w:val="left"/>
      <w:lvlText w:val="%1"/>
      <w:numFmt w:val="lowerRoman"/>
      <w:start w:val="1"/>
    </w:lvl>
    <w:lvl w:ilvl="1">
      <w:lvlJc w:val="left"/>
      <w:lvlText w:val="(%2)"/>
      <w:numFmt w:val="upperLetter"/>
      <w:start w:val="5"/>
    </w:lvl>
  </w:abstractNum>
  <w:abstractNum w:abstractNumId="137">
    <w:nsid w:val="28677B7C"/>
    <w:multiLevelType w:val="hybridMultilevel"/>
    <w:lvl w:ilvl="0">
      <w:lvlJc w:val="left"/>
      <w:lvlText w:val="(%1)"/>
      <w:numFmt w:val="lowerRoman"/>
      <w:start w:val="2"/>
    </w:lvl>
    <w:lvl w:ilvl="1">
      <w:lvlJc w:val="left"/>
      <w:lvlText w:val="(%2)"/>
      <w:numFmt w:val="upperLetter"/>
      <w:start w:val="1"/>
    </w:lvl>
  </w:abstractNum>
  <w:abstractNum w:abstractNumId="138">
    <w:nsid w:val="378D97C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39">
    <w:nsid w:val="1D91467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0">
    <w:nsid w:val="316032BB"/>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41">
    <w:nsid w:val="44344C22"/>
    <w:multiLevelType w:val="hybridMultilevel"/>
    <w:lvl w:ilvl="0">
      <w:lvlJc w:val="left"/>
      <w:lvlText w:val="(%1)"/>
      <w:numFmt w:val="lowerLetter"/>
      <w:start w:val="8"/>
    </w:lvl>
  </w:abstractNum>
  <w:abstractNum w:abstractNumId="142">
    <w:nsid w:val="13CDFCFC"/>
    <w:multiLevelType w:val="hybridMultilevel"/>
    <w:lvl w:ilvl="0">
      <w:lvlJc w:val="left"/>
      <w:lvlText w:val="(%1)"/>
      <w:numFmt w:val="lowerRoman"/>
      <w:start w:val="1"/>
    </w:lvl>
  </w:abstractNum>
  <w:abstractNum w:abstractNumId="143">
    <w:nsid w:val="471745E4"/>
    <w:multiLevelType w:val="hybridMultilevel"/>
    <w:lvl w:ilvl="0">
      <w:lvlJc w:val="left"/>
      <w:lvlText w:val="(%1)"/>
      <w:numFmt w:val="lowerLetter"/>
      <w:start w:val="1"/>
    </w:lvl>
  </w:abstractNum>
  <w:abstractNum w:abstractNumId="144">
    <w:nsid w:val="1DDBC66"/>
    <w:multiLevelType w:val="hybridMultilevel"/>
    <w:lvl w:ilvl="0">
      <w:lvlJc w:val="left"/>
      <w:lvlText w:val="(%1)"/>
      <w:numFmt w:val="lowerLetter"/>
      <w:start w:val="2"/>
    </w:lvl>
  </w:abstractNum>
  <w:abstractNum w:abstractNumId="145">
    <w:nsid w:val="30AADFDA"/>
    <w:multiLevelType w:val="hybridMultilevel"/>
    <w:lvl w:ilvl="0">
      <w:lvlJc w:val="left"/>
      <w:lvlText w:val="(%1)"/>
      <w:numFmt w:val="lowerLetter"/>
      <w:start w:val="1"/>
    </w:lvl>
  </w:abstractNum>
  <w:abstractNum w:abstractNumId="146">
    <w:nsid w:val="30EADA61"/>
    <w:multiLevelType w:val="hybridMultilevel"/>
    <w:lvl w:ilvl="0">
      <w:lvlJc w:val="left"/>
      <w:lvlText w:val="(%1)"/>
      <w:numFmt w:val="lowerLetter"/>
      <w:start w:val="2"/>
    </w:lvl>
  </w:abstractNum>
  <w:abstractNum w:abstractNumId="147">
    <w:nsid w:val="27179C0B"/>
    <w:multiLevelType w:val="hybridMultilevel"/>
    <w:lvl w:ilvl="0">
      <w:lvlJc w:val="left"/>
      <w:lvlText w:val="(%1)"/>
      <w:numFmt w:val="lowerLetter"/>
      <w:start w:val="3"/>
    </w:lvl>
  </w:abstractNum>
  <w:abstractNum w:abstractNumId="148">
    <w:nsid w:val="5E636063"/>
    <w:multiLevelType w:val="hybridMultilevel"/>
    <w:lvl w:ilvl="0">
      <w:lvlJc w:val="left"/>
      <w:lvlText w:val="(%1)"/>
      <w:numFmt w:val="lowerLetter"/>
      <w:start w:val="4"/>
    </w:lvl>
  </w:abstractNum>
  <w:abstractNum w:abstractNumId="149">
    <w:nsid w:val="215641AF"/>
    <w:multiLevelType w:val="hybridMultilevel"/>
    <w:lvl w:ilvl="0">
      <w:lvlJc w:val="left"/>
      <w:lvlText w:val="(%1)"/>
      <w:numFmt w:val="lowerLetter"/>
      <w:start w:val="1"/>
    </w:lvl>
    <w:lvl w:ilvl="1">
      <w:lvlJc w:val="left"/>
      <w:lvlText w:val="(%2)"/>
      <w:numFmt w:val="lowerRoman"/>
      <w:start w:val="1"/>
    </w:lvl>
  </w:abstractNum>
  <w:abstractNum w:abstractNumId="150">
    <w:nsid w:val="53280662"/>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51">
    <w:nsid w:val="46B24DBC"/>
    <w:multiLevelType w:val="hybridMultilevel"/>
    <w:lvl w:ilvl="0">
      <w:lvlJc w:val="left"/>
      <w:lvlText w:val="(%1)"/>
      <w:numFmt w:val="lowerLetter"/>
      <w:start w:val="3"/>
    </w:lvl>
  </w:abstractNum>
  <w:abstractNum w:abstractNumId="152">
    <w:nsid w:val="75B52783"/>
    <w:multiLevelType w:val="hybridMultilevel"/>
    <w:lvl w:ilvl="0">
      <w:lvlJc w:val="left"/>
      <w:lvlText w:val="(%1)"/>
      <w:numFmt w:val="lowerLetter"/>
      <w:start w:val="1"/>
    </w:lvl>
    <w:lvl w:ilvl="1">
      <w:lvlJc w:val="left"/>
      <w:lvlText w:val="(%2)"/>
      <w:numFmt w:val="lowerRoman"/>
      <w:start w:val="1"/>
    </w:lvl>
  </w:abstractNum>
  <w:abstractNum w:abstractNumId="153">
    <w:nsid w:val="57CE66B4"/>
    <w:multiLevelType w:val="hybridMultilevel"/>
    <w:lvl w:ilvl="0">
      <w:lvlJc w:val="left"/>
      <w:lvlText w:val="(%1)"/>
      <w:numFmt w:val="lowerLetter"/>
      <w:start w:val="5"/>
    </w:lvl>
  </w:abstractNum>
  <w:abstractNum w:abstractNumId="154">
    <w:nsid w:val="67A70B69"/>
    <w:multiLevelType w:val="hybridMultilevel"/>
    <w:lvl w:ilvl="0">
      <w:lvlJc w:val="left"/>
      <w:lvlText w:val="(%1)"/>
      <w:numFmt w:val="lowerLetter"/>
      <w:start w:val="12"/>
    </w:lvl>
  </w:abstractNum>
  <w:abstractNum w:abstractNumId="155">
    <w:nsid w:val="5953172F"/>
    <w:multiLevelType w:val="hybridMultilevel"/>
    <w:lvl w:ilvl="0">
      <w:lvlJc w:val="left"/>
      <w:lvlText w:val="(%1)"/>
      <w:numFmt w:val="lowerLetter"/>
      <w:start w:val="1"/>
    </w:lvl>
    <w:lvl w:ilvl="1">
      <w:lvlJc w:val="left"/>
      <w:lvlText w:val="(%2)"/>
      <w:numFmt w:val="lowerRoman"/>
      <w:start w:val="1"/>
    </w:lvl>
  </w:abstractNum>
  <w:abstractNum w:abstractNumId="156">
    <w:nsid w:val="27EDFE3A"/>
    <w:multiLevelType w:val="hybridMultilevel"/>
    <w:lvl w:ilvl="0">
      <w:lvlJc w:val="left"/>
      <w:lvlText w:val="(%1)"/>
      <w:numFmt w:val="lowerLetter"/>
      <w:start w:val="1"/>
    </w:lvl>
  </w:abstractNum>
  <w:abstractNum w:abstractNumId="157">
    <w:nsid w:val="52AC7DFF"/>
    <w:multiLevelType w:val="hybridMultilevel"/>
    <w:lvl w:ilvl="0">
      <w:lvlJc w:val="left"/>
      <w:lvlText w:val="(%1)"/>
      <w:numFmt w:val="lowerLetter"/>
      <w:start w:val="1"/>
    </w:lvl>
  </w:abstractNum>
  <w:abstractNum w:abstractNumId="158">
    <w:nsid w:val="C4C3AF"/>
    <w:multiLevelType w:val="hybridMultilevel"/>
    <w:lvl w:ilvl="0">
      <w:lvlJc w:val="left"/>
      <w:lvlText w:val="(%1)"/>
      <w:numFmt w:val="lowerLetter"/>
      <w:start w:val="2"/>
    </w:lvl>
  </w:abstractNum>
  <w:abstractNum w:abstractNumId="159">
    <w:nsid w:val="44380727"/>
    <w:multiLevelType w:val="hybridMultilevel"/>
    <w:lvl w:ilvl="0">
      <w:lvlJc w:val="left"/>
      <w:lvlText w:val="(%1)"/>
      <w:numFmt w:val="lowerRoman"/>
      <w:start w:val="2"/>
    </w:lvl>
  </w:abstractNum>
  <w:abstractNum w:abstractNumId="160">
    <w:nsid w:val="6C053B16"/>
    <w:multiLevelType w:val="hybridMultilevel"/>
    <w:lvl w:ilvl="0">
      <w:lvlJc w:val="left"/>
      <w:lvlText w:val="(%1)"/>
      <w:numFmt w:val="lowerLetter"/>
      <w:start w:val="1"/>
    </w:lvl>
  </w:abstractNum>
  <w:abstractNum w:abstractNumId="161">
    <w:nsid w:val="4F294393"/>
    <w:multiLevelType w:val="hybridMultilevel"/>
    <w:lvl w:ilvl="0">
      <w:lvlJc w:val="left"/>
      <w:lvlText w:val="%1"/>
      <w:numFmt w:val="lowerLetter"/>
      <w:start w:val="1"/>
    </w:lvl>
    <w:lvl w:ilvl="1">
      <w:lvlJc w:val="left"/>
      <w:lvlText w:val="(%2)"/>
      <w:numFmt w:val="lowerLetter"/>
      <w:start w:val="1"/>
    </w:lvl>
  </w:abstractNum>
  <w:abstractNum w:abstractNumId="162">
    <w:nsid w:val="5243BFAC"/>
    <w:multiLevelType w:val="hybridMultilevel"/>
    <w:lvl w:ilvl="0">
      <w:lvlJc w:val="left"/>
      <w:lvlText w:val="(%1)"/>
      <w:numFmt w:val="lowerLetter"/>
      <w:start w:val="2"/>
    </w:lvl>
    <w:lvl w:ilvl="1">
      <w:lvlJc w:val="left"/>
      <w:lvlText w:val="%2"/>
      <w:numFmt w:val="lowerLetter"/>
      <w:start w:val="1"/>
    </w:lvl>
  </w:abstractNum>
  <w:abstractNum w:abstractNumId="163">
    <w:nsid w:val="425EB207"/>
    <w:multiLevelType w:val="hybridMultilevel"/>
    <w:lvl w:ilvl="0">
      <w:lvlJc w:val="left"/>
      <w:lvlText w:val="(%1)"/>
      <w:numFmt w:val="lowerLetter"/>
      <w:start w:val="5"/>
    </w:lvl>
  </w:abstractNum>
  <w:abstractNum w:abstractNumId="164">
    <w:nsid w:val="334A6F1F"/>
    <w:multiLevelType w:val="hybridMultilevel"/>
    <w:lvl w:ilvl="0">
      <w:lvlJc w:val="left"/>
      <w:lvlText w:val="%1"/>
      <w:numFmt w:val="lowerLetter"/>
      <w:start w:val="1"/>
    </w:lvl>
    <w:lvl w:ilvl="1">
      <w:lvlJc w:val="left"/>
      <w:lvlText w:val="(%2)"/>
      <w:numFmt w:val="lowerLetter"/>
      <w:start w:val="9"/>
    </w:lvl>
  </w:abstractNum>
  <w:abstractNum w:abstractNumId="165">
    <w:nsid w:val="2E5B12B8"/>
    <w:multiLevelType w:val="hybridMultilevel"/>
    <w:lvl w:ilvl="0">
      <w:lvlJc w:val="left"/>
      <w:lvlText w:val="(%1)"/>
      <w:numFmt w:val="lowerLetter"/>
      <w:start w:val="9"/>
    </w:lvl>
    <w:lvl w:ilvl="1">
      <w:lvlJc w:val="left"/>
      <w:lvlText w:val="(%2)"/>
      <w:numFmt w:val="lowerLetter"/>
      <w:start w:val="10"/>
    </w:lvl>
  </w:abstractNum>
  <w:abstractNum w:abstractNumId="166">
    <w:nsid w:val="5C03D76D"/>
    <w:multiLevelType w:val="hybridMultilevel"/>
    <w:lvl w:ilvl="0">
      <w:lvlJc w:val="left"/>
      <w:lvlText w:val="(%1)"/>
      <w:numFmt w:val="lowerLetter"/>
      <w:start w:val="1"/>
    </w:lvl>
  </w:abstractNum>
  <w:abstractNum w:abstractNumId="167">
    <w:nsid w:val="66A48D11"/>
    <w:multiLevelType w:val="hybridMultilevel"/>
    <w:lvl w:ilvl="0">
      <w:lvlJc w:val="left"/>
      <w:lvlText w:val="(%1)"/>
      <w:numFmt w:val="lowerLetter"/>
      <w:start w:val="1"/>
    </w:lvl>
    <w:lvl w:ilvl="1">
      <w:lvlJc w:val="left"/>
      <w:lvlText w:val="(%2)"/>
      <w:numFmt w:val="lowerRoman"/>
      <w:start w:val="1"/>
    </w:lvl>
  </w:abstractNum>
  <w:abstractNum w:abstractNumId="168">
    <w:nsid w:val="56C28E34"/>
    <w:multiLevelType w:val="hybridMultilevel"/>
    <w:lvl w:ilvl="0">
      <w:lvlJc w:val="left"/>
      <w:lvlText w:val="(%1)"/>
      <w:numFmt w:val="lowerLetter"/>
      <w:start w:val="3"/>
    </w:lvl>
  </w:abstractNum>
  <w:abstractNum w:abstractNumId="169">
    <w:nsid w:val="13916F2D"/>
    <w:multiLevelType w:val="hybridMultilevel"/>
    <w:lvl w:ilvl="0">
      <w:lvlJc w:val="left"/>
      <w:lvlText w:val="(%1)"/>
      <w:numFmt w:val="lowerLetter"/>
      <w:start w:val="25"/>
    </w:lvl>
  </w:abstractNum>
  <w:abstractNum w:abstractNumId="170">
    <w:nsid w:val="435D38D"/>
    <w:multiLevelType w:val="hybridMultilevel"/>
    <w:lvl w:ilvl="0">
      <w:lvlJc w:val="left"/>
      <w:lvlText w:val="(%1)"/>
      <w:numFmt w:val="lowerLetter"/>
      <w:start w:val="1"/>
    </w:lvl>
    <w:lvl w:ilvl="1">
      <w:lvlJc w:val="left"/>
      <w:lvlText w:val="(%2)"/>
      <w:numFmt w:val="lowerRoman"/>
      <w:start w:val="1"/>
    </w:lvl>
  </w:abstractNum>
  <w:abstractNum w:abstractNumId="171">
    <w:nsid w:val="822C0EF"/>
    <w:multiLevelType w:val="hybridMultilevel"/>
    <w:lvl w:ilvl="0">
      <w:lvlJc w:val="left"/>
      <w:lvlText w:val="%1"/>
      <w:numFmt w:val="lowerLetter"/>
      <w:start w:val="1"/>
    </w:lvl>
    <w:lvl w:ilvl="1">
      <w:lvlJc w:val="left"/>
      <w:lvlText w:val="(%2)"/>
      <w:numFmt w:val="lowerRoman"/>
      <w:start w:val="3"/>
    </w:lvl>
  </w:abstractNum>
  <w:abstractNum w:abstractNumId="172">
    <w:nsid w:val="57C5BB4F"/>
    <w:multiLevelType w:val="hybridMultilevel"/>
    <w:lvl w:ilvl="0">
      <w:lvlJc w:val="left"/>
      <w:lvlText w:val="(%1)"/>
      <w:numFmt w:val="lowerLetter"/>
      <w:start w:val="2"/>
    </w:lvl>
    <w:lvl w:ilvl="1">
      <w:lvlJc w:val="left"/>
      <w:lvlText w:val="%2"/>
      <w:numFmt w:val="lowerRoman"/>
      <w:start w:val="1"/>
    </w:lvl>
  </w:abstractNum>
  <w:abstractNum w:abstractNumId="173">
    <w:nsid w:val="1803D089"/>
    <w:multiLevelType w:val="hybridMultilevel"/>
    <w:lvl w:ilvl="0">
      <w:lvlJc w:val="left"/>
      <w:lvlText w:val="(%1)"/>
      <w:numFmt w:val="lowerLetter"/>
      <w:start w:val="2"/>
    </w:lvl>
  </w:abstractNum>
  <w:abstractNum w:abstractNumId="174">
    <w:nsid w:val="4F3A06D4"/>
    <w:multiLevelType w:val="hybridMultilevel"/>
    <w:lvl w:ilvl="0">
      <w:lvlJc w:val="left"/>
      <w:lvlText w:val="(%1)"/>
      <w:numFmt w:val="lowerLetter"/>
      <w:start w:val="1"/>
    </w:lvl>
  </w:abstractNum>
  <w:abstractNum w:abstractNumId="175">
    <w:nsid w:val="59A377B6"/>
    <w:multiLevelType w:val="hybridMultilevel"/>
    <w:lvl w:ilvl="0">
      <w:lvlJc w:val="left"/>
      <w:lvlText w:val="(%1)"/>
      <w:numFmt w:val="lowerLetter"/>
      <w:start w:val="3"/>
    </w:lvl>
  </w:abstractNum>
  <w:abstractNum w:abstractNumId="176">
    <w:nsid w:val="48AEB063"/>
    <w:multiLevelType w:val="hybridMultilevel"/>
    <w:lvl w:ilvl="0">
      <w:lvlJc w:val="left"/>
      <w:lvlText w:val="(%1)"/>
      <w:numFmt w:val="lowerLetter"/>
      <w:start w:val="1"/>
    </w:lvl>
    <w:lvl w:ilvl="1">
      <w:lvlJc w:val="left"/>
      <w:lvlText w:val="(%2)"/>
      <w:numFmt w:val="lowerLetter"/>
      <w:start w:val="2"/>
    </w:lvl>
  </w:abstractNum>
  <w:abstractNum w:abstractNumId="177">
    <w:nsid w:val="24E135"/>
    <w:multiLevelType w:val="hybridMultilevel"/>
    <w:lvl w:ilvl="0">
      <w:lvlJc w:val="left"/>
      <w:lvlText w:val="(%1)"/>
      <w:numFmt w:val="lowerLetter"/>
      <w:start w:val="1"/>
    </w:lvl>
  </w:abstractNum>
  <w:abstractNum w:abstractNumId="178">
    <w:nsid w:val="BB13C1"/>
    <w:multiLevelType w:val="hybridMultilevel"/>
    <w:lvl w:ilvl="0">
      <w:lvlJc w:val="left"/>
      <w:lvlText w:val="(%1)"/>
      <w:numFmt w:val="lowerLetter"/>
      <w:start w:val="3"/>
    </w:lvl>
  </w:abstractNum>
  <w:abstractNum w:abstractNumId="179">
    <w:nsid w:val="271210C7"/>
    <w:multiLevelType w:val="hybridMultilevel"/>
    <w:lvl w:ilvl="0">
      <w:lvlJc w:val="left"/>
      <w:lvlText w:val="(%1)"/>
      <w:numFmt w:val="lowerLetter"/>
      <w:start w:val="9"/>
    </w:lvl>
  </w:abstractNum>
  <w:abstractNum w:abstractNumId="180">
    <w:nsid w:val="217B22E4"/>
    <w:multiLevelType w:val="hybridMultilevel"/>
    <w:lvl w:ilvl="0">
      <w:lvlJc w:val="left"/>
      <w:lvlText w:val="(%1)"/>
      <w:numFmt w:val="lowerLetter"/>
      <w:start w:val="18"/>
    </w:lvl>
  </w:abstractNum>
  <w:abstractNum w:abstractNumId="181">
    <w:nsid w:val="53E31A24"/>
    <w:multiLevelType w:val="hybridMultilevel"/>
    <w:lvl w:ilvl="0">
      <w:lvlJc w:val="left"/>
      <w:lvlText w:val="(%1)"/>
      <w:numFmt w:val="lowerLetter"/>
      <w:start w:val="25"/>
    </w:lvl>
  </w:abstractNum>
  <w:abstractNum w:abstractNumId="182">
    <w:nsid w:val="6DC45E83"/>
    <w:multiLevelType w:val="hybridMultilevel"/>
    <w:lvl w:ilvl="0">
      <w:lvlJc w:val="left"/>
      <w:lvlText w:val="(%1)"/>
      <w:numFmt w:val="lowerLetter"/>
      <w:start w:val="27"/>
    </w:lvl>
  </w:abstractNum>
  <w:abstractNum w:abstractNumId="183">
    <w:nsid w:val="17304A67"/>
    <w:multiLevelType w:val="hybridMultilevel"/>
    <w:lvl w:ilvl="0">
      <w:lvlJc w:val="left"/>
      <w:lvlText w:val="(%1)"/>
      <w:numFmt w:val="lowerLetter"/>
      <w:start w:val="1"/>
    </w:lvl>
  </w:abstractNum>
  <w:abstractNum w:abstractNumId="184">
    <w:nsid w:val="2BB180D8"/>
    <w:multiLevelType w:val="hybridMultilevel"/>
    <w:lvl w:ilvl="0">
      <w:lvlJc w:val="left"/>
      <w:lvlText w:val="%1"/>
      <w:numFmt w:val="lowerLetter"/>
      <w:start w:val="1"/>
    </w:lvl>
    <w:lvl w:ilvl="1">
      <w:lvlJc w:val="left"/>
      <w:lvlText w:val="(%2)"/>
      <w:numFmt w:val="lowerLetter"/>
      <w:start w:val="6"/>
    </w:lvl>
  </w:abstractNum>
  <w:abstractNum w:abstractNumId="185">
    <w:nsid w:val="556B69ED"/>
    <w:multiLevelType w:val="hybridMultilevel"/>
    <w:lvl w:ilvl="0">
      <w:lvlJc w:val="left"/>
      <w:lvlText w:val="(%1)"/>
      <w:numFmt w:val="lowerLetter"/>
      <w:start w:val="35"/>
    </w:lvl>
    <w:lvl w:ilvl="1">
      <w:lvlJc w:val="left"/>
      <w:lvlText w:val="(%2)"/>
      <w:numFmt w:val="lowerLetter"/>
      <w:start w:val="13"/>
    </w:lvl>
  </w:abstractNum>
  <w:abstractNum w:abstractNumId="186">
    <w:nsid w:val="70836196"/>
    <w:multiLevelType w:val="hybridMultilevel"/>
    <w:lvl w:ilvl="0">
      <w:lvlJc w:val="left"/>
      <w:lvlText w:val="(%1)"/>
      <w:numFmt w:val="lowerLetter"/>
      <w:start w:val="15"/>
    </w:lvl>
  </w:abstractNum>
  <w:abstractNum w:abstractNumId="187">
    <w:nsid w:val="539F7F12"/>
    <w:multiLevelType w:val="hybridMultilevel"/>
    <w:lvl w:ilvl="0">
      <w:lvlJc w:val="left"/>
      <w:lvlText w:val="(%1)"/>
      <w:numFmt w:val="lowerLetter"/>
      <w:start w:val="24"/>
    </w:lvl>
  </w:abstractNum>
  <w:abstractNum w:abstractNumId="188">
    <w:nsid w:val="2817E7EC"/>
    <w:multiLevelType w:val="hybridMultilevel"/>
    <w:lvl w:ilvl="0">
      <w:lvlJc w:val="left"/>
      <w:lvlText w:val="(%1)"/>
      <w:numFmt w:val="lowerLetter"/>
      <w:start w:val="1"/>
    </w:lvl>
    <w:lvl w:ilvl="1">
      <w:lvlJc w:val="left"/>
      <w:lvlText w:val="(%2)"/>
      <w:numFmt w:val="lowerRoman"/>
      <w:start w:val="1"/>
    </w:lvl>
  </w:abstractNum>
  <w:abstractNum w:abstractNumId="189">
    <w:nsid w:val="71482545"/>
    <w:multiLevelType w:val="hybridMultilevel"/>
    <w:lvl w:ilvl="0">
      <w:lvlJc w:val="left"/>
      <w:lvlText w:val="%1"/>
      <w:numFmt w:val="lowerLetter"/>
      <w:start w:val="1"/>
    </w:lvl>
    <w:lvl w:ilvl="1">
      <w:lvlJc w:val="left"/>
      <w:lvlText w:val="(%2)"/>
      <w:numFmt w:val="lowerRoman"/>
      <w:start w:val="5"/>
    </w:lvl>
  </w:abstractNum>
  <w:abstractNum w:abstractNumId="190">
    <w:nsid w:val="17D78639"/>
    <w:multiLevelType w:val="hybridMultilevel"/>
    <w:lvl w:ilvl="0">
      <w:lvlJc w:val="left"/>
      <w:lvlText w:val="(%1)"/>
      <w:numFmt w:val="lowerLetter"/>
      <w:start w:val="25"/>
    </w:lvl>
    <w:lvl w:ilvl="1">
      <w:lvlJc w:val="left"/>
      <w:lvlText w:val="(%2)"/>
      <w:numFmt w:val="lowerRoman"/>
      <w:start w:val="9"/>
    </w:lvl>
  </w:abstractNum>
  <w:abstractNum w:abstractNumId="191">
    <w:nsid w:val="141D2302"/>
    <w:multiLevelType w:val="hybridMultilevel"/>
    <w:lvl w:ilvl="0">
      <w:lvlJc w:val="left"/>
      <w:lvlText w:val="%1"/>
      <w:numFmt w:val="lowerLetter"/>
      <w:start w:val="1"/>
    </w:lvl>
    <w:lvl w:ilvl="1">
      <w:lvlJc w:val="left"/>
      <w:lvlText w:val="(%2)"/>
      <w:numFmt w:val="lowerRoman"/>
      <w:start w:val="10"/>
    </w:lvl>
  </w:abstractNum>
  <w:abstractNum w:abstractNumId="192">
    <w:nsid w:val="407168D8"/>
    <w:multiLevelType w:val="hybridMultilevel"/>
    <w:lvl w:ilvl="0">
      <w:lvlJc w:val="left"/>
      <w:lvlText w:val="(%1)"/>
      <w:numFmt w:val="lowerLetter"/>
      <w:start w:val="2"/>
    </w:lvl>
    <w:lvl w:ilvl="1">
      <w:lvlJc w:val="left"/>
      <w:lvlText w:val="(%2)"/>
      <w:numFmt w:val="lowerRoman"/>
      <w:start w:val="1"/>
    </w:lvl>
  </w:abstractNum>
  <w:abstractNum w:abstractNumId="193">
    <w:nsid w:val="6A1B45E5"/>
    <w:multiLevelType w:val="hybridMultilevel"/>
    <w:lvl w:ilvl="0">
      <w:lvlJc w:val="left"/>
      <w:lvlText w:val="(%1)"/>
      <w:numFmt w:val="lowerRoman"/>
      <w:start w:val="6"/>
    </w:lvl>
  </w:abstractNum>
  <w:abstractNum w:abstractNumId="194">
    <w:nsid w:val="567BD50A"/>
    <w:multiLevelType w:val="hybridMultilevel"/>
    <w:lvl w:ilvl="0">
      <w:lvlJc w:val="left"/>
      <w:lvlText w:val="(%1)"/>
      <w:numFmt w:val="lowerRoman"/>
      <w:start w:val="5"/>
    </w:lvl>
  </w:abstractNum>
  <w:abstractNum w:abstractNumId="195">
    <w:nsid w:val="73BBD7F8"/>
    <w:multiLevelType w:val="hybridMultilevel"/>
    <w:lvl w:ilvl="0">
      <w:lvlJc w:val="left"/>
      <w:lvlText w:val="(%1)"/>
      <w:numFmt w:val="lowerLetter"/>
      <w:start w:val="1"/>
    </w:lvl>
  </w:abstractNum>
  <w:abstractNum w:abstractNumId="196">
    <w:nsid w:val="1876589D"/>
    <w:multiLevelType w:val="hybridMultilevel"/>
    <w:lvl w:ilvl="0">
      <w:lvlJc w:val="left"/>
      <w:lvlText w:val="(%1)"/>
      <w:numFmt w:val="lowerLetter"/>
      <w:start w:val="9"/>
    </w:lvl>
  </w:abstractNum>
  <w:abstractNum w:abstractNumId="197">
    <w:nsid w:val="327FAC77"/>
    <w:multiLevelType w:val="hybridMultilevel"/>
    <w:lvl w:ilvl="0">
      <w:lvlJc w:val="left"/>
      <w:lvlText w:val="(%1)"/>
      <w:numFmt w:val="lowerLetter"/>
      <w:start w:val="14"/>
    </w:lvl>
  </w:abstractNum>
  <w:abstractNum w:abstractNumId="198">
    <w:nsid w:val="5A606509"/>
    <w:multiLevelType w:val="hybridMultilevel"/>
    <w:lvl w:ilvl="0">
      <w:lvlJc w:val="left"/>
      <w:lvlText w:val="(%1)"/>
      <w:numFmt w:val="lowerLetter"/>
      <w:start w:val="25"/>
    </w:lvl>
  </w:abstractNum>
  <w:abstractNum w:abstractNumId="199">
    <w:nsid w:val="6F38E6D1"/>
    <w:multiLevelType w:val="hybridMultilevel"/>
    <w:lvl w:ilvl="0">
      <w:lvlJc w:val="left"/>
      <w:lvlText w:val="(%1)"/>
      <w:numFmt w:val="lowerLetter"/>
      <w:start w:val="1"/>
    </w:lvl>
  </w:abstractNum>
  <w:abstractNum w:abstractNumId="200">
    <w:nsid w:val="46111BA5"/>
    <w:multiLevelType w:val="hybridMultilevel"/>
    <w:lvl w:ilvl="0">
      <w:lvlJc w:val="left"/>
      <w:lvlText w:val="(%1)"/>
      <w:numFmt w:val="lowerLetter"/>
      <w:start w:val="2"/>
    </w:lvl>
  </w:abstractNum>
  <w:abstractNum w:abstractNumId="201">
    <w:nsid w:val="5E963896"/>
    <w:multiLevelType w:val="hybridMultilevel"/>
    <w:lvl w:ilvl="0">
      <w:lvlJc w:val="left"/>
      <w:lvlText w:val="(%1)"/>
      <w:numFmt w:val="lowerRoman"/>
      <w:start w:val="3"/>
    </w:lvl>
  </w:abstractNum>
  <w:abstractNum w:abstractNumId="202">
    <w:nsid w:val="775BA7C1"/>
    <w:multiLevelType w:val="hybridMultilevel"/>
    <w:lvl w:ilvl="0">
      <w:lvlJc w:val="left"/>
      <w:lvlText w:val="(%1)"/>
      <w:numFmt w:val="lowerLetter"/>
      <w:start w:val="1"/>
    </w:lvl>
  </w:abstractNum>
  <w:abstractNum w:abstractNumId="203">
    <w:nsid w:val="1DD6D6F4"/>
    <w:multiLevelType w:val="hybridMultilevel"/>
    <w:lvl w:ilvl="0">
      <w:lvlJc w:val="left"/>
      <w:lvlText w:val="(%1)"/>
      <w:numFmt w:val="lowerLetter"/>
      <w:start w:val="2"/>
    </w:lvl>
  </w:abstractNum>
  <w:abstractNum w:abstractNumId="204">
    <w:nsid w:val="769A091F"/>
    <w:multiLevelType w:val="hybridMultilevel"/>
    <w:lvl w:ilvl="0">
      <w:lvlJc w:val="left"/>
      <w:lvlText w:val="%1"/>
      <w:numFmt w:val="decimal"/>
      <w:start w:val="1"/>
    </w:lvl>
    <w:lvl w:ilvl="1">
      <w:lvlJc w:val="left"/>
      <w:lvlText w:val="(%2)"/>
      <w:numFmt w:val="lowerLetter"/>
      <w:start w:val="5"/>
    </w:lvl>
  </w:abstractNum>
  <w:abstractNum w:abstractNumId="205">
    <w:nsid w:val="4695AE95"/>
    <w:multiLevelType w:val="hybridMultilevel"/>
    <w:lvl w:ilvl="0">
      <w:lvlJc w:val="left"/>
      <w:lvlText w:val="(%1)"/>
      <w:numFmt w:val="decimal"/>
      <w:start w:val="1"/>
    </w:lvl>
    <w:lvl w:ilvl="1">
      <w:lvlJc w:val="left"/>
      <w:lvlText w:val="(%2)"/>
      <w:numFmt w:val="lowerLetter"/>
      <w:start w:val="7"/>
    </w:lvl>
  </w:abstractNum>
  <w:abstractNum w:abstractNumId="206">
    <w:nsid w:val="777A4EAA"/>
    <w:multiLevelType w:val="hybridMultilevel"/>
    <w:lvl w:ilvl="0">
      <w:lvlJc w:val="left"/>
      <w:lvlText w:val="%1"/>
      <w:numFmt w:val="lowerLetter"/>
      <w:start w:val="1"/>
    </w:lvl>
    <w:lvl w:ilvl="1">
      <w:lvlJc w:val="left"/>
      <w:lvlText w:val="(%2)"/>
      <w:numFmt w:val="lowerLetter"/>
      <w:start w:val="16"/>
    </w:lvl>
  </w:abstractNum>
  <w:abstractNum w:abstractNumId="207">
    <w:nsid w:val="3F48B982"/>
    <w:multiLevelType w:val="hybridMultilevel"/>
    <w:lvl w:ilvl="0">
      <w:lvlJc w:val="left"/>
      <w:lvlText w:val="(%1)"/>
      <w:numFmt w:val="lowerLetter"/>
      <w:start w:val="25"/>
    </w:lvl>
    <w:lvl w:ilvl="1">
      <w:lvlJc w:val="left"/>
      <w:lvlText w:val="%2"/>
      <w:numFmt w:val="lowerLetter"/>
      <w:start w:val="1"/>
    </w:lvl>
  </w:abstractNum>
  <w:abstractNum w:abstractNumId="208">
    <w:nsid w:val="46BA8FCA"/>
    <w:multiLevelType w:val="hybridMultilevel"/>
    <w:lvl w:ilvl="0">
      <w:lvlJc w:val="left"/>
      <w:lvlText w:val="(%1)"/>
      <w:numFmt w:val="lowerLetter"/>
      <w:start w:val="1"/>
    </w:lvl>
  </w:abstractNum>
  <w:abstractNum w:abstractNumId="209">
    <w:nsid w:val="7835626C"/>
    <w:multiLevelType w:val="hybridMultilevel"/>
    <w:lvl w:ilvl="0">
      <w:lvlJc w:val="left"/>
      <w:lvlText w:val="%1"/>
      <w:numFmt w:val="lowerLetter"/>
      <w:start w:val="1"/>
    </w:lvl>
    <w:lvl w:ilvl="1">
      <w:lvlJc w:val="left"/>
      <w:lvlText w:val="(%2)"/>
      <w:numFmt w:val="lowerRoman"/>
      <w:start w:val="1"/>
    </w:lvl>
  </w:abstractNum>
  <w:abstractNum w:abstractNumId="210">
    <w:nsid w:val="665ACA49"/>
    <w:multiLevelType w:val="hybridMultilevel"/>
    <w:lvl w:ilvl="0">
      <w:lvlJc w:val="left"/>
      <w:lvlText w:val="(%1)"/>
      <w:numFmt w:val="lowerLetter"/>
      <w:start w:val="7"/>
    </w:lvl>
    <w:lvl w:ilvl="1">
      <w:lvlJc w:val="left"/>
      <w:lvlText w:val="%2"/>
      <w:numFmt w:val="lowerRoman"/>
      <w:start w:val="1"/>
    </w:lvl>
  </w:abstractNum>
  <w:abstractNum w:abstractNumId="211">
    <w:nsid w:val="6835B2AE"/>
    <w:multiLevelType w:val="hybridMultilevel"/>
    <w:lvl w:ilvl="0">
      <w:lvlJc w:val="left"/>
      <w:lvlText w:val="(%1)"/>
      <w:numFmt w:val="lowerLetter"/>
      <w:start w:val="2"/>
    </w:lvl>
  </w:abstractNum>
  <w:abstractNum w:abstractNumId="212">
    <w:nsid w:val="4C187C90"/>
    <w:multiLevelType w:val="hybridMultilevel"/>
    <w:lvl w:ilvl="0">
      <w:lvlJc w:val="left"/>
      <w:lvlText w:val="(%1)"/>
      <w:numFmt w:val="lowerLetter"/>
      <w:start w:val="3"/>
    </w:lvl>
  </w:abstractNum>
  <w:abstractNum w:abstractNumId="213">
    <w:nsid w:val="541F28CD"/>
    <w:multiLevelType w:val="hybridMultilevel"/>
    <w:lvl w:ilvl="0">
      <w:lvlJc w:val="left"/>
      <w:lvlText w:val="(%1)"/>
      <w:numFmt w:val="lowerLetter"/>
      <w:start w:val="1"/>
    </w:lvl>
  </w:abstractNum>
  <w:abstractNum w:abstractNumId="214">
    <w:nsid w:val="7F65FD16"/>
    <w:multiLevelType w:val="hybridMultilevel"/>
    <w:lvl w:ilvl="0">
      <w:lvlJc w:val="left"/>
      <w:lvlText w:val="(%1)"/>
      <w:numFmt w:val="lowerLetter"/>
      <w:start w:val="61"/>
    </w:lvl>
    <w:lvl w:ilvl="1">
      <w:lvlJc w:val="left"/>
      <w:lvlText w:val="(%2)"/>
      <w:numFmt w:val="lowerLetter"/>
      <w:start w:val="2"/>
    </w:lvl>
  </w:abstractNum>
  <w:abstractNum w:abstractNumId="215">
    <w:nsid w:val="77C9FD68"/>
    <w:multiLevelType w:val="hybridMultilevel"/>
    <w:lvl w:ilvl="0">
      <w:lvlJc w:val="left"/>
      <w:lvlText w:val="%1"/>
      <w:numFmt w:val="decimal"/>
      <w:start w:val="1"/>
    </w:lvl>
    <w:lvl w:ilvl="1">
      <w:lvlJc w:val="left"/>
      <w:lvlText w:val="(%2)"/>
      <w:numFmt w:val="lowerLetter"/>
      <w:start w:val="6"/>
    </w:lvl>
  </w:abstractNum>
  <w:abstractNum w:abstractNumId="216">
    <w:nsid w:val="298A92BA"/>
    <w:multiLevelType w:val="hybridMultilevel"/>
    <w:lvl w:ilvl="0">
      <w:lvlJc w:val="left"/>
      <w:lvlText w:val="(%1)"/>
      <w:numFmt w:val="decimal"/>
      <w:start w:val="60"/>
    </w:lvl>
    <w:lvl w:ilvl="1">
      <w:lvlJc w:val="left"/>
      <w:lvlText w:val="(%2)"/>
      <w:numFmt w:val="lowerLetter"/>
      <w:start w:val="7"/>
    </w:lvl>
  </w:abstractNum>
  <w:abstractNum w:abstractNumId="217">
    <w:nsid w:val="6FE95EAC"/>
    <w:multiLevelType w:val="hybridMultilevel"/>
    <w:lvl w:ilvl="0">
      <w:lvlJc w:val="left"/>
      <w:lvlText w:val="(%1)"/>
      <w:numFmt w:val="lowerLetter"/>
      <w:start w:val="9"/>
    </w:lvl>
  </w:abstractNum>
  <w:abstractNum w:abstractNumId="218">
    <w:nsid w:val="4B697C7A"/>
    <w:multiLevelType w:val="hybridMultilevel"/>
    <w:lvl w:ilvl="0">
      <w:lvlJc w:val="left"/>
      <w:lvlText w:val="(%1)"/>
      <w:numFmt w:val="lowerLetter"/>
      <w:start w:val="7"/>
    </w:lvl>
  </w:abstractNum>
  <w:abstractNum w:abstractNumId="219">
    <w:nsid w:val="51A27AA6"/>
    <w:multiLevelType w:val="hybridMultilevel"/>
    <w:lvl w:ilvl="0">
      <w:lvlJc w:val="left"/>
      <w:lvlText w:val="(%1)"/>
      <w:numFmt w:val="lowerLetter"/>
      <w:start w:val="2"/>
    </w:lvl>
  </w:abstractNum>
  <w:abstractNum w:abstractNumId="220">
    <w:nsid w:val="613183F2"/>
    <w:multiLevelType w:val="hybridMultilevel"/>
    <w:lvl w:ilvl="0">
      <w:lvlJc w:val="left"/>
      <w:lvlText w:val="(%1)"/>
      <w:numFmt w:val="lowerLetter"/>
      <w:start w:val="1"/>
    </w:lvl>
    <w:lvl w:ilvl="1">
      <w:lvlJc w:val="left"/>
      <w:lvlText w:val="(%2)"/>
      <w:numFmt w:val="lowerRoman"/>
      <w:start w:val="1"/>
    </w:lvl>
  </w:abstractNum>
  <w:abstractNum w:abstractNumId="221">
    <w:nsid w:val="634102B4"/>
    <w:multiLevelType w:val="hybridMultilevel"/>
    <w:lvl w:ilvl="0">
      <w:lvlJc w:val="left"/>
      <w:lvlText w:val="(%1)"/>
      <w:numFmt w:val="lowerRoman"/>
      <w:start w:val="4"/>
    </w:lvl>
  </w:abstractNum>
  <w:abstractNum w:abstractNumId="222">
    <w:nsid w:val="65BF9DA8"/>
    <w:multiLevelType w:val="hybridMultilevel"/>
    <w:lvl w:ilvl="0">
      <w:lvlJc w:val="left"/>
      <w:lvlText w:val="(%1)"/>
      <w:numFmt w:val="decimal"/>
      <w:start w:val="3"/>
    </w:lvl>
  </w:abstractNum>
  <w:abstractNum w:abstractNumId="223">
    <w:nsid w:val="21A2ECCA"/>
    <w:multiLevelType w:val="hybridMultilevel"/>
    <w:lvl w:ilvl="0">
      <w:lvlJc w:val="left"/>
      <w:lvlText w:val="(%1)"/>
      <w:numFmt w:val="lowerLetter"/>
      <w:start w:val="2"/>
    </w:lvl>
  </w:abstractNum>
  <w:abstractNum w:abstractNumId="224">
    <w:nsid w:val="4D5C4899"/>
    <w:multiLevelType w:val="hybridMultilevel"/>
    <w:lvl w:ilvl="0">
      <w:lvlJc w:val="left"/>
      <w:lvlText w:val="(%1)"/>
      <w:numFmt w:val="lowerLetter"/>
      <w:start w:val="2"/>
    </w:lvl>
  </w:abstractNum>
  <w:abstractNum w:abstractNumId="225">
    <w:nsid w:val="3C3B72B2"/>
    <w:multiLevelType w:val="hybridMultilevel"/>
    <w:lvl w:ilvl="0">
      <w:lvlJc w:val="left"/>
      <w:lvlText w:val="(%1)"/>
      <w:numFmt w:val="lowerRoman"/>
      <w:start w:val="2"/>
    </w:lvl>
  </w:abstractNum>
  <w:abstractNum w:abstractNumId="226">
    <w:nsid w:val="155EC4C2"/>
    <w:multiLevelType w:val="hybridMultilevel"/>
    <w:lvl w:ilvl="0">
      <w:lvlJc w:val="left"/>
      <w:lvlText w:val="(%1)"/>
      <w:numFmt w:val="lowerLetter"/>
      <w:start w:val="1"/>
    </w:lvl>
  </w:abstractNum>
  <w:abstractNum w:abstractNumId="227">
    <w:nsid w:val="65D2A137"/>
    <w:multiLevelType w:val="hybridMultilevel"/>
    <w:lvl w:ilvl="0">
      <w:lvlJc w:val="left"/>
      <w:lvlText w:val="(%1)"/>
      <w:numFmt w:val="decimal"/>
      <w:start w:val="2"/>
    </w:lvl>
  </w:abstractNum>
  <w:abstractNum w:abstractNumId="228">
    <w:nsid w:val="6EBB1F2A"/>
    <w:multiLevelType w:val="hybridMultilevel"/>
    <w:lvl w:ilvl="0">
      <w:lvlJc w:val="left"/>
      <w:lvlText w:val="(%1)"/>
      <w:numFmt w:val="lowerLetter"/>
      <w:start w:val="2"/>
    </w:lvl>
  </w:abstractNum>
  <w:abstractNum w:abstractNumId="229">
    <w:nsid w:val="6FBF29CB"/>
    <w:multiLevelType w:val="hybridMultilevel"/>
    <w:lvl w:ilvl="0">
      <w:lvlJc w:val="left"/>
      <w:lvlText w:val="(%1)"/>
      <w:numFmt w:val="lowerLetter"/>
      <w:start w:val="1"/>
    </w:lvl>
  </w:abstractNum>
  <w:abstractNum w:abstractNumId="230">
    <w:nsid w:val="550B8808"/>
    <w:multiLevelType w:val="hybridMultilevel"/>
    <w:lvl w:ilvl="0">
      <w:lvlJc w:val="left"/>
      <w:lvlText w:val="(%1)"/>
      <w:numFmt w:val="lowerLetter"/>
      <w:start w:val="1"/>
    </w:lvl>
  </w:abstractNum>
  <w:abstractNum w:abstractNumId="231">
    <w:nsid w:val="34CC3ACF"/>
    <w:multiLevelType w:val="hybridMultilevel"/>
    <w:lvl w:ilvl="0">
      <w:lvlJc w:val="left"/>
      <w:lvlText w:val="(%1)"/>
      <w:numFmt w:val="lowerLetter"/>
      <w:start w:val="2"/>
    </w:lvl>
    <w:lvl w:ilvl="1">
      <w:lvlJc w:val="left"/>
      <w:lvlText w:val="(%2)"/>
      <w:numFmt w:val="lowerRoman"/>
      <w:start w:val="1"/>
    </w:lvl>
  </w:abstractNum>
  <w:abstractNum w:abstractNumId="232">
    <w:nsid w:val="4E556261"/>
    <w:multiLevelType w:val="hybridMultilevel"/>
    <w:lvl w:ilvl="0">
      <w:lvlJc w:val="left"/>
      <w:lvlText w:val="(%1)"/>
      <w:numFmt w:val="lowerRoman"/>
      <w:start w:val="4"/>
    </w:lvl>
    <w:lvl w:ilvl="1">
      <w:lvlJc w:val="left"/>
      <w:lvlText w:val="(%2)"/>
      <w:numFmt w:val="lowerLetter"/>
      <w:start w:val="5"/>
    </w:lvl>
  </w:abstractNum>
  <w:abstractNum w:abstractNumId="233">
    <w:nsid w:val="4C672FC9"/>
    <w:multiLevelType w:val="hybridMultilevel"/>
    <w:lvl w:ilvl="0">
      <w:lvlJc w:val="left"/>
      <w:lvlText w:val="(%1)"/>
      <w:numFmt w:val="lowerLetter"/>
      <w:start w:val="1"/>
    </w:lvl>
    <w:lvl w:ilvl="1">
      <w:lvlJc w:val="left"/>
      <w:lvlText w:val="(%2)"/>
      <w:numFmt w:val="lowerLetter"/>
      <w:start w:val="9"/>
    </w:lvl>
  </w:abstractNum>
  <w:abstractNum w:abstractNumId="234">
    <w:nsid w:val="52A311C3"/>
    <w:multiLevelType w:val="hybridMultilevel"/>
    <w:lvl w:ilvl="0">
      <w:lvlJc w:val="left"/>
      <w:lvlText w:val="(%1)"/>
      <w:numFmt w:val="lowerRoman"/>
      <w:start w:val="2"/>
    </w:lvl>
  </w:abstractNum>
  <w:abstractNum w:abstractNumId="235">
    <w:nsid w:val="44EF6B80"/>
    <w:multiLevelType w:val="hybridMultilevel"/>
    <w:lvl w:ilvl="0">
      <w:lvlJc w:val="left"/>
      <w:lvlText w:val="(%1)"/>
      <w:numFmt w:val="lowerLetter"/>
      <w:start w:val="1"/>
    </w:lvl>
  </w:abstractNum>
  <w:abstractNum w:abstractNumId="236">
    <w:nsid w:val="12FCDE5E"/>
    <w:multiLevelType w:val="hybridMultilevel"/>
    <w:lvl w:ilvl="0">
      <w:lvlJc w:val="left"/>
      <w:lvlText w:val="(%1)"/>
      <w:numFmt w:val="lowerLetter"/>
      <w:start w:val="2"/>
    </w:lvl>
  </w:abstractNum>
  <w:abstractNum w:abstractNumId="237">
    <w:nsid w:val="4A1D606E"/>
    <w:multiLevelType w:val="hybridMultilevel"/>
    <w:lvl w:ilvl="0">
      <w:lvlJc w:val="left"/>
      <w:lvlText w:val="(%1)"/>
      <w:numFmt w:val="lowerLetter"/>
      <w:start w:val="3"/>
    </w:lvl>
  </w:abstractNum>
  <w:abstractNum w:abstractNumId="238">
    <w:nsid w:val="4382503"/>
    <w:multiLevelType w:val="hybridMultilevel"/>
    <w:lvl w:ilvl="0">
      <w:lvlJc w:val="left"/>
      <w:lvlText w:val="(%1)"/>
      <w:numFmt w:val="lowerLetter"/>
      <w:start w:val="5"/>
    </w:lvl>
    <w:lvl w:ilvl="1">
      <w:lvlJc w:val="left"/>
      <w:lvlText w:val="(%2)"/>
      <w:numFmt w:val="lowerRoman"/>
      <w:start w:val="1"/>
    </w:lvl>
  </w:abstractNum>
  <w:abstractNum w:abstractNumId="239">
    <w:nsid w:val="59B76E28"/>
    <w:multiLevelType w:val="hybridMultilevel"/>
    <w:lvl w:ilvl="0">
      <w:lvlJc w:val="left"/>
      <w:lvlText w:val="(%1)"/>
      <w:numFmt w:val="lowerLetter"/>
      <w:start w:val="7"/>
    </w:lvl>
  </w:abstractNum>
  <w:abstractNum w:abstractNumId="240">
    <w:nsid w:val="4252C2DA"/>
    <w:multiLevelType w:val="hybridMultilevel"/>
    <w:lvl w:ilvl="0">
      <w:lvlJc w:val="left"/>
      <w:lvlText w:val="(%1)"/>
      <w:numFmt w:val="lowerLetter"/>
      <w:start w:val="1"/>
    </w:lvl>
  </w:abstractNum>
  <w:abstractNum w:abstractNumId="241">
    <w:nsid w:val="6A92EF4C"/>
    <w:multiLevelType w:val="hybridMultilevel"/>
    <w:lvl w:ilvl="0">
      <w:lvlJc w:val="left"/>
      <w:lvlText w:val="(%1)"/>
      <w:numFmt w:val="lowerLetter"/>
      <w:start w:val="3"/>
    </w:lvl>
  </w:abstractNum>
  <w:abstractNum w:abstractNumId="242">
    <w:nsid w:val="41ED20D7"/>
    <w:multiLevelType w:val="hybridMultilevel"/>
    <w:lvl w:ilvl="0">
      <w:lvlJc w:val="left"/>
      <w:lvlText w:val="(%1)"/>
      <w:numFmt w:val="lowerLetter"/>
      <w:start w:val="1"/>
    </w:lvl>
  </w:abstractNum>
  <w:abstractNum w:abstractNumId="243">
    <w:nsid w:val="E6B3F6A"/>
    <w:multiLevelType w:val="hybridMultilevel"/>
    <w:lvl w:ilvl="0">
      <w:lvlJc w:val="left"/>
      <w:lvlText w:val="%1"/>
      <w:numFmt w:val="lowerLetter"/>
      <w:start w:val="1"/>
    </w:lvl>
    <w:lvl w:ilvl="1">
      <w:lvlJc w:val="left"/>
      <w:lvlText w:val="(%2)"/>
      <w:numFmt w:val="lowerRoman"/>
      <w:start w:val="1"/>
    </w:lvl>
  </w:abstractNum>
  <w:abstractNum w:abstractNumId="244">
    <w:nsid w:val="3EB21819"/>
    <w:multiLevelType w:val="hybridMultilevel"/>
    <w:lvl w:ilvl="0">
      <w:lvlJc w:val="left"/>
      <w:lvlText w:val="(%1)"/>
      <w:numFmt w:val="lowerLetter"/>
      <w:start w:val="3"/>
    </w:lvl>
    <w:lvl w:ilvl="1">
      <w:lvlJc w:val="left"/>
      <w:lvlText w:val="(%2)"/>
      <w:numFmt w:val="lowerRoman"/>
      <w:start w:val="1"/>
    </w:lvl>
  </w:abstractNum>
  <w:abstractNum w:abstractNumId="245">
    <w:nsid w:val="41531DED"/>
    <w:multiLevelType w:val="hybridMultilevel"/>
    <w:lvl w:ilvl="0">
      <w:lvlJc w:val="left"/>
      <w:lvlText w:val="%1"/>
      <w:numFmt w:val="lowerRoman"/>
      <w:start w:val="1"/>
    </w:lvl>
    <w:lvl w:ilvl="1">
      <w:lvlJc w:val="left"/>
      <w:lvlText w:val="(%2)"/>
      <w:numFmt w:val="lowerRoman"/>
      <w:start w:val="2"/>
    </w:lvl>
  </w:abstractNum>
  <w:abstractNum w:abstractNumId="246">
    <w:nsid w:val="6353CD2"/>
    <w:multiLevelType w:val="hybridMultilevel"/>
    <w:lvl w:ilvl="0">
      <w:lvlJc w:val="left"/>
      <w:lvlText w:val="(%1)"/>
      <w:numFmt w:val="lowerRoman"/>
      <w:start w:val="10"/>
    </w:lvl>
    <w:lvl w:ilvl="1">
      <w:lvlJc w:val="left"/>
      <w:lvlText w:val="(%2)"/>
      <w:numFmt w:val="lowerRoman"/>
      <w:start w:val="5"/>
    </w:lvl>
  </w:abstractNum>
  <w:abstractNum w:abstractNumId="247">
    <w:nsid w:val="683CAAD3"/>
    <w:multiLevelType w:val="hybridMultilevel"/>
    <w:lvl w:ilvl="0">
      <w:lvlJc w:val="left"/>
      <w:lvlText w:val="(%1)"/>
      <w:numFmt w:val="lowerRoman"/>
      <w:start w:val="7"/>
    </w:lvl>
  </w:abstractNum>
  <w:abstractNum w:abstractNumId="248">
    <w:nsid w:val="313C7C99"/>
    <w:multiLevelType w:val="hybridMultilevel"/>
    <w:lvl w:ilvl="0">
      <w:lvlJc w:val="left"/>
      <w:lvlText w:val="(%1)"/>
      <w:numFmt w:val="lowerLetter"/>
      <w:start w:val="4"/>
    </w:lvl>
  </w:abstractNum>
  <w:abstractNum w:abstractNumId="249">
    <w:nsid w:val="519EB94C"/>
    <w:multiLevelType w:val="hybridMultilevel"/>
    <w:lvl w:ilvl="0">
      <w:lvlJc w:val="left"/>
      <w:lvlText w:val="(%1)"/>
      <w:numFmt w:val="lowerLetter"/>
      <w:start w:val="6"/>
    </w:lvl>
  </w:abstractNum>
  <w:abstractNum w:abstractNumId="250">
    <w:nsid w:val="39DF2579"/>
    <w:multiLevelType w:val="hybridMultilevel"/>
    <w:lvl w:ilvl="0">
      <w:lvlJc w:val="left"/>
      <w:lvlText w:val="%1"/>
      <w:numFmt w:val="lowerLetter"/>
      <w:start w:val="1"/>
    </w:lvl>
    <w:lvl w:ilvl="1">
      <w:lvlJc w:val="left"/>
      <w:lvlText w:val="(%2)"/>
      <w:numFmt w:val="lowerLetter"/>
      <w:start w:val="1"/>
    </w:lvl>
  </w:abstractNum>
  <w:abstractNum w:abstractNumId="251">
    <w:nsid w:val="126E008B"/>
    <w:multiLevelType w:val="hybridMultilevel"/>
    <w:lvl w:ilvl="0">
      <w:lvlJc w:val="left"/>
      <w:lvlText w:val="(%1)"/>
      <w:numFmt w:val="lowerLetter"/>
      <w:start w:val="9"/>
    </w:lvl>
    <w:lvl w:ilvl="1">
      <w:lvlJc w:val="left"/>
      <w:lvlText w:val="(%2)"/>
      <w:numFmt w:val="lowerLetter"/>
      <w:start w:val="2"/>
    </w:lvl>
  </w:abstractNum>
  <w:abstractNum w:abstractNumId="252">
    <w:nsid w:val="34DFBC00"/>
    <w:multiLevelType w:val="hybridMultilevel"/>
    <w:lvl w:ilvl="0">
      <w:lvlJc w:val="left"/>
      <w:lvlText w:val="(%1)"/>
      <w:numFmt w:val="lowerLetter"/>
      <w:start w:val="3"/>
    </w:lvl>
    <w:lvl w:ilvl="1">
      <w:lvlJc w:val="left"/>
      <w:lvlText w:val="(%2)"/>
      <w:numFmt w:val="lowerRoman"/>
      <w:start w:val="1"/>
    </w:lvl>
  </w:abstractNum>
  <w:abstractNum w:abstractNumId="253">
    <w:nsid w:val="1F9EC322"/>
    <w:multiLevelType w:val="hybridMultilevel"/>
    <w:lvl w:ilvl="0">
      <w:lvlJc w:val="left"/>
      <w:lvlText w:val="(%1)"/>
      <w:numFmt w:val="upperLetter"/>
      <w:start w:val="1"/>
    </w:lvl>
  </w:abstractNum>
  <w:abstractNum w:abstractNumId="254">
    <w:nsid w:val="3410ED56"/>
    <w:multiLevelType w:val="hybridMultilevel"/>
    <w:lvl w:ilvl="0">
      <w:lvlJc w:val="left"/>
      <w:lvlText w:val="%1"/>
      <w:numFmt w:val="lowerLetter"/>
      <w:start w:val="1"/>
    </w:lvl>
    <w:lvl w:ilvl="1">
      <w:lvlJc w:val="left"/>
      <w:lvlText w:val="(%2)"/>
      <w:numFmt w:val="upperLetter"/>
      <w:start w:val="2"/>
    </w:lvl>
  </w:abstractNum>
  <w:abstractNum w:abstractNumId="255">
    <w:nsid w:val="23C049A"/>
    <w:multiLevelType w:val="hybridMultilevel"/>
    <w:lvl w:ilvl="0">
      <w:lvlJc w:val="left"/>
      <w:lvlText w:val="(%1)"/>
      <w:numFmt w:val="lowerLetter"/>
      <w:start w:val="4"/>
    </w:lvl>
    <w:lvl w:ilvl="1">
      <w:lvlJc w:val="left"/>
      <w:lvlText w:val="%2"/>
      <w:numFmt w:val="upperLetter"/>
      <w:start w:val="1"/>
    </w:lvl>
  </w:abstractNum>
  <w:abstractNum w:abstractNumId="256">
    <w:nsid w:val="5BDA35D4"/>
    <w:multiLevelType w:val="hybridMultilevel"/>
    <w:lvl w:ilvl="0">
      <w:lvlJc w:val="left"/>
      <w:lvlText w:val="(%1)"/>
      <w:numFmt w:val="lowerLetter"/>
      <w:start w:val="5"/>
    </w:lvl>
  </w:abstractNum>
  <w:abstractNum w:abstractNumId="257">
    <w:nsid w:val="496FB218"/>
    <w:multiLevelType w:val="hybridMultilevel"/>
    <w:lvl w:ilvl="0">
      <w:lvlJc w:val="left"/>
      <w:lvlText w:val="(%1)"/>
      <w:numFmt w:val="lowerLetter"/>
      <w:start w:val="8"/>
    </w:lvl>
    <w:lvl w:ilvl="1">
      <w:lvlJc w:val="left"/>
      <w:lvlText w:val="(%2)"/>
      <w:numFmt w:val="lowerLetter"/>
      <w:start w:val="9"/>
    </w:lvl>
  </w:abstractNum>
  <w:abstractNum w:abstractNumId="258">
    <w:nsid w:val="680EA5D1"/>
    <w:multiLevelType w:val="hybridMultilevel"/>
    <w:lvl w:ilvl="0">
      <w:lvlJc w:val="left"/>
      <w:lvlText w:val="(%1)"/>
      <w:numFmt w:val="upperLetter"/>
      <w:start w:val="1"/>
    </w:lvl>
  </w:abstractNum>
  <w:abstractNum w:abstractNumId="259">
    <w:nsid w:val="4A9554FE"/>
    <w:multiLevelType w:val="hybridMultilevel"/>
    <w:lvl w:ilvl="0">
      <w:lvlJc w:val="left"/>
      <w:lvlText w:val="(%1)"/>
      <w:numFmt w:val="lowerRoman"/>
      <w:start w:val="2"/>
    </w:lvl>
  </w:abstractNum>
  <w:abstractNum w:abstractNumId="260">
    <w:nsid w:val="392EDBE4"/>
    <w:multiLevelType w:val="hybridMultilevel"/>
    <w:lvl w:ilvl="0">
      <w:lvlJc w:val="left"/>
      <w:lvlText w:val="(%1)"/>
      <w:numFmt w:val="lowerRoman"/>
      <w:start w:val="3"/>
    </w:lvl>
  </w:abstractNum>
  <w:abstractNum w:abstractNumId="261">
    <w:nsid w:val="3D1A2DD9"/>
    <w:multiLevelType w:val="hybridMultilevel"/>
    <w:lvl w:ilvl="0">
      <w:lvlJc w:val="left"/>
      <w:lvlText w:val="(%1)"/>
      <w:numFmt w:val="lowerRoman"/>
      <w:start w:val="4"/>
    </w:lvl>
    <w:lvl w:ilvl="1">
      <w:lvlJc w:val="left"/>
      <w:lvlText w:val="(%2)"/>
      <w:numFmt w:val="lowerLetter"/>
      <w:start w:val="10"/>
    </w:lvl>
    <w:lvl w:ilvl="2">
      <w:lvlJc w:val="left"/>
      <w:lvlText w:val="(%3)"/>
      <w:numFmt w:val="lowerRoman"/>
      <w:start w:val="1"/>
    </w:lvl>
  </w:abstractNum>
  <w:abstractNum w:abstractNumId="262">
    <w:nsid w:val="7F618FCD"/>
    <w:multiLevelType w:val="hybridMultilevel"/>
    <w:lvl w:ilvl="0">
      <w:lvlJc w:val="left"/>
      <w:lvlText w:val="(%1)"/>
      <w:numFmt w:val="lowerRoman"/>
      <w:start w:val="3"/>
    </w:lvl>
  </w:abstractNum>
  <w:abstractNum w:abstractNumId="263">
    <w:nsid w:val="7843E45"/>
    <w:multiLevelType w:val="hybridMultilevel"/>
    <w:lvl w:ilvl="0">
      <w:lvlJc w:val="left"/>
      <w:lvlText w:val="(%1)"/>
      <w:numFmt w:val="lowerLetter"/>
      <w:start w:val="1"/>
    </w:lvl>
  </w:abstractNum>
  <w:abstractNum w:abstractNumId="264">
    <w:nsid w:val="9815DA3"/>
    <w:multiLevelType w:val="hybridMultilevel"/>
    <w:lvl w:ilvl="0">
      <w:lvlJc w:val="left"/>
      <w:lvlText w:val="(%1)"/>
      <w:numFmt w:val="lowerLetter"/>
      <w:start w:val="1"/>
    </w:lvl>
    <w:lvl w:ilvl="1">
      <w:lvlJc w:val="left"/>
      <w:lvlText w:val="(%2)"/>
      <w:numFmt w:val="lowerRoman"/>
      <w:start w:val="1"/>
    </w:lvl>
  </w:abstractNum>
  <w:abstractNum w:abstractNumId="265">
    <w:nsid w:val="5204A191"/>
    <w:multiLevelType w:val="hybridMultilevel"/>
    <w:lvl w:ilvl="0">
      <w:lvlJc w:val="left"/>
      <w:lvlText w:val="(%1)"/>
      <w:numFmt w:val="lowerLetter"/>
      <w:start w:val="1"/>
    </w:lvl>
  </w:abstractNum>
  <w:abstractNum w:abstractNumId="266">
    <w:nsid w:val="4C73A9C6"/>
    <w:multiLevelType w:val="hybridMultilevel"/>
    <w:lvl w:ilvl="0">
      <w:lvlJc w:val="left"/>
      <w:lvlText w:val="(%1)"/>
      <w:numFmt w:val="lowerRoman"/>
      <w:start w:val="4"/>
    </w:lvl>
  </w:abstractNum>
  <w:abstractNum w:abstractNumId="267">
    <w:nsid w:val="1C7E3C01"/>
    <w:multiLevelType w:val="hybridMultilevel"/>
    <w:lvl w:ilvl="0">
      <w:lvlJc w:val="left"/>
      <w:lvlText w:val="(%1)"/>
      <w:numFmt w:val="lowerLetter"/>
      <w:start w:val="2"/>
    </w:lvl>
  </w:abstractNum>
  <w:abstractNum w:abstractNumId="268">
    <w:nsid w:val="1C2201FF"/>
    <w:multiLevelType w:val="hybridMultilevel"/>
    <w:lvl w:ilvl="0">
      <w:lvlJc w:val="left"/>
      <w:lvlText w:val="(%1)"/>
      <w:numFmt w:val="lowerRoman"/>
      <w:start w:val="11"/>
    </w:lvl>
  </w:abstractNum>
  <w:abstractNum w:abstractNumId="269">
    <w:nsid w:val="50ABCEC9"/>
    <w:multiLevelType w:val="hybridMultilevel"/>
    <w:lvl w:ilvl="0">
      <w:lvlJc w:val="left"/>
      <w:lvlText w:val="(%1)"/>
      <w:numFmt w:val="lowerLetter"/>
      <w:start w:val="1"/>
    </w:lvl>
  </w:abstractNum>
  <w:abstractNum w:abstractNumId="270">
    <w:nsid w:val="7635AA2A"/>
    <w:multiLevelType w:val="hybridMultilevel"/>
    <w:lvl w:ilvl="0">
      <w:lvlJc w:val="left"/>
      <w:lvlText w:val="(%1)"/>
      <w:numFmt w:val="lowerRoman"/>
      <w:start w:val="1"/>
    </w:lvl>
  </w:abstractNum>
  <w:abstractNum w:abstractNumId="271">
    <w:nsid w:val="5E74C4D9"/>
    <w:multiLevelType w:val="hybridMultilevel"/>
    <w:lvl w:ilvl="0">
      <w:lvlJc w:val="left"/>
      <w:lvlText w:val="(%1)"/>
      <w:numFmt w:val="lowerRoman"/>
      <w:start w:val="10"/>
    </w:lvl>
    <w:lvl w:ilvl="1">
      <w:lvlJc w:val="left"/>
      <w:lvlText w:val="(%2)"/>
      <w:numFmt w:val="lowerRoman"/>
      <w:start w:val="3"/>
    </w:lvl>
  </w:abstractNum>
  <w:abstractNum w:abstractNumId="272">
    <w:nsid w:val="3B3EBE15"/>
    <w:multiLevelType w:val="hybridMultilevel"/>
    <w:lvl w:ilvl="0">
      <w:lvlJc w:val="left"/>
      <w:lvlText w:val="%1"/>
      <w:numFmt w:val="lowerLetter"/>
      <w:start w:val="1"/>
    </w:lvl>
    <w:lvl w:ilvl="1">
      <w:lvlJc w:val="left"/>
      <w:lvlText w:val="(%2)"/>
      <w:numFmt w:val="lowerRoman"/>
      <w:start w:val="10"/>
    </w:lvl>
  </w:abstractNum>
  <w:abstractNum w:abstractNumId="273">
    <w:nsid w:val="3822CB01"/>
    <w:multiLevelType w:val="hybridMultilevel"/>
    <w:lvl w:ilvl="0">
      <w:lvlJc w:val="left"/>
      <w:lvlText w:val="(%1)"/>
      <w:numFmt w:val="lowerLetter"/>
      <w:start w:val="2"/>
    </w:lvl>
    <w:lvl w:ilvl="1">
      <w:lvlJc w:val="left"/>
      <w:lvlText w:val="(%2)"/>
      <w:numFmt w:val="lowerRoman"/>
      <w:start w:val="1"/>
    </w:lvl>
  </w:abstractNum>
  <w:abstractNum w:abstractNumId="274">
    <w:nsid w:val="6CE00443"/>
    <w:multiLevelType w:val="hybridMultilevel"/>
    <w:lvl w:ilvl="0">
      <w:lvlJc w:val="left"/>
      <w:lvlText w:val="%1"/>
      <w:numFmt w:val="lowerLetter"/>
      <w:start w:val="1"/>
    </w:lvl>
    <w:lvl w:ilvl="1">
      <w:lvlJc w:val="left"/>
      <w:lvlText w:val="(%2)"/>
      <w:numFmt w:val="lowerRoman"/>
      <w:start w:val="1"/>
    </w:lvl>
  </w:abstractNum>
  <w:abstractNum w:abstractNumId="275">
    <w:nsid w:val="79F0D62F"/>
    <w:multiLevelType w:val="hybridMultilevel"/>
    <w:lvl w:ilvl="0">
      <w:lvlJc w:val="left"/>
      <w:lvlText w:val="(%1)"/>
      <w:numFmt w:val="lowerLetter"/>
      <w:start w:val="2"/>
    </w:lvl>
    <w:lvl w:ilvl="1">
      <w:lvlJc w:val="left"/>
      <w:lvlText w:val="(%2)"/>
      <w:numFmt w:val="lowerRoman"/>
      <w:start w:val="1"/>
    </w:lvl>
  </w:abstractNum>
  <w:abstractNum w:abstractNumId="276">
    <w:nsid w:val="7975E8EE"/>
    <w:multiLevelType w:val="hybridMultilevel"/>
    <w:lvl w:ilvl="0">
      <w:lvlJc w:val="left"/>
      <w:lvlText w:val="%1"/>
      <w:numFmt w:val="lowerLetter"/>
      <w:start w:val="1"/>
    </w:lvl>
    <w:lvl w:ilvl="1">
      <w:lvlJc w:val="left"/>
      <w:lvlText w:val="(%2)"/>
      <w:numFmt w:val="lowerLetter"/>
      <w:start w:val="22"/>
    </w:lvl>
  </w:abstractNum>
  <w:abstractNum w:abstractNumId="277">
    <w:nsid w:val="73154115"/>
    <w:multiLevelType w:val="hybridMultilevel"/>
    <w:lvl w:ilvl="0">
      <w:lvlJc w:val="left"/>
      <w:lvlText w:val="(%1)"/>
      <w:numFmt w:val="lowerLetter"/>
      <w:start w:val="3"/>
    </w:lvl>
    <w:lvl w:ilvl="1">
      <w:lvlJc w:val="left"/>
      <w:lvlText w:val="%2"/>
      <w:numFmt w:val="lowerLetter"/>
      <w:start w:val="1"/>
    </w:lvl>
  </w:abstractNum>
  <w:abstractNum w:abstractNumId="278">
    <w:nsid w:val="622D8102"/>
    <w:multiLevelType w:val="hybridMultilevel"/>
    <w:lvl w:ilvl="0">
      <w:lvlJc w:val="left"/>
      <w:lvlText w:val="(%1)"/>
      <w:numFmt w:val="lowerLetter"/>
      <w:start w:val="1"/>
    </w:lvl>
  </w:abstractNum>
  <w:abstractNum w:abstractNumId="279">
    <w:nsid w:val="2AB26587"/>
    <w:multiLevelType w:val="hybridMultilevel"/>
    <w:lvl w:ilvl="0">
      <w:lvlJc w:val="left"/>
      <w:lvlText w:val="%1"/>
      <w:numFmt w:val="lowerLetter"/>
      <w:start w:val="1"/>
    </w:lvl>
    <w:lvl w:ilvl="1">
      <w:lvlJc w:val="left"/>
      <w:lvlText w:val="(%2)"/>
      <w:numFmt w:val="lowerRoman"/>
      <w:start w:val="1"/>
    </w:lvl>
  </w:abstractNum>
  <w:abstractNum w:abstractNumId="280">
    <w:nsid w:val="44B3FA61"/>
    <w:multiLevelType w:val="hybridMultilevel"/>
    <w:lvl w:ilvl="0">
      <w:lvlJc w:val="left"/>
      <w:lvlText w:val="(%1)"/>
      <w:numFmt w:val="lowerLetter"/>
      <w:start w:val="2"/>
    </w:lvl>
    <w:lvl w:ilvl="1">
      <w:lvlJc w:val="left"/>
      <w:lvlText w:val="%2"/>
      <w:numFmt w:val="lowerRoman"/>
      <w:start w:val="1"/>
    </w:lvl>
  </w:abstractNum>
  <w:abstractNum w:abstractNumId="281">
    <w:nsid w:val="1C0CA67C"/>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282">
    <w:nsid w:val="3D206613"/>
    <w:multiLevelType w:val="hybridMultilevel"/>
    <w:lvl w:ilvl="0">
      <w:lvlJc w:val="left"/>
      <w:lvlText w:val="(%1)"/>
      <w:numFmt w:val="decimal"/>
      <w:start w:val="2"/>
    </w:lvl>
  </w:abstractNum>
  <w:abstractNum w:abstractNumId="283">
    <w:nsid w:val="7993B662"/>
    <w:multiLevelType w:val="hybridMultilevel"/>
    <w:lvl w:ilvl="0">
      <w:lvlJc w:val="left"/>
      <w:lvlText w:val="(%1)"/>
      <w:numFmt w:val="lowerLetter"/>
      <w:start w:val="1"/>
    </w:lvl>
    <w:lvl w:ilvl="1">
      <w:lvlJc w:val="left"/>
      <w:lvlText w:val="(%2)"/>
      <w:numFmt w:val="lowerRoman"/>
      <w:start w:val="1"/>
    </w:lvl>
  </w:abstractNum>
  <w:abstractNum w:abstractNumId="284">
    <w:nsid w:val="3BAB699E"/>
    <w:multiLevelType w:val="hybridMultilevel"/>
    <w:lvl w:ilvl="0">
      <w:lvlJc w:val="left"/>
      <w:lvlText w:val="%1"/>
      <w:numFmt w:val="lowerLetter"/>
      <w:start w:val="1"/>
    </w:lvl>
    <w:lvl w:ilvl="1">
      <w:lvlJc w:val="left"/>
      <w:lvlText w:val="(%2)"/>
      <w:numFmt w:val="lowerLetter"/>
      <w:start w:val="22"/>
    </w:lvl>
  </w:abstractNum>
  <w:abstractNum w:abstractNumId="285">
    <w:nsid w:val="71315369"/>
    <w:multiLevelType w:val="hybridMultilevel"/>
    <w:lvl w:ilvl="0">
      <w:lvlJc w:val="left"/>
      <w:lvlText w:val="(%1)"/>
      <w:numFmt w:val="lowerLetter"/>
      <w:start w:val="2"/>
    </w:lvl>
    <w:lvl w:ilvl="1">
      <w:lvlJc w:val="left"/>
      <w:lvlText w:val="(%2)"/>
      <w:numFmt w:val="lowerLetter"/>
      <w:start w:val="9"/>
    </w:lvl>
  </w:abstractNum>
  <w:abstractNum w:abstractNumId="286">
    <w:nsid w:val="7BCFBAFC"/>
    <w:multiLevelType w:val="hybridMultilevel"/>
    <w:lvl w:ilvl="0">
      <w:lvlJc w:val="left"/>
      <w:lvlText w:val="(%1)"/>
      <w:numFmt w:val="lowerRoman"/>
      <w:start w:val="2"/>
    </w:lvl>
  </w:abstractNum>
  <w:abstractNum w:abstractNumId="287">
    <w:nsid w:val="17859F72"/>
    <w:multiLevelType w:val="hybridMultilevel"/>
    <w:lvl w:ilvl="0">
      <w:lvlJc w:val="left"/>
      <w:lvlText w:val="(%1)"/>
      <w:numFmt w:val="lowerLetter"/>
      <w:start w:val="1"/>
    </w:lvl>
  </w:abstractNum>
  <w:abstractNum w:abstractNumId="288">
    <w:nsid w:val="3AA10581"/>
    <w:multiLevelType w:val="hybridMultilevel"/>
    <w:lvl w:ilvl="0">
      <w:lvlJc w:val="left"/>
      <w:lvlText w:val="(%1)"/>
      <w:numFmt w:val="lowerLetter"/>
      <w:start w:val="2"/>
    </w:lvl>
  </w:abstractNum>
  <w:abstractNum w:abstractNumId="289">
    <w:nsid w:val="63DE60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0">
    <w:nsid w:val="621AF47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91">
    <w:nsid w:val="73CFE165"/>
    <w:multiLevelType w:val="hybridMultilevel"/>
    <w:lvl w:ilvl="0">
      <w:lvlJc w:val="left"/>
      <w:lvlText w:val="(%1)"/>
      <w:numFmt w:val="lowerLetter"/>
      <w:start w:val="1"/>
    </w:lvl>
    <w:lvl w:ilvl="1">
      <w:lvlJc w:val="left"/>
      <w:lvlText w:val="(%2)"/>
      <w:numFmt w:val="lowerLetter"/>
      <w:start w:val="9"/>
    </w:lvl>
  </w:abstractNum>
  <w:abstractNum w:abstractNumId="292">
    <w:nsid w:val="20F88EA6"/>
    <w:multiLevelType w:val="hybridMultilevel"/>
    <w:lvl w:ilvl="0">
      <w:lvlJc w:val="left"/>
      <w:lvlText w:val="(%1)"/>
      <w:numFmt w:val="lowerLetter"/>
      <w:start w:val="1"/>
    </w:lvl>
    <w:lvl w:ilvl="1">
      <w:lvlJc w:val="left"/>
      <w:lvlText w:val="(%2)"/>
      <w:numFmt w:val="lowerRoman"/>
      <w:start w:val="1"/>
    </w:lvl>
  </w:abstractNum>
  <w:abstractNum w:abstractNumId="293">
    <w:nsid w:val="617C843E"/>
    <w:multiLevelType w:val="hybridMultilevel"/>
    <w:lvl w:ilvl="0">
      <w:lvlJc w:val="left"/>
      <w:lvlText w:val="(%1)"/>
      <w:numFmt w:val="lowerRoman"/>
      <w:start w:val="4"/>
    </w:lvl>
  </w:abstractNum>
  <w:abstractNum w:abstractNumId="294">
    <w:nsid w:val="7B541FAB"/>
    <w:multiLevelType w:val="hybridMultilevel"/>
    <w:lvl w:ilvl="0">
      <w:lvlJc w:val="left"/>
      <w:lvlText w:val="(%1)"/>
      <w:numFmt w:val="lowerLetter"/>
      <w:start w:val="2"/>
    </w:lvl>
    <w:lvl w:ilvl="1">
      <w:lvlJc w:val="left"/>
      <w:lvlText w:val="(%2)"/>
      <w:numFmt w:val="lowerRoman"/>
      <w:start w:val="1"/>
    </w:lvl>
  </w:abstractNum>
  <w:abstractNum w:abstractNumId="295">
    <w:nsid w:val="2A79EC49"/>
    <w:multiLevelType w:val="hybridMultilevel"/>
    <w:lvl w:ilvl="0">
      <w:lvlJc w:val="left"/>
      <w:lvlText w:val="(%1)"/>
      <w:numFmt w:val="lowerRoman"/>
      <w:start w:val="7"/>
    </w:lvl>
  </w:abstractNum>
  <w:abstractNum w:abstractNumId="296">
    <w:nsid w:val="338125CF"/>
    <w:multiLevelType w:val="hybridMultilevel"/>
    <w:lvl w:ilvl="0">
      <w:lvlJc w:val="left"/>
      <w:lvlText w:val="(%1)"/>
      <w:numFmt w:val="lowerLetter"/>
      <w:start w:val="1"/>
    </w:lvl>
  </w:abstractNum>
  <w:abstractNum w:abstractNumId="297">
    <w:nsid w:val="47C7C971"/>
    <w:multiLevelType w:val="hybridMultilevel"/>
    <w:lvl w:ilvl="0">
      <w:lvlJc w:val="left"/>
      <w:lvlText w:val="(%1)"/>
      <w:numFmt w:val="lowerLetter"/>
      <w:start w:val="1"/>
    </w:lvl>
    <w:lvl w:ilvl="1">
      <w:lvlJc w:val="left"/>
      <w:lvlText w:val="(%2)"/>
      <w:numFmt w:val="lowerRoman"/>
      <w:start w:val="1"/>
    </w:lvl>
  </w:abstractNum>
  <w:abstractNum w:abstractNumId="298">
    <w:nsid w:val="46F8284B"/>
    <w:multiLevelType w:val="hybridMultilevel"/>
    <w:lvl w:ilvl="0">
      <w:lvlJc w:val="left"/>
      <w:lvlText w:val="(%1)"/>
      <w:numFmt w:val="lowerLetter"/>
      <w:start w:val="2"/>
    </w:lvl>
  </w:abstractNum>
  <w:abstractNum w:abstractNumId="299">
    <w:nsid w:val="4FA327CE"/>
    <w:multiLevelType w:val="hybridMultilevel"/>
    <w:lvl w:ilvl="0">
      <w:lvlJc w:val="left"/>
      <w:lvlText w:val="(%1)"/>
      <w:numFmt w:val="lowerLetter"/>
      <w:start w:val="1"/>
    </w:lvl>
  </w:abstractNum>
  <w:abstractNum w:abstractNumId="300">
    <w:nsid w:val="1873983A"/>
    <w:multiLevelType w:val="hybridMultilevel"/>
    <w:lvl w:ilvl="0">
      <w:lvlJc w:val="left"/>
      <w:lvlText w:val="(%1)"/>
      <w:numFmt w:val="lowerLetter"/>
      <w:start w:val="7"/>
    </w:lvl>
  </w:abstractNum>
  <w:abstractNum w:abstractNumId="301">
    <w:nsid w:val="3D2DD275"/>
    <w:multiLevelType w:val="hybridMultilevel"/>
    <w:lvl w:ilvl="0">
      <w:lvlJc w:val="left"/>
      <w:lvlText w:val="(%1)"/>
      <w:numFmt w:val="lowerLetter"/>
      <w:start w:val="1"/>
    </w:lvl>
  </w:abstractNum>
  <w:abstractNum w:abstractNumId="302">
    <w:nsid w:val="2E17ECA7"/>
    <w:multiLevelType w:val="hybridMultilevel"/>
    <w:lvl w:ilvl="0">
      <w:lvlJc w:val="left"/>
      <w:lvlText w:val="%1"/>
      <w:numFmt w:val="lowerLetter"/>
      <w:start w:val="1"/>
    </w:lvl>
    <w:lvl w:ilvl="1">
      <w:lvlJc w:val="left"/>
      <w:lvlText w:val="(%2)"/>
      <w:numFmt w:val="lowerRoman"/>
      <w:start w:val="1"/>
    </w:lvl>
  </w:abstractNum>
  <w:abstractNum w:abstractNumId="303">
    <w:nsid w:val="53B2564F"/>
    <w:multiLevelType w:val="hybridMultilevel"/>
    <w:lvl w:ilvl="0">
      <w:lvlJc w:val="left"/>
      <w:lvlText w:val="(%1)"/>
      <w:numFmt w:val="lowerLetter"/>
      <w:start w:val="2"/>
    </w:lvl>
    <w:lvl w:ilvl="1">
      <w:lvlJc w:val="left"/>
      <w:lvlText w:val="%2"/>
      <w:numFmt w:val="lowerRoman"/>
      <w:start w:val="1"/>
    </w:lvl>
  </w:abstractNum>
  <w:abstractNum w:abstractNumId="304">
    <w:nsid w:val="75509D76"/>
    <w:multiLevelType w:val="hybridMultilevel"/>
    <w:lvl w:ilvl="0">
      <w:lvlJc w:val="left"/>
      <w:lvlText w:val="(%1)"/>
      <w:numFmt w:val="lowerLetter"/>
      <w:start w:val="3"/>
    </w:lvl>
  </w:abstractNum>
  <w:abstractNum w:abstractNumId="305">
    <w:nsid w:val="1AF7F0EA"/>
    <w:multiLevelType w:val="hybridMultilevel"/>
    <w:lvl w:ilvl="0">
      <w:lvlJc w:val="left"/>
      <w:lvlText w:val="(%1)"/>
      <w:numFmt w:val="lowerLetter"/>
      <w:start w:val="1"/>
    </w:lvl>
  </w:abstractNum>
  <w:abstractNum w:abstractNumId="306">
    <w:nsid w:val="4DA32C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2025-08-04T15:48:56Z</dcterms:created>
  <dcterms:modified xsi:type="dcterms:W3CDTF">2025-08-04T15:48:56Z</dcterms:modified>
</cp:coreProperties>
</file>