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15,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 I Acquisitions,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8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3"/>
              </w:rPr>
              <w:t>Delaware</w:t>
            </w:r>
          </w:p>
        </w:tc>
        <w:tc>
          <w:tcPr>
            <w:tcW w:w="304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001-37872</w:t>
            </w:r>
          </w:p>
        </w:tc>
        <w:tc>
          <w:tcPr>
            <w:tcW w:w="3860" w:type="dxa"/>
            <w:vAlign w:val="bottom"/>
            <w:gridSpan w:val="2"/>
          </w:tcPr>
          <w:p>
            <w:pPr>
              <w:jc w:val="right"/>
              <w:ind w:right="133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900" w:type="dxa"/>
            <w:vAlign w:val="bottom"/>
            <w:gridSpan w:val="2"/>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3"/>
          </w:tcPr>
          <w:p>
            <w:pPr>
              <w:jc w:val="center"/>
              <w:ind w:right="580"/>
              <w:spacing w:after="0"/>
              <w:rPr>
                <w:sz w:val="20"/>
                <w:szCs w:val="20"/>
                <w:color w:val="auto"/>
              </w:rPr>
            </w:pPr>
            <w:r>
              <w:rPr>
                <w:rFonts w:ascii="Arial" w:cs="Arial" w:eastAsia="Arial" w:hAnsi="Arial"/>
                <w:sz w:val="18"/>
                <w:szCs w:val="18"/>
                <w:color w:val="auto"/>
                <w:w w:val="92"/>
              </w:rPr>
              <w:t>(Commission File Number)</w:t>
            </w:r>
          </w:p>
        </w:tc>
        <w:tc>
          <w:tcPr>
            <w:tcW w:w="140" w:type="dxa"/>
            <w:vAlign w:val="bottom"/>
          </w:tcPr>
          <w:p>
            <w:pPr>
              <w:spacing w:after="0"/>
              <w:rPr>
                <w:sz w:val="19"/>
                <w:szCs w:val="19"/>
                <w:color w:val="auto"/>
              </w:rPr>
            </w:pPr>
          </w:p>
        </w:tc>
        <w:tc>
          <w:tcPr>
            <w:tcW w:w="372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(I.R.S. Employer Identification No.)</w:t>
            </w:r>
          </w:p>
        </w:tc>
        <w:tc>
          <w:tcPr>
            <w:tcW w:w="2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48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2"/>
              </w:rPr>
              <w:t>c/o Magna Management LLC</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2"/>
              </w:rPr>
              <w:t>40 Wall Street, 58th Floor</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3"/>
              </w:rPr>
              <w:t>New York, NY</w:t>
            </w:r>
          </w:p>
        </w:tc>
        <w:tc>
          <w:tcPr>
            <w:tcW w:w="1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2"/>
          </w:tcPr>
          <w:p>
            <w:pPr>
              <w:jc w:val="right"/>
              <w:ind w:right="2470"/>
              <w:spacing w:after="0"/>
              <w:rPr>
                <w:sz w:val="20"/>
                <w:szCs w:val="20"/>
                <w:color w:val="auto"/>
              </w:rPr>
            </w:pPr>
            <w:r>
              <w:rPr>
                <w:rFonts w:ascii="Arial" w:cs="Arial" w:eastAsia="Arial" w:hAnsi="Arial"/>
                <w:sz w:val="18"/>
                <w:szCs w:val="18"/>
                <w:b w:val="1"/>
                <w:bCs w:val="1"/>
                <w:color w:val="auto"/>
              </w:rPr>
              <w:t>10005</w:t>
            </w:r>
          </w:p>
        </w:tc>
        <w:tc>
          <w:tcPr>
            <w:tcW w:w="20" w:type="dxa"/>
            <w:vAlign w:val="bottom"/>
            <w:tcBorders>
              <w:bottom w:val="single" w:sz="8" w:color="auto"/>
            </w:tcBorders>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48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tcPr>
          <w:p>
            <w:pPr>
              <w:ind w:left="540"/>
              <w:spacing w:after="0"/>
              <w:rPr>
                <w:sz w:val="20"/>
                <w:szCs w:val="20"/>
                <w:color w:val="auto"/>
              </w:rPr>
            </w:pPr>
            <w:r>
              <w:rPr>
                <w:rFonts w:ascii="Arial" w:cs="Arial" w:eastAsia="Arial" w:hAnsi="Arial"/>
                <w:sz w:val="18"/>
                <w:szCs w:val="18"/>
                <w:color w:val="auto"/>
              </w:rPr>
              <w:t>(Zip Code)</w:t>
            </w:r>
          </w:p>
        </w:tc>
        <w:tc>
          <w:tcPr>
            <w:tcW w:w="20" w:type="dxa"/>
            <w:vAlign w:val="bottom"/>
          </w:tcPr>
          <w:p>
            <w:pPr>
              <w:spacing w:after="0"/>
              <w:rPr>
                <w:sz w:val="19"/>
                <w:szCs w:val="19"/>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(347) 491-4240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160655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80" w:firstLine="4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IMPORTANT NOTICES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Priority Holdings, LLC (“Priority”), M I Acquisitions, Inc. (“M I”), and their respective directors, executive officers and employees and other persons may be deemed to be participants in the solicitation of proxies from the holders of M I common stock in respect of the proposed transaction between them. Information about M I’s directors and executive officers and their ownership of M I’s common stock is set forth in M I’s Annual Report on Form 10-K for the year ended December 31, 2017 filed with the SEC, as modified or supplemented by any Form 3 or Form 4 filed with the SEC since the date of such filing. Other information regarding the interests of the participants in the proxy solicitation will be included in the proxy statement pertaining to the proposed transaction when it becomes available. These documents can be obtained free of charge from the sources indicated above.</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In connection with the transaction between Priority and M I, M I has filed a preliminary proxy statement on Schedule 14A with the Securities and Exchange Commission (the “SEC”), which includes information relating to the transaction between Priority and M I. Promptly after filing its definitive proxy statement with the SEC, M I will mail the definitive proxy statement and a proxy card to each stockholder entitled to vote at the special meeting relating to the transaction. INVESTORS AND SECURITY HOLDERS OF M I ARE URGED TO READ THESE MATERIALS (INCLUDING ANY AMENDMENTS OR SUPPLEMENTS THERETO) AND ANY OTHER RELEVANT DOCUMENTS IN CONNECTION WITH THE TRANSACTION THAT M I WILL FILE WITH THE SEC WHEN THEY BECOME AVAILABLE BECAUSE THEY WILL CONTAIN IMPORTANT INFORMATION ABOUT M I, PRIORITY AND THE TRANSACTION. The preliminary proxy statement, the definitive proxy statement (when it becomes available), and other relevant materials in connection with the transaction, and any other documents filed by M I with the SEC, may be obtained free of charge at the SEC’s website (www.sec.gov) or at M I’s website (www.miacquisitions.com) or by writing to M I, c/o Magna Management LLC, 40 Wall Street, 58th Floor, New York, NY 10005.</w:t>
      </w:r>
    </w:p>
    <w:p>
      <w:pPr>
        <w:spacing w:after="0" w:line="17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color w:val="auto"/>
        </w:rPr>
        <w:t>This current report on Form 8-K contains certain “forward-looking statements” within the meaning of the Securities Act of 1933 and the Securities Exchange Act of 1934, both as amended by the Private Securities Litigation Reform Act of 1995. Statements that are not historical facts, including statements about the pending transaction between M I and Priority and the transactions contemplated thereby, and the parties’ perspectives and expectations, are forward looking statements. Such statements include, but are not limited to, statements regarding the proposed transaction, including the anticipated initial enterprise value and post-closing equity value, the benefits of the proposed transaction, integration plans, expected synergies and revenue opportunities, anticipated future financial and operating performance and results, including estimates for growth, the expected management and governance of the combined company, and the expected timing of the transactions contemplated by the contribution agreement between M I and Priority dated February 26, 2018, as subsequently amended and restated on March 26, 2018 and April 17, 2018 (the “Purchase Agreement”). The words “expect,” “believe,” “estimate,” “intend,” “plan” and similar expressions indicate forward-looking statements. These forward-looking statements are not guarantees of future performance and are subject to various risks and uncertainties, assumptions (including assumptions about general economic, market, industry and operational factors), known or unknown, which could cause the actual results to vary materially from those indicated or anticipated.</w:t>
      </w:r>
    </w:p>
    <w:p>
      <w:pPr>
        <w:spacing w:after="0" w:line="16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Such risks and uncertainties include, but are not limited to: (i) risks related to the expected timing and likelihood of completion of the pending transaction, including the risk that the transaction may not close due to one or more closing conditions to the transaction not being satisfied or waived, such as regulatory approvals not being obtained, on a timely basis or otherwise, or that a governmental entity prohibited, delayed or refused to grant approval for the consummation of the transaction or required certain conditions, limitations or restrictions in connection with such approvals, or that the required approval of the Purchase Agreement by the stockholders of M I was not obtained; (ii) the occurrence of any event, change or other circumstances that could give rise to the termination of the Purchase Agreement; (iii) the risk that there may be a material adverse change with respect to the financial position, performance, operations or prospects of Priority or M I; (iv) risks related to disruption of management time from ongoing business operations due to the proposed transaction; (v) the risk that any announcements relating to the proposed transaction could have adverse effects on the market price of M I’s common stock; (vi) the risk that the proposed transaction and its announcement could have an adverse effect on the ability of Priority and M I to retain customers and retain and hire key personnel and maintain relationships with their suppliers and customers and on their operating results and businesses generally; (vii) risks related to successfully integrating the businesses of the companies, which may result in the combined company not operating as effectively and efficiently as expected; (viii) the risk that the combined company may be unable to achieve cost-cutting synergies or it may take longer than expected to achieve those synergies; and (ix) risks associated with the financing of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p>
      <w:pPr>
        <w:ind w:right="40"/>
        <w:spacing w:after="0" w:line="255" w:lineRule="auto"/>
        <w:rPr>
          <w:sz w:val="20"/>
          <w:szCs w:val="20"/>
          <w:color w:val="auto"/>
        </w:rPr>
      </w:pPr>
      <w:r>
        <w:rPr>
          <w:rFonts w:ascii="Arial" w:cs="Arial" w:eastAsia="Arial" w:hAnsi="Arial"/>
          <w:sz w:val="18"/>
          <w:szCs w:val="18"/>
          <w:b w:val="1"/>
          <w:bCs w:val="1"/>
          <w:color w:val="auto"/>
        </w:rPr>
        <w:t>A further list and description of risks and uncertainties can be found in M I’s Annual Report on Form 10-K for the fiscal year ending December 31, 2017 that M I filed with the SEC and in the preliminary proxy statement on Schedule 14A that M I filed with the SEC in connection with the proposed transaction, and other documents that the parties may file or furnish with the SEC, which you are encouraged to read. Should one or more of these risks or uncertainties materialize, or should underlying assumptions prove incorrect, actual results may vary materially from those indicated or anticipated by such forward-looking statements. Accordingly, you are cautioned not to place undue reliance on these forward-looking statements. Forward-looking statements relate only to the date they were made, and M I, Priority, and their subsidiaries undertake no obligation to update forward-looking statements to reflect events or circumstances after the date they were made except as required by law or applicable regulation.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On May 15, 2018, M I issued a promissory note in the aggregate principal amount of </w:t>
      </w:r>
      <w:r>
        <w:rPr>
          <w:rFonts w:ascii="Arial" w:cs="Arial" w:eastAsia="Arial" w:hAnsi="Arial"/>
          <w:sz w:val="17"/>
          <w:szCs w:val="17"/>
          <w:color w:val="auto"/>
          <w:highlight w:val="white"/>
        </w:rPr>
        <w:t>$132,752.73 to Priority.</w:t>
      </w:r>
      <w:r>
        <w:rPr>
          <w:rFonts w:ascii="Arial" w:cs="Arial" w:eastAsia="Arial" w:hAnsi="Arial"/>
          <w:sz w:val="17"/>
          <w:szCs w:val="17"/>
          <w:color w:val="auto"/>
        </w:rPr>
        <w:t xml:space="preserve"> The $132,752.73 received by M I upon issuance of the note was deposited into the M I trust account for the benefit of its public stockholders in order to extend the </w:t>
      </w:r>
      <w:r>
        <w:rPr>
          <w:rFonts w:ascii="Arial" w:cs="Arial" w:eastAsia="Arial" w:hAnsi="Arial"/>
          <w:sz w:val="17"/>
          <w:szCs w:val="17"/>
          <w:color w:val="auto"/>
          <w:highlight w:val="white"/>
        </w:rPr>
        <w:t>period of time M I has to complete a</w:t>
      </w:r>
      <w:r>
        <w:rPr>
          <w:rFonts w:ascii="Arial" w:cs="Arial" w:eastAsia="Arial" w:hAnsi="Arial"/>
          <w:sz w:val="17"/>
          <w:szCs w:val="17"/>
          <w:color w:val="auto"/>
        </w:rPr>
        <w:t xml:space="preserve"> </w:t>
      </w:r>
      <w:r>
        <w:rPr>
          <w:rFonts w:ascii="Arial" w:cs="Arial" w:eastAsia="Arial" w:hAnsi="Arial"/>
          <w:sz w:val="17"/>
          <w:szCs w:val="17"/>
          <w:color w:val="auto"/>
          <w:highlight w:val="white"/>
        </w:rPr>
        <w:t>business combination for an additional one month period, from May 19, 2018 to June 19, 2018. The note does not bear interest and is payable five business days after the date M I completes a business combination. The following events constitute events of default under the note:</w:t>
      </w:r>
    </w:p>
    <w:p>
      <w:pPr>
        <w:spacing w:after="0" w:line="171"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make required payments;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voluntary liquidation of M I;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involuntary bankruptcy of M 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Exhibit No.  Description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40" w:type="dxa"/>
            <w:vAlign w:val="bottom"/>
            <w:tcBorders>
              <w:bottom w:val="single" w:sz="8" w:color="0000EE"/>
            </w:tcBorders>
            <w:gridSpan w:val="3"/>
          </w:tcPr>
          <w:p>
            <w:pPr>
              <w:jc w:val="right"/>
              <w:ind w:right="20"/>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640" w:type="dxa"/>
            <w:vAlign w:val="bottom"/>
          </w:tcPr>
          <w:p>
            <w:pPr>
              <w:spacing w:after="0"/>
              <w:rPr>
                <w:sz w:val="18"/>
                <w:szCs w:val="18"/>
                <w:color w:val="auto"/>
              </w:rPr>
            </w:pPr>
          </w:p>
        </w:tc>
        <w:tc>
          <w:tcPr>
            <w:tcW w:w="1940" w:type="dxa"/>
            <w:vAlign w:val="bottom"/>
            <w:tcBorders>
              <w:bottom w:val="single" w:sz="8" w:color="0000EE"/>
            </w:tcBorders>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Promissory Note issued to</w:t>
              </w:r>
            </w:hyperlink>
          </w:p>
        </w:tc>
        <w:tc>
          <w:tcPr>
            <w:tcW w:w="2040" w:type="dxa"/>
            <w:vAlign w:val="bottom"/>
            <w:tcBorders>
              <w:bottom w:val="single" w:sz="8" w:color="0000EE"/>
            </w:tcBorders>
            <w:gridSpan w:val="3"/>
            <w:shd w:val="clear" w:color="auto" w:fill="FEFEFE"/>
          </w:tcPr>
          <w:p>
            <w:pPr>
              <w:spacing w:after="0"/>
              <w:rPr>
                <w:rFonts w:ascii="Arial" w:cs="Arial" w:eastAsia="Arial" w:hAnsi="Arial"/>
                <w:sz w:val="18"/>
                <w:szCs w:val="18"/>
                <w:color w:val="0000EE"/>
                <w:highlight w:val="white"/>
                <w:w w:val="91"/>
              </w:rPr>
            </w:pPr>
            <w:hyperlink w:anchor="page5">
              <w:r>
                <w:rPr>
                  <w:rFonts w:ascii="Arial" w:cs="Arial" w:eastAsia="Arial" w:hAnsi="Arial"/>
                  <w:sz w:val="18"/>
                  <w:szCs w:val="18"/>
                  <w:color w:val="0000EE"/>
                  <w:highlight w:val="white"/>
                  <w:w w:val="91"/>
                </w:rPr>
                <w:t>Priority dated May 15, 2018</w:t>
              </w:r>
            </w:hyperlink>
          </w:p>
        </w:tc>
        <w:tc>
          <w:tcPr>
            <w:tcW w:w="6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640" w:type="dxa"/>
            <w:vAlign w:val="bottom"/>
            <w:vMerge w:val="restart"/>
          </w:tcPr>
          <w:p>
            <w:pPr>
              <w:spacing w:after="0"/>
              <w:rPr>
                <w:sz w:val="19"/>
                <w:szCs w:val="19"/>
                <w:color w:val="auto"/>
              </w:rPr>
            </w:pPr>
          </w:p>
        </w:tc>
        <w:tc>
          <w:tcPr>
            <w:tcW w:w="24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7960" w:type="dxa"/>
            <w:vAlign w:val="bottom"/>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300" w:type="dxa"/>
            <w:vAlign w:val="bottom"/>
            <w:shd w:val="clear" w:color="auto" w:fill="FEFEFE"/>
          </w:tcPr>
          <w:p>
            <w:pPr>
              <w:jc w:val="right"/>
              <w:spacing w:after="0" w:line="176" w:lineRule="exact"/>
              <w:rPr>
                <w:rFonts w:ascii="Arial" w:cs="Arial" w:eastAsia="Arial" w:hAnsi="Arial"/>
                <w:sz w:val="18"/>
                <w:szCs w:val="18"/>
                <w:color w:val="0000EE"/>
                <w:highlight w:val="white"/>
                <w:w w:val="79"/>
              </w:rPr>
            </w:pPr>
            <w:hyperlink w:anchor="page9">
              <w:r>
                <w:rPr>
                  <w:rFonts w:ascii="Arial" w:cs="Arial" w:eastAsia="Arial" w:hAnsi="Arial"/>
                  <w:sz w:val="18"/>
                  <w:szCs w:val="18"/>
                  <w:color w:val="0000EE"/>
                  <w:highlight w:val="white"/>
                  <w:w w:val="79"/>
                </w:rPr>
                <w:t>99.</w:t>
              </w:r>
              <w:r>
                <w:rPr>
                  <w:rFonts w:ascii="Arial" w:cs="Arial" w:eastAsia="Arial" w:hAnsi="Arial"/>
                  <w:sz w:val="18"/>
                  <w:szCs w:val="18"/>
                  <w:u w:val="single" w:color="auto"/>
                  <w:color w:val="0000EE"/>
                  <w:highlight w:val="white"/>
                  <w:w w:val="79"/>
                </w:rPr>
                <w:t>1</w:t>
              </w:r>
            </w:hyperlink>
          </w:p>
        </w:tc>
        <w:tc>
          <w:tcPr>
            <w:tcW w:w="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480" w:type="dxa"/>
            <w:vAlign w:val="bottom"/>
            <w:gridSpan w:val="3"/>
            <w:shd w:val="clear" w:color="auto" w:fill="FEFEFE"/>
          </w:tcPr>
          <w:p>
            <w:pPr>
              <w:spacing w:after="0" w:line="176" w:lineRule="exact"/>
              <w:rPr>
                <w:rFonts w:ascii="Arial" w:cs="Arial" w:eastAsia="Arial" w:hAnsi="Arial"/>
                <w:sz w:val="18"/>
                <w:szCs w:val="18"/>
                <w:color w:val="0000EE"/>
                <w:highlight w:val="white"/>
                <w:w w:val="87"/>
              </w:rPr>
            </w:pPr>
            <w:hyperlink w:anchor="page9">
              <w:r>
                <w:rPr>
                  <w:rFonts w:ascii="Arial" w:cs="Arial" w:eastAsia="Arial" w:hAnsi="Arial"/>
                  <w:sz w:val="18"/>
                  <w:szCs w:val="18"/>
                  <w:color w:val="0000EE"/>
                  <w:highlight w:val="white"/>
                  <w:w w:val="87"/>
                </w:rPr>
                <w:t>Press Release dated May 17, 2018</w:t>
              </w:r>
            </w:hyperlink>
          </w:p>
        </w:tc>
        <w:tc>
          <w:tcPr>
            <w:tcW w:w="7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74"/>
        </w:trPr>
        <w:tc>
          <w:tcPr>
            <w:tcW w:w="2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94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FEFEFE"/>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3" w:name="page4"/>
    <w:bookmarkEnd w:id="3"/>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Marc Manuel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10.1</w:t>
      </w: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spacing w:after="0"/>
        <w:tabs>
          <w:tab w:leader="none" w:pos="9440" w:val="left"/>
        </w:tabs>
        <w:rPr>
          <w:sz w:val="20"/>
          <w:szCs w:val="20"/>
          <w:color w:val="auto"/>
        </w:rPr>
      </w:pPr>
      <w:r>
        <w:rPr>
          <w:rFonts w:ascii="Arial" w:cs="Arial" w:eastAsia="Arial" w:hAnsi="Arial"/>
          <w:sz w:val="18"/>
          <w:szCs w:val="18"/>
          <w:color w:val="auto"/>
        </w:rPr>
        <w:t>Principal Amount: $132,752.73</w:t>
      </w:r>
      <w:r>
        <w:rPr>
          <w:sz w:val="20"/>
          <w:szCs w:val="20"/>
          <w:color w:val="auto"/>
        </w:rPr>
        <w:tab/>
      </w:r>
      <w:r>
        <w:rPr>
          <w:rFonts w:ascii="Arial" w:cs="Arial" w:eastAsia="Arial" w:hAnsi="Arial"/>
          <w:sz w:val="16"/>
          <w:szCs w:val="16"/>
          <w:color w:val="auto"/>
        </w:rPr>
        <w:t>Dated as of May __, 2018</w:t>
      </w:r>
    </w:p>
    <w:p>
      <w:pPr>
        <w:spacing w:after="0" w:line="221"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M I Acquisitions, Inc., a Delaware corporation (the “</w:t>
      </w:r>
      <w:r>
        <w:rPr>
          <w:rFonts w:ascii="Arial" w:cs="Arial" w:eastAsia="Arial" w:hAnsi="Arial"/>
          <w:sz w:val="18"/>
          <w:szCs w:val="18"/>
          <w:b w:val="1"/>
          <w:bCs w:val="1"/>
          <w:color w:val="auto"/>
        </w:rPr>
        <w:t>Maker</w:t>
      </w:r>
      <w:r>
        <w:rPr>
          <w:rFonts w:ascii="Arial" w:cs="Arial" w:eastAsia="Arial" w:hAnsi="Arial"/>
          <w:sz w:val="18"/>
          <w:szCs w:val="18"/>
          <w:color w:val="auto"/>
        </w:rPr>
        <w:t>”), promises to pay to the order of Priority Holdings, LLC or its registered assigns or successors in interest (the “</w:t>
      </w:r>
      <w:r>
        <w:rPr>
          <w:rFonts w:ascii="Arial" w:cs="Arial" w:eastAsia="Arial" w:hAnsi="Arial"/>
          <w:sz w:val="18"/>
          <w:szCs w:val="18"/>
          <w:b w:val="1"/>
          <w:bCs w:val="1"/>
          <w:color w:val="auto"/>
        </w:rPr>
        <w:t>Payee</w:t>
      </w:r>
      <w:r>
        <w:rPr>
          <w:rFonts w:ascii="Arial" w:cs="Arial" w:eastAsia="Arial" w:hAnsi="Arial"/>
          <w:sz w:val="18"/>
          <w:szCs w:val="18"/>
          <w:color w:val="auto"/>
        </w:rPr>
        <w:t>”) the principal sum of One Hundred Thirty Two Thousand Seven Hundred Fifty Two Dollars and Seventy Three Cents ($132,752.73)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84" w:lineRule="exact"/>
        <w:rPr>
          <w:sz w:val="20"/>
          <w:szCs w:val="20"/>
          <w:color w:val="auto"/>
        </w:rPr>
      </w:pPr>
    </w:p>
    <w:p>
      <w:pPr>
        <w:ind w:left="660" w:right="360" w:hanging="652"/>
        <w:spacing w:after="0" w:line="288" w:lineRule="auto"/>
        <w:tabs>
          <w:tab w:leader="none" w:pos="660" w:val="left"/>
        </w:tabs>
        <w:numPr>
          <w:ilvl w:val="0"/>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principal balance of this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shall be payable five (5) business days after the date on which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consummates and completes a business combination as outlined in the Company’s final prospectus dated on September 13</w:t>
      </w:r>
      <w:r>
        <w:rPr>
          <w:rFonts w:ascii="Arial" w:cs="Arial" w:eastAsia="Arial" w:hAnsi="Arial"/>
          <w:sz w:val="30"/>
          <w:szCs w:val="30"/>
          <w:color w:val="auto"/>
          <w:vertAlign w:val="superscript"/>
        </w:rPr>
        <w:t>th</w:t>
      </w:r>
      <w:r>
        <w:rPr>
          <w:rFonts w:ascii="Arial" w:cs="Arial" w:eastAsia="Arial" w:hAnsi="Arial"/>
          <w:sz w:val="18"/>
          <w:szCs w:val="18"/>
          <w:color w:val="auto"/>
        </w:rPr>
        <w:t>, 2016 and filed on September 15</w:t>
      </w:r>
      <w:r>
        <w:rPr>
          <w:rFonts w:ascii="Arial" w:cs="Arial" w:eastAsia="Arial" w:hAnsi="Arial"/>
          <w:sz w:val="30"/>
          <w:szCs w:val="30"/>
          <w:color w:val="auto"/>
          <w:vertAlign w:val="superscript"/>
        </w:rPr>
        <w:t>th</w:t>
      </w:r>
      <w:r>
        <w:rPr>
          <w:rFonts w:ascii="Arial" w:cs="Arial" w:eastAsia="Arial" w:hAnsi="Arial"/>
          <w:sz w:val="18"/>
          <w:szCs w:val="18"/>
          <w:color w:val="auto"/>
        </w:rPr>
        <w:t>, 2016 (the “</w:t>
      </w:r>
      <w:r>
        <w:rPr>
          <w:rFonts w:ascii="Arial" w:cs="Arial" w:eastAsia="Arial" w:hAnsi="Arial"/>
          <w:sz w:val="18"/>
          <w:szCs w:val="18"/>
          <w:b w:val="1"/>
          <w:bCs w:val="1"/>
          <w:color w:val="auto"/>
        </w:rPr>
        <w:t>Prospectus</w:t>
      </w:r>
      <w:r>
        <w:rPr>
          <w:rFonts w:ascii="Arial" w:cs="Arial" w:eastAsia="Arial" w:hAnsi="Arial"/>
          <w:sz w:val="18"/>
          <w:szCs w:val="18"/>
          <w:color w:val="auto"/>
        </w:rPr>
        <w:t>”).</w:t>
      </w:r>
    </w:p>
    <w:p>
      <w:pPr>
        <w:spacing w:after="0" w:line="34" w:lineRule="exact"/>
        <w:rPr>
          <w:rFonts w:ascii="Arial" w:cs="Arial" w:eastAsia="Arial" w:hAnsi="Arial"/>
          <w:sz w:val="18"/>
          <w:szCs w:val="18"/>
          <w:color w:val="010000"/>
        </w:rPr>
      </w:pPr>
    </w:p>
    <w:p>
      <w:pPr>
        <w:ind w:left="660" w:hanging="652"/>
        <w:spacing w:after="0"/>
        <w:tabs>
          <w:tab w:leader="none" w:pos="660" w:val="left"/>
        </w:tabs>
        <w:numPr>
          <w:ilvl w:val="0"/>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color w:val="010000"/>
        </w:rPr>
      </w:pPr>
    </w:p>
    <w:p>
      <w:pPr>
        <w:ind w:left="660" w:right="320" w:hanging="652"/>
        <w:spacing w:after="0" w:line="266" w:lineRule="auto"/>
        <w:tabs>
          <w:tab w:leader="none" w:pos="660" w:val="left"/>
        </w:tabs>
        <w:numPr>
          <w:ilvl w:val="0"/>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 any sum due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Note, including (without limitation) reasonable attorney’s fees, then to the payment in full of any late charges and finally to the reduction of the unpaid principal balance of this Note.</w:t>
      </w:r>
    </w:p>
    <w:p>
      <w:pPr>
        <w:spacing w:after="0" w:line="176" w:lineRule="exact"/>
        <w:rPr>
          <w:rFonts w:ascii="Arial" w:cs="Arial" w:eastAsia="Arial" w:hAnsi="Arial"/>
          <w:sz w:val="18"/>
          <w:szCs w:val="18"/>
          <w:color w:val="010000"/>
        </w:rPr>
      </w:pPr>
    </w:p>
    <w:p>
      <w:pPr>
        <w:ind w:left="660" w:hanging="652"/>
        <w:spacing w:after="0"/>
        <w:tabs>
          <w:tab w:leader="none" w:pos="660" w:val="left"/>
        </w:tabs>
        <w:numPr>
          <w:ilvl w:val="0"/>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300" w:right="180" w:hanging="644"/>
        <w:spacing w:after="0" w:line="282" w:lineRule="auto"/>
        <w:tabs>
          <w:tab w:leader="none" w:pos="1300" w:val="left"/>
        </w:tabs>
        <w:numPr>
          <w:ilvl w:val="1"/>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Failure to Make Required Payments. </w:t>
      </w:r>
      <w:r>
        <w:rPr>
          <w:rFonts w:ascii="Arial" w:cs="Arial" w:eastAsia="Arial" w:hAnsi="Arial"/>
          <w:sz w:val="18"/>
          <w:szCs w:val="18"/>
          <w:color w:val="auto"/>
        </w:rPr>
        <w:t>Failure by Maker to pay the principal of this Note within five (5) business days following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when due.</w:t>
      </w:r>
    </w:p>
    <w:p>
      <w:pPr>
        <w:spacing w:after="0" w:line="161" w:lineRule="exact"/>
        <w:rPr>
          <w:rFonts w:ascii="Arial" w:cs="Arial" w:eastAsia="Arial" w:hAnsi="Arial"/>
          <w:sz w:val="18"/>
          <w:szCs w:val="18"/>
          <w:color w:val="010000"/>
        </w:rPr>
      </w:pPr>
    </w:p>
    <w:p>
      <w:pPr>
        <w:ind w:left="1300" w:right="380" w:hanging="644"/>
        <w:spacing w:after="0" w:line="258" w:lineRule="auto"/>
        <w:tabs>
          <w:tab w:leader="none" w:pos="1300" w:val="left"/>
        </w:tabs>
        <w:numPr>
          <w:ilvl w:val="1"/>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Voluntary Liquidation, Etc. </w:t>
      </w:r>
      <w:r>
        <w:rPr>
          <w:rFonts w:ascii="Arial" w:cs="Arial" w:eastAsia="Arial" w:hAnsi="Arial"/>
          <w:sz w:val="18"/>
          <w:szCs w:val="18"/>
          <w:color w:val="auto"/>
        </w:rPr>
        <w:t>The commencement by Maker of a proceeding relating to its bankruptcy, insolvency, reorganization,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rehabilitation or other similar action, or the consent by it to the appointment of, or taking possession by, a receiver, liquidator, assignee, trustee, custodian, sequestrator (or other similar official) for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left="1292" w:right="60" w:hanging="644"/>
        <w:spacing w:after="0" w:line="258" w:lineRule="auto"/>
        <w:tabs>
          <w:tab w:leader="none" w:pos="1292" w:val="left"/>
        </w:tabs>
        <w:numPr>
          <w:ilvl w:val="1"/>
          <w:numId w:val="7"/>
        </w:numPr>
        <w:rPr>
          <w:rFonts w:ascii="Arial" w:cs="Arial" w:eastAsia="Arial" w:hAnsi="Arial"/>
          <w:sz w:val="18"/>
          <w:szCs w:val="18"/>
          <w:color w:val="010000"/>
        </w:rPr>
      </w:pPr>
      <w:r>
        <w:rPr>
          <w:rFonts w:ascii="Arial" w:cs="Arial" w:eastAsia="Arial" w:hAnsi="Arial"/>
          <w:sz w:val="18"/>
          <w:szCs w:val="18"/>
          <w:b w:val="1"/>
          <w:bCs w:val="1"/>
          <w:color w:val="auto"/>
        </w:rPr>
        <w:t xml:space="preserve">Involuntary Bankruptcy, Etc. </w:t>
      </w:r>
      <w:r>
        <w:rPr>
          <w:rFonts w:ascii="Arial" w:cs="Arial" w:eastAsia="Arial" w:hAnsi="Arial"/>
          <w:sz w:val="18"/>
          <w:szCs w:val="18"/>
          <w:color w:val="auto"/>
        </w:rPr>
        <w:t>The entry of a decree or order for relief by a court having jurisdiction in the premises in respect of maker in</w:t>
      </w:r>
      <w:r>
        <w:rPr>
          <w:rFonts w:ascii="Arial" w:cs="Arial" w:eastAsia="Arial" w:hAnsi="Arial"/>
          <w:sz w:val="18"/>
          <w:szCs w:val="18"/>
          <w:b w:val="1"/>
          <w:bCs w:val="1"/>
          <w:color w:val="auto"/>
        </w:rPr>
        <w:t xml:space="preserve"> </w:t>
      </w:r>
      <w:r>
        <w:rPr>
          <w:rFonts w:ascii="Arial" w:cs="Arial" w:eastAsia="Arial" w:hAnsi="Arial"/>
          <w:sz w:val="18"/>
          <w:szCs w:val="18"/>
          <w:color w:val="auto"/>
        </w:rPr>
        <w:t>an involuntary case under any applicable bankruptcy, insolvency or similar law, for the appointing of a receiver, liquidator, assignee, custodian, trustee, sequestrator (or similar official) for Maker or for any substantial part of its property, or ordering the winding-up or liquidation of the affairs of Maker, and the continuance of any such decree or order unstayed and in effect for a period of 60 consecutive days.</w:t>
      </w:r>
    </w:p>
    <w:p>
      <w:pPr>
        <w:spacing w:after="0" w:line="183" w:lineRule="exact"/>
        <w:rPr>
          <w:rFonts w:ascii="Arial" w:cs="Arial" w:eastAsia="Arial" w:hAnsi="Arial"/>
          <w:sz w:val="18"/>
          <w:szCs w:val="18"/>
          <w:color w:val="010000"/>
        </w:rPr>
      </w:pPr>
    </w:p>
    <w:p>
      <w:pPr>
        <w:ind w:left="652" w:hanging="652"/>
        <w:spacing w:after="0"/>
        <w:tabs>
          <w:tab w:leader="none" w:pos="652" w:val="left"/>
        </w:tabs>
        <w:numPr>
          <w:ilvl w:val="0"/>
          <w:numId w:val="8"/>
        </w:numPr>
        <w:rPr>
          <w:rFonts w:ascii="Arial" w:cs="Arial" w:eastAsia="Arial" w:hAnsi="Arial"/>
          <w:sz w:val="18"/>
          <w:szCs w:val="18"/>
          <w:color w:val="010000"/>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color w:val="010000"/>
        </w:rPr>
      </w:pPr>
    </w:p>
    <w:p>
      <w:pPr>
        <w:ind w:left="1292" w:right="60" w:hanging="644"/>
        <w:spacing w:after="0" w:line="279" w:lineRule="auto"/>
        <w:tabs>
          <w:tab w:leader="none" w:pos="1292" w:val="left"/>
        </w:tabs>
        <w:numPr>
          <w:ilvl w:val="1"/>
          <w:numId w:val="8"/>
        </w:numPr>
        <w:rPr>
          <w:rFonts w:ascii="Arial" w:cs="Arial" w:eastAsia="Arial" w:hAnsi="Arial"/>
          <w:sz w:val="17"/>
          <w:szCs w:val="17"/>
          <w:color w:val="010000"/>
        </w:rPr>
      </w:pPr>
      <w:r>
        <w:rPr>
          <w:rFonts w:ascii="Arial" w:cs="Arial" w:eastAsia="Arial" w:hAnsi="Arial"/>
          <w:sz w:val="17"/>
          <w:szCs w:val="17"/>
          <w:color w:val="auto"/>
        </w:rPr>
        <w:t>Upon the occurrence of an Event of Default specified in Section 4(a) hereof, Payee may, by written notice to Maker, declare this Note to be due immediately and payable, whereupon the unpaid principal amount of this Note, and all other amounts payable thereunder,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71" w:lineRule="exact"/>
        <w:rPr>
          <w:rFonts w:ascii="Arial" w:cs="Arial" w:eastAsia="Arial" w:hAnsi="Arial"/>
          <w:sz w:val="17"/>
          <w:szCs w:val="17"/>
          <w:color w:val="010000"/>
        </w:rPr>
      </w:pPr>
    </w:p>
    <w:p>
      <w:pPr>
        <w:jc w:val="both"/>
        <w:ind w:left="1292" w:hanging="644"/>
        <w:spacing w:after="0" w:line="264" w:lineRule="auto"/>
        <w:tabs>
          <w:tab w:leader="none" w:pos="1292" w:val="left"/>
        </w:tabs>
        <w:numPr>
          <w:ilvl w:val="1"/>
          <w:numId w:val="8"/>
        </w:numPr>
        <w:rPr>
          <w:rFonts w:ascii="Arial" w:cs="Arial" w:eastAsia="Arial" w:hAnsi="Arial"/>
          <w:sz w:val="18"/>
          <w:szCs w:val="18"/>
          <w:color w:val="010000"/>
        </w:rPr>
      </w:pPr>
      <w:r>
        <w:rPr>
          <w:rFonts w:ascii="Arial" w:cs="Arial" w:eastAsia="Arial" w:hAnsi="Arial"/>
          <w:sz w:val="18"/>
          <w:szCs w:val="18"/>
          <w:color w:val="auto"/>
        </w:rPr>
        <w:t>Upon the occurrence of an Event of Default specified in Sections 4(b) and 4(c), the unpaid principal balance of this Note, and all other sums payable with regard to this Note, shall automatically and immediately become due and payable, in all cases without any action on the part of Payee.</w:t>
      </w:r>
    </w:p>
    <w:p>
      <w:pPr>
        <w:spacing w:after="0" w:line="177" w:lineRule="exact"/>
        <w:rPr>
          <w:rFonts w:ascii="Arial" w:cs="Arial" w:eastAsia="Arial" w:hAnsi="Arial"/>
          <w:sz w:val="18"/>
          <w:szCs w:val="18"/>
          <w:color w:val="010000"/>
        </w:rPr>
      </w:pPr>
    </w:p>
    <w:p>
      <w:pPr>
        <w:ind w:left="652" w:right="80" w:hanging="652"/>
        <w:spacing w:after="0" w:line="255" w:lineRule="auto"/>
        <w:tabs>
          <w:tab w:leader="none" w:pos="652" w:val="left"/>
        </w:tabs>
        <w:numPr>
          <w:ilvl w:val="0"/>
          <w:numId w:val="8"/>
        </w:numPr>
        <w:rPr>
          <w:rFonts w:ascii="Arial" w:cs="Arial" w:eastAsia="Arial" w:hAnsi="Arial"/>
          <w:sz w:val="18"/>
          <w:szCs w:val="18"/>
          <w:color w:val="010000"/>
        </w:rPr>
      </w:pPr>
      <w:r>
        <w:rPr>
          <w:rFonts w:ascii="Arial" w:cs="Arial" w:eastAsia="Arial" w:hAnsi="Arial"/>
          <w:sz w:val="18"/>
          <w:szCs w:val="18"/>
          <w:b w:val="1"/>
          <w:bCs w:val="1"/>
          <w:color w:val="auto"/>
        </w:rPr>
        <w:t xml:space="preserve">Waivers. </w:t>
      </w:r>
      <w:r>
        <w:rPr>
          <w:rFonts w:ascii="Arial" w:cs="Arial" w:eastAsia="Arial" w:hAnsi="Arial"/>
          <w:sz w:val="18"/>
          <w:szCs w:val="18"/>
          <w:color w:val="auto"/>
        </w:rPr>
        <w:t>Maker and all endorsers and guarantors of, and sureties for, this Note waive presentment for payment, demand, notice of dishonor, protest,</w:t>
      </w:r>
      <w:r>
        <w:rPr>
          <w:rFonts w:ascii="Arial" w:cs="Arial" w:eastAsia="Arial" w:hAnsi="Arial"/>
          <w:sz w:val="18"/>
          <w:szCs w:val="18"/>
          <w:b w:val="1"/>
          <w:bCs w:val="1"/>
          <w:color w:val="auto"/>
        </w:rPr>
        <w:t xml:space="preserve"> </w:t>
      </w:r>
      <w:r>
        <w:rPr>
          <w:rFonts w:ascii="Arial" w:cs="Arial" w:eastAsia="Arial" w:hAnsi="Arial"/>
          <w:sz w:val="18"/>
          <w:szCs w:val="18"/>
          <w:color w:val="auto"/>
        </w:rPr>
        <w:t>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on any writ of execution issued hereon, may be sold upon any such writ in whole or in part in any order desired by Payee.</w:t>
      </w:r>
    </w:p>
    <w:p>
      <w:pPr>
        <w:spacing w:after="0" w:line="189" w:lineRule="exact"/>
        <w:rPr>
          <w:rFonts w:ascii="Arial" w:cs="Arial" w:eastAsia="Arial" w:hAnsi="Arial"/>
          <w:sz w:val="18"/>
          <w:szCs w:val="18"/>
          <w:color w:val="010000"/>
        </w:rPr>
      </w:pPr>
    </w:p>
    <w:p>
      <w:pPr>
        <w:ind w:left="652" w:hanging="652"/>
        <w:spacing w:after="0" w:line="256" w:lineRule="auto"/>
        <w:tabs>
          <w:tab w:leader="none" w:pos="652" w:val="left"/>
        </w:tabs>
        <w:numPr>
          <w:ilvl w:val="0"/>
          <w:numId w:val="8"/>
        </w:numPr>
        <w:rPr>
          <w:rFonts w:ascii="Arial" w:cs="Arial" w:eastAsia="Arial" w:hAnsi="Arial"/>
          <w:sz w:val="18"/>
          <w:szCs w:val="18"/>
          <w:color w:val="010000"/>
        </w:rPr>
      </w:pPr>
      <w:r>
        <w:rPr>
          <w:rFonts w:ascii="Arial" w:cs="Arial" w:eastAsia="Arial" w:hAnsi="Arial"/>
          <w:sz w:val="18"/>
          <w:szCs w:val="18"/>
          <w:b w:val="1"/>
          <w:bCs w:val="1"/>
          <w:color w:val="auto"/>
        </w:rPr>
        <w:t xml:space="preserve">Unconditional Liability. </w:t>
      </w:r>
      <w:r>
        <w:rPr>
          <w:rFonts w:ascii="Arial" w:cs="Arial" w:eastAsia="Arial" w:hAnsi="Arial"/>
          <w:sz w:val="18"/>
          <w:szCs w:val="18"/>
          <w:color w:val="auto"/>
        </w:rPr>
        <w:t>Maker hereby waives all notices in connection with the delivery, acceptance, performance, default, or enforcement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12"/>
          </w:cols>
          <w:pgMar w:left="248" w:top="337" w:right="239" w:bottom="1440" w:gutter="0" w:footer="0" w:header="0"/>
        </w:sectPr>
      </w:pPr>
    </w:p>
    <w:bookmarkStart w:id="6" w:name="page7"/>
    <w:bookmarkEnd w:id="6"/>
    <w:p>
      <w:pPr>
        <w:ind w:left="660" w:right="480" w:hanging="652"/>
        <w:spacing w:after="0" w:line="314" w:lineRule="auto"/>
        <w:tabs>
          <w:tab w:leader="none" w:pos="660" w:val="left"/>
        </w:tabs>
        <w:numPr>
          <w:ilvl w:val="0"/>
          <w:numId w:val="9"/>
        </w:numPr>
        <w:rPr>
          <w:rFonts w:ascii="Arial" w:cs="Arial" w:eastAsia="Arial" w:hAnsi="Arial"/>
          <w:sz w:val="16"/>
          <w:szCs w:val="16"/>
          <w:color w:val="010000"/>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called for hereunder shall be deemed properly given if (i) sent by certified mail, return receipt requested, (ii) personally</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(iii) dispatched by any form of private or governmental express mail or delivery service providing receipted delivery or (iv) sent by facsimile or (v) to the following addresses or to such other address as either party may designate by notice in accordance with this Section:</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Maker: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 I Acquisitions, Inc.</w:t>
      </w:r>
    </w:p>
    <w:p>
      <w:pPr>
        <w:ind w:left="1300"/>
        <w:spacing w:after="0" w:line="195"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Joshua Sason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Payee: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Priority Holdings,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w:t>
      </w:r>
    </w:p>
    <w:p>
      <w:pPr>
        <w:spacing w:after="0" w:line="200" w:lineRule="exact"/>
        <w:rPr>
          <w:sz w:val="20"/>
          <w:szCs w:val="20"/>
          <w:color w:val="auto"/>
        </w:rPr>
      </w:pPr>
    </w:p>
    <w:p>
      <w:pPr>
        <w:spacing w:after="0" w:line="227"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Notice shall be deemed given on the earlier of (i) actual receipt by the receiving party, (ii) the date shown on a facsimile transmission confirmation, (iii) the date reflected on a signed delivery receipt, or (iv) two (2) Business Days following tender of delivery or dispatch by express mail or delivery service.</w:t>
      </w:r>
    </w:p>
    <w:p>
      <w:pPr>
        <w:spacing w:after="0" w:line="120" w:lineRule="exact"/>
        <w:rPr>
          <w:sz w:val="20"/>
          <w:szCs w:val="20"/>
          <w:color w:val="auto"/>
        </w:rPr>
      </w:pPr>
    </w:p>
    <w:p>
      <w:pPr>
        <w:ind w:left="660" w:right="40" w:hanging="652"/>
        <w:spacing w:after="0" w:line="282" w:lineRule="auto"/>
        <w:tabs>
          <w:tab w:leader="none" w:pos="660" w:val="left"/>
        </w:tabs>
        <w:numPr>
          <w:ilvl w:val="0"/>
          <w:numId w:val="10"/>
        </w:numPr>
        <w:rPr>
          <w:rFonts w:ascii="Arial" w:cs="Arial" w:eastAsia="Arial" w:hAnsi="Arial"/>
          <w:sz w:val="18"/>
          <w:szCs w:val="18"/>
          <w:color w:val="010000"/>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 NEW YORK,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PROVISIONS THEREOF.</w:t>
      </w:r>
    </w:p>
    <w:p>
      <w:pPr>
        <w:spacing w:after="0" w:line="161" w:lineRule="exact"/>
        <w:rPr>
          <w:rFonts w:ascii="Arial" w:cs="Arial" w:eastAsia="Arial" w:hAnsi="Arial"/>
          <w:sz w:val="18"/>
          <w:szCs w:val="18"/>
          <w:color w:val="010000"/>
        </w:rPr>
      </w:pPr>
    </w:p>
    <w:p>
      <w:pPr>
        <w:ind w:left="660" w:right="20" w:hanging="652"/>
        <w:spacing w:after="0" w:line="266" w:lineRule="auto"/>
        <w:tabs>
          <w:tab w:leader="none" w:pos="660" w:val="left"/>
        </w:tabs>
        <w:numPr>
          <w:ilvl w:val="0"/>
          <w:numId w:val="10"/>
        </w:numPr>
        <w:rPr>
          <w:rFonts w:ascii="Arial" w:cs="Arial" w:eastAsia="Arial" w:hAnsi="Arial"/>
          <w:sz w:val="18"/>
          <w:szCs w:val="18"/>
          <w:color w:val="010000"/>
        </w:rPr>
      </w:pPr>
      <w:r>
        <w:rPr>
          <w:rFonts w:ascii="Arial" w:cs="Arial" w:eastAsia="Arial" w:hAnsi="Arial"/>
          <w:sz w:val="18"/>
          <w:szCs w:val="18"/>
          <w:b w:val="1"/>
          <w:bCs w:val="1"/>
          <w:color w:val="auto"/>
        </w:rPr>
        <w:t xml:space="preserve">Jurisdiction. </w:t>
      </w:r>
      <w:r>
        <w:rPr>
          <w:rFonts w:ascii="Arial" w:cs="Arial" w:eastAsia="Arial" w:hAnsi="Arial"/>
          <w:sz w:val="18"/>
          <w:szCs w:val="18"/>
          <w:color w:val="auto"/>
        </w:rPr>
        <w:t>The courts of New York have exclusive jurisdiction to settle any dispute arising out of or in connection with this agreement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 dispute relating to any non-contractual obligations arising out of or in connection with this agreement) and the parties submit to the exclusive jurisdiction of the courts of New York.</w:t>
      </w:r>
    </w:p>
    <w:p>
      <w:pPr>
        <w:spacing w:after="0" w:line="176" w:lineRule="exact"/>
        <w:rPr>
          <w:rFonts w:ascii="Arial" w:cs="Arial" w:eastAsia="Arial" w:hAnsi="Arial"/>
          <w:sz w:val="18"/>
          <w:szCs w:val="18"/>
          <w:color w:val="010000"/>
        </w:rPr>
      </w:pPr>
    </w:p>
    <w:p>
      <w:pPr>
        <w:ind w:left="660" w:right="260" w:hanging="652"/>
        <w:spacing w:after="0" w:line="289" w:lineRule="auto"/>
        <w:tabs>
          <w:tab w:leader="none" w:pos="660" w:val="left"/>
        </w:tabs>
        <w:numPr>
          <w:ilvl w:val="0"/>
          <w:numId w:val="10"/>
        </w:numPr>
        <w:rPr>
          <w:rFonts w:ascii="Arial" w:cs="Arial" w:eastAsia="Arial" w:hAnsi="Arial"/>
          <w:sz w:val="17"/>
          <w:szCs w:val="17"/>
          <w:color w:val="010000"/>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Any provision contained in this Note which is prohibited or unenforceable in any jurisdiction shall, as to such jurisdiction, be</w:t>
      </w:r>
      <w:r>
        <w:rPr>
          <w:rFonts w:ascii="Arial" w:cs="Arial" w:eastAsia="Arial" w:hAnsi="Arial"/>
          <w:sz w:val="17"/>
          <w:szCs w:val="17"/>
          <w:b w:val="1"/>
          <w:bCs w:val="1"/>
          <w:color w:val="auto"/>
        </w:rPr>
        <w:t xml:space="preserve"> </w:t>
      </w:r>
      <w:r>
        <w:rPr>
          <w:rFonts w:ascii="Arial" w:cs="Arial" w:eastAsia="Arial" w:hAnsi="Arial"/>
          <w:sz w:val="17"/>
          <w:szCs w:val="17"/>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8" w:lineRule="exact"/>
        <w:rPr>
          <w:rFonts w:ascii="Arial" w:cs="Arial" w:eastAsia="Arial" w:hAnsi="Arial"/>
          <w:sz w:val="17"/>
          <w:szCs w:val="17"/>
          <w:color w:val="010000"/>
        </w:rPr>
      </w:pPr>
    </w:p>
    <w:p>
      <w:pPr>
        <w:ind w:left="660" w:hanging="652"/>
        <w:spacing w:after="0"/>
        <w:tabs>
          <w:tab w:leader="none" w:pos="660" w:val="left"/>
        </w:tabs>
        <w:numPr>
          <w:ilvl w:val="0"/>
          <w:numId w:val="10"/>
        </w:numPr>
        <w:rPr>
          <w:rFonts w:ascii="Arial" w:cs="Arial" w:eastAsia="Arial" w:hAnsi="Arial"/>
          <w:sz w:val="17"/>
          <w:szCs w:val="17"/>
          <w:color w:val="010000"/>
        </w:rPr>
      </w:pPr>
      <w:r>
        <w:rPr>
          <w:rFonts w:ascii="Arial" w:cs="Arial" w:eastAsia="Arial" w:hAnsi="Arial"/>
          <w:sz w:val="17"/>
          <w:szCs w:val="17"/>
          <w:b w:val="1"/>
          <w:bCs w:val="1"/>
          <w:color w:val="auto"/>
        </w:rPr>
        <w:t xml:space="preserve">Trust Waiver. </w:t>
      </w:r>
      <w:r>
        <w:rPr>
          <w:rFonts w:ascii="Arial" w:cs="Arial" w:eastAsia="Arial" w:hAnsi="Arial"/>
          <w:sz w:val="17"/>
          <w:szCs w:val="17"/>
          <w:color w:val="auto"/>
        </w:rPr>
        <w:t>Notwithstanding anything herein to the contrary, the Payee hereby waives any and all right, title, interest or claim of any kind</w:t>
      </w:r>
    </w:p>
    <w:p>
      <w:pPr>
        <w:spacing w:after="0" w:line="38" w:lineRule="exact"/>
        <w:rPr>
          <w:rFonts w:ascii="Arial" w:cs="Arial" w:eastAsia="Arial" w:hAnsi="Arial"/>
          <w:sz w:val="17"/>
          <w:szCs w:val="17"/>
          <w:color w:val="010000"/>
        </w:rPr>
      </w:pPr>
    </w:p>
    <w:p>
      <w:pPr>
        <w:ind w:left="660"/>
        <w:spacing w:after="0" w:line="292" w:lineRule="auto"/>
        <w:rPr>
          <w:rFonts w:ascii="Arial" w:cs="Arial" w:eastAsia="Arial" w:hAnsi="Arial"/>
          <w:sz w:val="17"/>
          <w:szCs w:val="17"/>
          <w:color w:val="010000"/>
        </w:rPr>
      </w:pPr>
      <w:r>
        <w:rPr>
          <w:rFonts w:ascii="Arial" w:cs="Arial" w:eastAsia="Arial" w:hAnsi="Arial"/>
          <w:sz w:val="16"/>
          <w:szCs w:val="16"/>
          <w:color w:val="auto"/>
        </w:rPr>
        <w:t>(“</w:t>
      </w:r>
      <w:r>
        <w:rPr>
          <w:rFonts w:ascii="Arial" w:cs="Arial" w:eastAsia="Arial" w:hAnsi="Arial"/>
          <w:sz w:val="16"/>
          <w:szCs w:val="16"/>
          <w:b w:val="1"/>
          <w:bCs w:val="1"/>
          <w:color w:val="auto"/>
        </w:rPr>
        <w:t>Claim</w:t>
      </w:r>
      <w:r>
        <w:rPr>
          <w:rFonts w:ascii="Arial" w:cs="Arial" w:eastAsia="Arial" w:hAnsi="Arial"/>
          <w:sz w:val="16"/>
          <w:szCs w:val="16"/>
          <w:color w:val="auto"/>
        </w:rPr>
        <w:t>”) in or to any amounts contained in the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xml:space="preserve"> in which the proceeds of the initial public offering (the “</w:t>
      </w:r>
      <w:r>
        <w:rPr>
          <w:rFonts w:ascii="Arial" w:cs="Arial" w:eastAsia="Arial" w:hAnsi="Arial"/>
          <w:sz w:val="16"/>
          <w:szCs w:val="16"/>
          <w:b w:val="1"/>
          <w:bCs w:val="1"/>
          <w:color w:val="auto"/>
        </w:rPr>
        <w:t>IPO</w:t>
      </w:r>
      <w:r>
        <w:rPr>
          <w:rFonts w:ascii="Arial" w:cs="Arial" w:eastAsia="Arial" w:hAnsi="Arial"/>
          <w:sz w:val="16"/>
          <w:szCs w:val="16"/>
          <w:color w:val="auto"/>
        </w:rPr>
        <w:t>”) conducted by the Maker and the proceeds of the sale of securities in a private placement that occurred prior to the effectiveness of the IPO, as described in greater detail in the Prospectus, were placed,, and hereby agrees not to seek recourse, reimbursement, payment or satisfaction for any Claim from the trust account or any distribution therefrom for any reason whatsoever. If the Maker does not consummate a business combination (as described in the Prospectus), this Note shall be repaid only from amounts remaining outside of the Trust Account,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7" w:name="page8"/>
    <w:bookmarkEnd w:id="7"/>
    <w:p>
      <w:pPr>
        <w:ind w:left="660" w:right="20" w:hanging="652"/>
        <w:spacing w:after="0" w:line="282" w:lineRule="auto"/>
        <w:tabs>
          <w:tab w:leader="none" w:pos="660" w:val="left"/>
        </w:tabs>
        <w:numPr>
          <w:ilvl w:val="0"/>
          <w:numId w:val="11"/>
        </w:numPr>
        <w:rPr>
          <w:rFonts w:ascii="Arial" w:cs="Arial" w:eastAsia="Arial" w:hAnsi="Arial"/>
          <w:sz w:val="18"/>
          <w:szCs w:val="18"/>
          <w:color w:val="010000"/>
        </w:rPr>
      </w:pPr>
      <w:r>
        <w:rPr>
          <w:rFonts w:ascii="Arial" w:cs="Arial" w:eastAsia="Arial" w:hAnsi="Arial"/>
          <w:sz w:val="18"/>
          <w:szCs w:val="18"/>
          <w:b w:val="1"/>
          <w:bCs w:val="1"/>
          <w:color w:val="auto"/>
        </w:rPr>
        <w:t xml:space="preserve">Amendment; Waiver. </w:t>
      </w:r>
      <w:r>
        <w:rPr>
          <w:rFonts w:ascii="Arial" w:cs="Arial" w:eastAsia="Arial" w:hAnsi="Arial"/>
          <w:sz w:val="18"/>
          <w:szCs w:val="18"/>
          <w:color w:val="auto"/>
        </w:rPr>
        <w:t>Any amendment hereto or waiver of any provision hereof may be made with, and only with, the written consent of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Payee.</w:t>
      </w:r>
    </w:p>
    <w:p>
      <w:pPr>
        <w:spacing w:after="0" w:line="161" w:lineRule="exact"/>
        <w:rPr>
          <w:rFonts w:ascii="Arial" w:cs="Arial" w:eastAsia="Arial" w:hAnsi="Arial"/>
          <w:sz w:val="18"/>
          <w:szCs w:val="18"/>
          <w:color w:val="010000"/>
        </w:rPr>
      </w:pPr>
    </w:p>
    <w:p>
      <w:pPr>
        <w:ind w:left="660" w:right="80" w:hanging="652"/>
        <w:spacing w:after="0" w:line="347" w:lineRule="auto"/>
        <w:tabs>
          <w:tab w:leader="none" w:pos="660" w:val="left"/>
        </w:tabs>
        <w:numPr>
          <w:ilvl w:val="0"/>
          <w:numId w:val="11"/>
        </w:numPr>
        <w:rPr>
          <w:rFonts w:ascii="Arial" w:cs="Arial" w:eastAsia="Arial" w:hAnsi="Arial"/>
          <w:sz w:val="16"/>
          <w:szCs w:val="16"/>
          <w:color w:val="010000"/>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No assignment or transfer of this Note or any rights or obligations hereunder may be made by any party hereto (by operation of law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without the prior written consent of the other party hereto and any attempted assignment without the required consent shall be void.</w:t>
      </w:r>
    </w:p>
    <w:p>
      <w:pPr>
        <w:spacing w:after="0" w:line="116" w:lineRule="exact"/>
        <w:rPr>
          <w:rFonts w:ascii="Arial" w:cs="Arial" w:eastAsia="Arial" w:hAnsi="Arial"/>
          <w:sz w:val="16"/>
          <w:szCs w:val="16"/>
          <w:color w:val="010000"/>
        </w:rPr>
      </w:pPr>
    </w:p>
    <w:p>
      <w:pPr>
        <w:ind w:left="660" w:hanging="652"/>
        <w:spacing w:after="0" w:line="266" w:lineRule="auto"/>
        <w:tabs>
          <w:tab w:leader="none" w:pos="660" w:val="left"/>
        </w:tabs>
        <w:numPr>
          <w:ilvl w:val="0"/>
          <w:numId w:val="11"/>
        </w:numPr>
        <w:rPr>
          <w:rFonts w:ascii="Arial" w:cs="Arial" w:eastAsia="Arial" w:hAnsi="Arial"/>
          <w:sz w:val="18"/>
          <w:szCs w:val="18"/>
          <w:color w:val="010000"/>
        </w:rPr>
      </w:pPr>
      <w:r>
        <w:rPr>
          <w:rFonts w:ascii="Arial" w:cs="Arial" w:eastAsia="Arial" w:hAnsi="Arial"/>
          <w:sz w:val="18"/>
          <w:szCs w:val="18"/>
          <w:b w:val="1"/>
          <w:bCs w:val="1"/>
          <w:color w:val="auto"/>
        </w:rPr>
        <w:t xml:space="preserve">Further Assurance. </w:t>
      </w:r>
      <w:r>
        <w:rPr>
          <w:rFonts w:ascii="Arial" w:cs="Arial" w:eastAsia="Arial" w:hAnsi="Arial"/>
          <w:sz w:val="18"/>
          <w:szCs w:val="18"/>
          <w:color w:val="auto"/>
        </w:rPr>
        <w:t>The Maker shall, at its own cost and expense, execute and do (or procure to be executed and done by any other necessary party)</w:t>
      </w:r>
      <w:r>
        <w:rPr>
          <w:rFonts w:ascii="Arial" w:cs="Arial" w:eastAsia="Arial" w:hAnsi="Arial"/>
          <w:sz w:val="18"/>
          <w:szCs w:val="18"/>
          <w:b w:val="1"/>
          <w:bCs w:val="1"/>
          <w:color w:val="auto"/>
        </w:rPr>
        <w:t xml:space="preserve"> </w:t>
      </w:r>
      <w:r>
        <w:rPr>
          <w:rFonts w:ascii="Arial" w:cs="Arial" w:eastAsia="Arial" w:hAnsi="Arial"/>
          <w:sz w:val="18"/>
          <w:szCs w:val="18"/>
          <w:color w:val="auto"/>
        </w:rPr>
        <w:t>all such deeds, documents, acts and things as the Payee may from time to time require as may be necessary to give full effect to this Promissory Note.</w:t>
      </w:r>
    </w:p>
    <w:p>
      <w:pPr>
        <w:spacing w:after="0" w:line="1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WITNESS WHEREOF, Maker, intending to be legally bound hereby, has caused this Note to be duly executed by its Chief Financial Officer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M I Acquisitions, Inc. Announces Additional Contribution to Trust Account to Extend Period to Consummate Business Combination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highlight w:val="white"/>
        </w:rPr>
        <w:t>New York, NY, May 17, 2018 --- M I Acquisitions, Inc. (NASDAQ: MACQU, MACQ, MACQW) (“M I”), a Magna-sponsored special purpose acquisition company, announced today that Priority Holdings, LLC (“Priority”) has deposited into the M I trust account (the “Trust Account”) an aggregate of $132,752.73 (representing approximately $0.025 per share of common stock), in order to extend the period of time M I has to complete a business combination for an additional one (1) month period, from May 19, 2018 to June 19, 2018. M I issued a promissory note to Priority with a principal amount equal to the amount deposited. The purpose of the extension is to provide time for M I to complete its previously announced business combination with Priority, a leading provider of B2C and B2B payment processing solutions based in Alpharetta, GA.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M I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097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097915"/>
                    </a:xfrm>
                    <a:prstGeom prst="rect">
                      <a:avLst/>
                    </a:prstGeom>
                    <a:noFill/>
                  </pic:spPr>
                </pic:pic>
              </a:graphicData>
            </a:graphic>
          </wp:anchor>
        </w:drawing>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highlight w:val="white"/>
        </w:rPr>
        <w:t>M I is a blank check company formed for the purpose of entering into a merger, share exchange, asset acquisition, stock purchase, recapitalization, reorganization or other similar business combination with one or more businesses or entities sponsored by NY-based investment firm, Magna. In September 2016, M I consummated a $54.7 million initial public offering of 5.73 million units, each unit consisting of one share of common stock and one redeemable common stock purchase warrant, at a price of $10.00 per unit. M I’s securities are quoted on the NASDAQ stock exchange under the ticker symbols MACQ, MACQW and MACQU.</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Important Notice Regarding Forward-Looking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press release contains statements that constitute “forward-looking statements,” including the funding of the Trust Account to extend the period of time for M I to consummate a business combination. Forward-looking statements are subject to numerous conditions, many of which are beyond the control of the M I, including those set forth in the Risk Factors section of M I’s annual report on Form 10-K for the year ended December 31, 2017, filed with the Securities and Exchange Commission (“SEC”). Copies are available on the SEC’s website, www.sec.gov. M I undertakes no obligation to update these statements for revisions or changes after the date of this release,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transaction described herein, M I will file relevant materials with the Securities and Exchange Commission (the “SEC”), including a proxy statement on Schedule 14A. Promptly after filing its definitive proxy statement with the SEC, M I will mail the definitive proxy statement and a proxy card to each stockholder entitled to vote at the special meeting relating to the transaction. INVESTORS AND SECURITY HOLDERS OF M I ARE URGED TO READ THESE MATERIALS (INCLUDING ANY AMENDMENTS OR SUPPLEMENTS THERETO) AND ANY OTHER RELEVANT DOCUMENTS IN CONNECTION WITH THE TRANSACTION THAT M I WILL FILE WITH THE SEC WHEN THEY BECOME AVAILABLE BECAUSE THEY WILL CONTAIN IMPORTANT INFORMATION ABOUT M I, PRIORITY AND THE TRANSACTION. The definitive proxy statement, the preliminary proxy statement and other relevant materials in connection with the transaction (when they become available), and any other documents filed by M I with the SEC, may be obtained free of charge at the SEC’s website (www.sec.gov) or at M I’s website (www.miacquisitions.com) or by writing to M I, c/o Magna Management LLC, 40 Wall Street, 58th Floor, New York, NY 10005.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Participants in Solicitation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 M I, and their respective directors, executive officers and employees and other persons may be deemed to be participants in the solicitation of proxies from the holders of M I common stock in respect of the proposed transaction. Information about M I’s directors and executive officers and their ownership of M I’s common stock is set forth in M I’s Annual Report on Form 10-K for the year ended December 31, 2017 filed with the SEC, as modified or supplemented by any Form 3 or Form 4 filed with the SEC since the date of such filing. Other information regarding the interests of the participants in the proxy solicitation will be included in the proxy statement pertaining to the proposed transaction when it becomes available.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lowerLetter"/>
      <w:start w:val="3"/>
    </w:lvl>
  </w:abstractNum>
  <w:abstractNum w:abstractNumId="5">
    <w:nsid w:val="515F007C"/>
    <w:multiLevelType w:val="hybridMultilevel"/>
    <w:lvl w:ilvl="0">
      <w:lvlJc w:val="left"/>
      <w:lvlText w:val="%1."/>
      <w:numFmt w:val="decimal"/>
      <w:start w:val="1"/>
    </w:lvl>
    <w:lvl w:ilvl="1">
      <w:lvlJc w:val="left"/>
      <w:lvlText w:val="(%2)"/>
      <w:numFmt w:val="lowerLetter"/>
      <w:start w:val="1"/>
    </w:lvl>
  </w:abstractNum>
  <w:abstractNum w:abstractNumId="6">
    <w:nsid w:val="5BD062C2"/>
    <w:multiLevelType w:val="hybridMultilevel"/>
    <w:lvl w:ilvl="0">
      <w:lvlJc w:val="left"/>
      <w:lvlText w:val="%1"/>
      <w:numFmt w:val="decimal"/>
      <w:start w:val="1"/>
    </w:lvl>
    <w:lvl w:ilvl="1">
      <w:lvlJc w:val="left"/>
      <w:lvlText w:val="(%2)"/>
      <w:numFmt w:val="lowerLetter"/>
      <w:start w:val="3"/>
    </w:lvl>
  </w:abstractNum>
  <w:abstractNum w:abstractNumId="7">
    <w:nsid w:val="12200854"/>
    <w:multiLevelType w:val="hybridMultilevel"/>
    <w:lvl w:ilvl="0">
      <w:lvlJc w:val="left"/>
      <w:lvlText w:val="%1."/>
      <w:numFmt w:val="decimal"/>
      <w:start w:val="5"/>
    </w:lvl>
    <w:lvl w:ilvl="1">
      <w:lvlJc w:val="left"/>
      <w:lvlText w:val="(%2)"/>
      <w:numFmt w:val="lowerLetter"/>
      <w:start w:val="1"/>
    </w:lvl>
  </w:abstractNum>
  <w:abstractNum w:abstractNumId="8">
    <w:nsid w:val="4DB127F8"/>
    <w:multiLevelType w:val="hybridMultilevel"/>
    <w:lvl w:ilvl="0">
      <w:lvlJc w:val="left"/>
      <w:lvlText w:val="%1."/>
      <w:numFmt w:val="decimal"/>
      <w:start w:val="8"/>
    </w:lvl>
  </w:abstractNum>
  <w:abstractNum w:abstractNumId="9">
    <w:nsid w:val="216231B"/>
    <w:multiLevelType w:val="hybridMultilevel"/>
    <w:lvl w:ilvl="0">
      <w:lvlJc w:val="left"/>
      <w:lvlText w:val="%1."/>
      <w:numFmt w:val="decimal"/>
      <w:start w:val="9"/>
    </w:lvl>
  </w:abstractNum>
  <w:abstractNum w:abstractNumId="10">
    <w:nsid w:val="1F16E9E8"/>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2020-01-15T11:01:15Z</dcterms:created>
  <dcterms:modified xsi:type="dcterms:W3CDTF">2020-01-15T11:01:15Z</dcterms:modified>
</cp:coreProperties>
</file>