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Exchange Act of 1934</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March 16, 2022</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2743200</wp:posOffset>
            </wp:positionH>
            <wp:positionV relativeFrom="paragraph">
              <wp:posOffset>3810</wp:posOffset>
            </wp:positionV>
            <wp:extent cx="1691640" cy="782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1640" cy="782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u w:val="single" w:color="auto"/>
          <w:color w:val="auto"/>
        </w:rPr>
        <w:t>Priority Technology Holdings, Inc.</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pacing w:after="0" w:line="218" w:lineRule="exact"/>
        <w:rPr>
          <w:sz w:val="24"/>
          <w:szCs w:val="24"/>
          <w:color w:val="auto"/>
        </w:rPr>
      </w:pPr>
    </w:p>
    <w:tbl>
      <w:tblPr>
        <w:tblLayout w:type="fixed"/>
        <w:tblInd w:w="8" w:type="dxa"/>
        <w:tblCellMar>
          <w:top w:w="0" w:type="dxa"/>
          <w:left w:w="0" w:type="dxa"/>
          <w:bottom w:w="0" w:type="dxa"/>
          <w:right w:w="0" w:type="dxa"/>
        </w:tblCellMar>
      </w:tblPr>
      <w:tr>
        <w:trPr>
          <w:trHeight w:val="15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Delaware</w:t>
            </w:r>
          </w:p>
        </w:tc>
        <w:tc>
          <w:tcPr>
            <w:tcW w:w="320" w:type="dxa"/>
            <w:vAlign w:val="bottom"/>
          </w:tcPr>
          <w:p>
            <w:pPr>
              <w:spacing w:after="0"/>
              <w:rPr>
                <w:sz w:val="13"/>
                <w:szCs w:val="13"/>
                <w:color w:val="auto"/>
              </w:rPr>
            </w:pPr>
          </w:p>
        </w:tc>
        <w:tc>
          <w:tcPr>
            <w:tcW w:w="2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001-37872</w:t>
            </w:r>
          </w:p>
        </w:tc>
        <w:tc>
          <w:tcPr>
            <w:tcW w:w="12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Borders>
              <w:bottom w:val="single" w:sz="8" w:color="auto"/>
            </w:tcBorders>
          </w:tcPr>
          <w:p>
            <w:pPr>
              <w:jc w:val="right"/>
              <w:ind w:right="1440"/>
              <w:spacing w:after="0"/>
              <w:rPr>
                <w:sz w:val="20"/>
                <w:szCs w:val="20"/>
                <w:color w:val="auto"/>
              </w:rPr>
            </w:pPr>
            <w:r>
              <w:rPr>
                <w:rFonts w:ascii="Arial" w:cs="Arial" w:eastAsia="Arial" w:hAnsi="Arial"/>
                <w:sz w:val="12"/>
                <w:szCs w:val="12"/>
                <w:b w:val="1"/>
                <w:bCs w:val="1"/>
                <w:color w:val="auto"/>
              </w:rPr>
              <w:t>47-4257046</w:t>
            </w:r>
          </w:p>
        </w:tc>
        <w:tc>
          <w:tcPr>
            <w:tcW w:w="20" w:type="dxa"/>
            <w:vAlign w:val="bottom"/>
          </w:tcPr>
          <w:p>
            <w:pPr>
              <w:spacing w:after="0"/>
              <w:rPr>
                <w:sz w:val="13"/>
                <w:szCs w:val="13"/>
                <w:color w:val="auto"/>
              </w:rPr>
            </w:pPr>
          </w:p>
        </w:tc>
      </w:tr>
      <w:tr>
        <w:trPr>
          <w:trHeight w:val="142"/>
        </w:trPr>
        <w:tc>
          <w:tcPr>
            <w:tcW w:w="4000" w:type="dxa"/>
            <w:vAlign w:val="bottom"/>
            <w:gridSpan w:val="2"/>
          </w:tcPr>
          <w:p>
            <w:pPr>
              <w:jc w:val="center"/>
              <w:ind w:right="360"/>
              <w:spacing w:after="0"/>
              <w:rPr>
                <w:sz w:val="20"/>
                <w:szCs w:val="20"/>
                <w:color w:val="auto"/>
              </w:rPr>
            </w:pPr>
            <w:r>
              <w:rPr>
                <w:rFonts w:ascii="Arial" w:cs="Arial" w:eastAsia="Arial" w:hAnsi="Arial"/>
                <w:sz w:val="12"/>
                <w:szCs w:val="12"/>
                <w:color w:val="auto"/>
                <w:w w:val="93"/>
              </w:rPr>
              <w:t>(State or other jurisdiction of incorporation)</w:t>
            </w:r>
          </w:p>
        </w:tc>
        <w:tc>
          <w:tcPr>
            <w:tcW w:w="3700" w:type="dxa"/>
            <w:vAlign w:val="bottom"/>
            <w:gridSpan w:val="4"/>
          </w:tcPr>
          <w:p>
            <w:pPr>
              <w:jc w:val="center"/>
              <w:ind w:right="340"/>
              <w:spacing w:after="0"/>
              <w:rPr>
                <w:sz w:val="20"/>
                <w:szCs w:val="20"/>
                <w:color w:val="auto"/>
              </w:rPr>
            </w:pPr>
            <w:r>
              <w:rPr>
                <w:rFonts w:ascii="Arial" w:cs="Arial" w:eastAsia="Arial" w:hAnsi="Arial"/>
                <w:sz w:val="12"/>
                <w:szCs w:val="12"/>
                <w:color w:val="auto"/>
                <w:w w:val="92"/>
              </w:rPr>
              <w:t>(Commission File Number)</w:t>
            </w:r>
          </w:p>
        </w:tc>
        <w:tc>
          <w:tcPr>
            <w:tcW w:w="3580" w:type="dxa"/>
            <w:vAlign w:val="bottom"/>
          </w:tcPr>
          <w:p>
            <w:pPr>
              <w:jc w:val="center"/>
              <w:spacing w:after="0"/>
              <w:rPr>
                <w:sz w:val="20"/>
                <w:szCs w:val="20"/>
                <w:color w:val="auto"/>
              </w:rPr>
            </w:pPr>
            <w:r>
              <w:rPr>
                <w:rFonts w:ascii="Arial" w:cs="Arial" w:eastAsia="Arial" w:hAnsi="Arial"/>
                <w:sz w:val="12"/>
                <w:szCs w:val="12"/>
                <w:color w:val="auto"/>
                <w:w w:val="94"/>
              </w:rPr>
              <w:t>(I.R.S. Employer Identification No.)</w:t>
            </w:r>
          </w:p>
        </w:tc>
        <w:tc>
          <w:tcPr>
            <w:tcW w:w="20" w:type="dxa"/>
            <w:vAlign w:val="bottom"/>
          </w:tcPr>
          <w:p>
            <w:pPr>
              <w:spacing w:after="0"/>
              <w:rPr>
                <w:sz w:val="12"/>
                <w:szCs w:val="12"/>
                <w:color w:val="auto"/>
              </w:rPr>
            </w:pPr>
          </w:p>
        </w:tc>
      </w:tr>
      <w:tr>
        <w:trPr>
          <w:trHeight w:val="437"/>
        </w:trPr>
        <w:tc>
          <w:tcPr>
            <w:tcW w:w="4000" w:type="dxa"/>
            <w:vAlign w:val="bottom"/>
            <w:gridSpan w:val="2"/>
          </w:tcPr>
          <w:p>
            <w:pPr>
              <w:jc w:val="center"/>
              <w:ind w:left="1700"/>
              <w:spacing w:after="0"/>
              <w:rPr>
                <w:sz w:val="20"/>
                <w:szCs w:val="20"/>
                <w:color w:val="auto"/>
              </w:rPr>
            </w:pPr>
            <w:r>
              <w:rPr>
                <w:rFonts w:ascii="Arial" w:cs="Arial" w:eastAsia="Arial" w:hAnsi="Arial"/>
                <w:sz w:val="12"/>
                <w:szCs w:val="12"/>
                <w:b w:val="1"/>
                <w:bCs w:val="1"/>
                <w:color w:val="auto"/>
                <w:w w:val="89"/>
              </w:rPr>
              <w:t>2001 Westside Parkway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jc w:val="right"/>
              <w:ind w:right="2380"/>
              <w:spacing w:after="0"/>
              <w:rPr>
                <w:sz w:val="20"/>
                <w:szCs w:val="20"/>
                <w:color w:val="auto"/>
              </w:rPr>
            </w:pPr>
            <w:r>
              <w:rPr>
                <w:rFonts w:ascii="Arial" w:cs="Arial" w:eastAsia="Arial" w:hAnsi="Arial"/>
                <w:sz w:val="12"/>
                <w:szCs w:val="12"/>
                <w:b w:val="1"/>
                <w:bCs w:val="1"/>
                <w:color w:val="auto"/>
              </w:rPr>
              <w:t>30004</w:t>
            </w:r>
          </w:p>
        </w:tc>
        <w:tc>
          <w:tcPr>
            <w:tcW w:w="20" w:type="dxa"/>
            <w:vAlign w:val="bottom"/>
          </w:tcPr>
          <w:p>
            <w:pPr>
              <w:spacing w:after="0"/>
              <w:rPr>
                <w:sz w:val="24"/>
                <w:szCs w:val="24"/>
                <w:color w:val="auto"/>
              </w:rPr>
            </w:pPr>
          </w:p>
        </w:tc>
      </w:tr>
      <w:tr>
        <w:trPr>
          <w:trHeight w:val="153"/>
        </w:trPr>
        <w:tc>
          <w:tcPr>
            <w:tcW w:w="4000" w:type="dxa"/>
            <w:vAlign w:val="bottom"/>
            <w:gridSpan w:val="2"/>
          </w:tcPr>
          <w:p>
            <w:pPr>
              <w:jc w:val="center"/>
              <w:ind w:left="1700"/>
              <w:spacing w:after="0"/>
              <w:rPr>
                <w:sz w:val="20"/>
                <w:szCs w:val="20"/>
                <w:color w:val="auto"/>
              </w:rPr>
            </w:pPr>
            <w:r>
              <w:rPr>
                <w:rFonts w:ascii="Arial" w:cs="Arial" w:eastAsia="Arial" w:hAnsi="Arial"/>
                <w:sz w:val="12"/>
                <w:szCs w:val="12"/>
                <w:b w:val="1"/>
                <w:bCs w:val="1"/>
                <w:color w:val="auto"/>
                <w:w w:val="91"/>
              </w:rPr>
              <w:t>Suite 155</w:t>
            </w: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4000" w:type="dxa"/>
            <w:vAlign w:val="bottom"/>
            <w:gridSpan w:val="2"/>
          </w:tcPr>
          <w:p>
            <w:pPr>
              <w:ind w:left="1140"/>
              <w:spacing w:after="0"/>
              <w:rPr>
                <w:sz w:val="20"/>
                <w:szCs w:val="20"/>
                <w:color w:val="auto"/>
              </w:rPr>
            </w:pPr>
            <w:r>
              <w:rPr>
                <w:rFonts w:ascii="Arial" w:cs="Arial" w:eastAsia="Arial" w:hAnsi="Arial"/>
                <w:sz w:val="12"/>
                <w:szCs w:val="12"/>
                <w:b w:val="1"/>
                <w:bCs w:val="1"/>
                <w:color w:val="auto"/>
              </w:rPr>
              <w:t>Alpharetta,</w:t>
            </w:r>
          </w:p>
        </w:tc>
        <w:tc>
          <w:tcPr>
            <w:tcW w:w="3700" w:type="dxa"/>
            <w:vAlign w:val="bottom"/>
            <w:gridSpan w:val="4"/>
          </w:tcPr>
          <w:p>
            <w:pPr>
              <w:ind w:left="120"/>
              <w:spacing w:after="0"/>
              <w:rPr>
                <w:sz w:val="20"/>
                <w:szCs w:val="20"/>
                <w:color w:val="auto"/>
              </w:rPr>
            </w:pPr>
            <w:r>
              <w:rPr>
                <w:rFonts w:ascii="Arial" w:cs="Arial" w:eastAsia="Arial" w:hAnsi="Arial"/>
                <w:sz w:val="12"/>
                <w:szCs w:val="12"/>
                <w:b w:val="1"/>
                <w:bCs w:val="1"/>
                <w:color w:val="auto"/>
              </w:rPr>
              <w:t>Georgia</w:t>
            </w: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4000" w:type="dxa"/>
            <w:vAlign w:val="bottom"/>
            <w:tcBorders>
              <w:top w:val="single" w:sz="8" w:color="auto"/>
            </w:tcBorders>
            <w:gridSpan w:val="2"/>
          </w:tcPr>
          <w:p>
            <w:pPr>
              <w:jc w:val="center"/>
              <w:ind w:left="1660"/>
              <w:spacing w:after="0"/>
              <w:rPr>
                <w:sz w:val="20"/>
                <w:szCs w:val="20"/>
                <w:color w:val="auto"/>
              </w:rPr>
            </w:pPr>
            <w:r>
              <w:rPr>
                <w:rFonts w:ascii="Arial" w:cs="Arial" w:eastAsia="Arial" w:hAnsi="Arial"/>
                <w:sz w:val="12"/>
                <w:szCs w:val="12"/>
                <w:color w:val="auto"/>
                <w:w w:val="92"/>
              </w:rPr>
              <w:t>(Address of Principal Executive Offices)</w:t>
            </w:r>
          </w:p>
        </w:tc>
        <w:tc>
          <w:tcPr>
            <w:tcW w:w="1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Arial" w:cs="Arial" w:eastAsia="Arial" w:hAnsi="Arial"/>
                <w:sz w:val="12"/>
                <w:szCs w:val="12"/>
                <w:color w:val="auto"/>
                <w:w w:val="91"/>
              </w:rPr>
              <w:t>(Zip Code)</w:t>
            </w:r>
          </w:p>
        </w:tc>
        <w:tc>
          <w:tcPr>
            <w:tcW w:w="20" w:type="dxa"/>
            <w:vAlign w:val="bottom"/>
            <w:tcBorders>
              <w:top w:val="single" w:sz="8" w:color="auto"/>
            </w:tcBorders>
          </w:tcPr>
          <w:p>
            <w:pPr>
              <w:spacing w:after="0"/>
              <w:rPr>
                <w:sz w:val="12"/>
                <w:szCs w:val="12"/>
                <w:color w:val="auto"/>
              </w:rPr>
            </w:pPr>
          </w:p>
        </w:tc>
      </w:tr>
    </w:tbl>
    <w:p>
      <w:pPr>
        <w:spacing w:after="0" w:line="185"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u w:val="single" w:color="auto"/>
          <w:color w:val="auto"/>
        </w:rPr>
        <w:t>see</w:t>
      </w:r>
      <w:r>
        <w:rPr>
          <w:rFonts w:ascii="Arial" w:cs="Arial" w:eastAsia="Arial" w:hAnsi="Arial"/>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5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140" w:type="dxa"/>
            <w:vAlign w:val="bottom"/>
            <w:gridSpan w:val="4"/>
          </w:tcPr>
          <w:p>
            <w:pPr>
              <w:ind w:left="100"/>
              <w:spacing w:after="0"/>
              <w:rPr>
                <w:sz w:val="20"/>
                <w:szCs w:val="20"/>
                <w:color w:val="auto"/>
              </w:rPr>
            </w:pPr>
            <w:r>
              <w:rPr>
                <w:rFonts w:ascii="Arial" w:cs="Arial" w:eastAsia="Arial" w:hAnsi="Arial"/>
                <w:sz w:val="12"/>
                <w:szCs w:val="12"/>
                <w:color w:val="auto"/>
              </w:rPr>
              <w:t>Securities registered pursuant to Section 12(b) of the Act:</w:t>
            </w:r>
          </w:p>
        </w:tc>
      </w:tr>
      <w:tr>
        <w:trPr>
          <w:trHeight w:val="234"/>
        </w:trPr>
        <w:tc>
          <w:tcPr>
            <w:tcW w:w="560" w:type="dxa"/>
            <w:vAlign w:val="bottom"/>
          </w:tcPr>
          <w:p>
            <w:pPr>
              <w:spacing w:after="0"/>
              <w:rPr>
                <w:sz w:val="20"/>
                <w:szCs w:val="20"/>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Title of each class</w:t>
            </w:r>
          </w:p>
        </w:tc>
        <w:tc>
          <w:tcPr>
            <w:tcW w:w="20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Trading Symbol</w:t>
            </w:r>
          </w:p>
        </w:tc>
        <w:tc>
          <w:tcPr>
            <w:tcW w:w="180" w:type="dxa"/>
            <w:vAlign w:val="bottom"/>
          </w:tcPr>
          <w:p>
            <w:pPr>
              <w:spacing w:after="0"/>
              <w:rPr>
                <w:sz w:val="20"/>
                <w:szCs w:val="20"/>
                <w:color w:val="auto"/>
              </w:rPr>
            </w:pP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Name of each exchange on which registered</w:t>
            </w:r>
          </w:p>
        </w:tc>
        <w:tc>
          <w:tcPr>
            <w:tcW w:w="560" w:type="dxa"/>
            <w:vAlign w:val="bottom"/>
          </w:tcPr>
          <w:p>
            <w:pPr>
              <w:spacing w:after="0"/>
              <w:rPr>
                <w:sz w:val="20"/>
                <w:szCs w:val="20"/>
                <w:color w:val="auto"/>
              </w:rPr>
            </w:pPr>
          </w:p>
        </w:tc>
      </w:tr>
      <w:tr>
        <w:trPr>
          <w:trHeight w:val="142"/>
        </w:trPr>
        <w:tc>
          <w:tcPr>
            <w:tcW w:w="560" w:type="dxa"/>
            <w:vAlign w:val="bottom"/>
          </w:tcPr>
          <w:p>
            <w:pPr>
              <w:spacing w:after="0"/>
              <w:rPr>
                <w:sz w:val="12"/>
                <w:szCs w:val="12"/>
                <w:color w:val="auto"/>
              </w:rPr>
            </w:pPr>
          </w:p>
        </w:tc>
        <w:tc>
          <w:tcPr>
            <w:tcW w:w="3600" w:type="dxa"/>
            <w:vAlign w:val="bottom"/>
            <w:gridSpan w:val="2"/>
          </w:tcPr>
          <w:p>
            <w:pPr>
              <w:jc w:val="center"/>
              <w:ind w:right="200"/>
              <w:spacing w:after="0"/>
              <w:rPr>
                <w:sz w:val="20"/>
                <w:szCs w:val="20"/>
                <w:color w:val="auto"/>
              </w:rPr>
            </w:pPr>
            <w:r>
              <w:rPr>
                <w:rFonts w:ascii="Arial" w:cs="Arial" w:eastAsia="Arial" w:hAnsi="Arial"/>
                <w:sz w:val="12"/>
                <w:szCs w:val="12"/>
                <w:color w:val="auto"/>
                <w:w w:val="90"/>
              </w:rPr>
              <w:t>Common stock, $0.001 par value</w:t>
            </w:r>
          </w:p>
        </w:tc>
        <w:tc>
          <w:tcPr>
            <w:tcW w:w="2160" w:type="dxa"/>
            <w:vAlign w:val="bottom"/>
            <w:gridSpan w:val="2"/>
          </w:tcPr>
          <w:p>
            <w:pPr>
              <w:jc w:val="center"/>
              <w:ind w:right="180"/>
              <w:spacing w:after="0"/>
              <w:rPr>
                <w:sz w:val="20"/>
                <w:szCs w:val="20"/>
                <w:color w:val="auto"/>
              </w:rPr>
            </w:pPr>
            <w:r>
              <w:rPr>
                <w:rFonts w:ascii="Arial" w:cs="Arial" w:eastAsia="Arial" w:hAnsi="Arial"/>
                <w:sz w:val="12"/>
                <w:szCs w:val="12"/>
                <w:color w:val="auto"/>
                <w:w w:val="91"/>
              </w:rPr>
              <w:t>PRTH</w:t>
            </w:r>
          </w:p>
        </w:tc>
        <w:tc>
          <w:tcPr>
            <w:tcW w:w="4980" w:type="dxa"/>
            <w:vAlign w:val="bottom"/>
            <w:gridSpan w:val="2"/>
          </w:tcPr>
          <w:p>
            <w:pPr>
              <w:ind w:left="1660"/>
              <w:spacing w:after="0"/>
              <w:rPr>
                <w:sz w:val="20"/>
                <w:szCs w:val="20"/>
                <w:color w:val="auto"/>
              </w:rPr>
            </w:pPr>
            <w:r>
              <w:rPr>
                <w:rFonts w:ascii="Arial" w:cs="Arial" w:eastAsia="Arial" w:hAnsi="Arial"/>
                <w:sz w:val="12"/>
                <w:szCs w:val="12"/>
                <w:color w:val="auto"/>
              </w:rPr>
              <w:t>Nasdaq Global Market</w:t>
            </w:r>
          </w:p>
        </w:tc>
      </w:tr>
      <w:tr>
        <w:trPr>
          <w:trHeight w:val="810"/>
        </w:trPr>
        <w:tc>
          <w:tcPr>
            <w:tcW w:w="5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12" w:right="299" w:bottom="1440" w:gutter="0" w:footer="0" w:header="0"/>
        </w:sectPr>
      </w:pPr>
    </w:p>
    <w:bookmarkStart w:id="1" w:name="page2"/>
    <w:bookmarkEnd w:id="1"/>
    <w:p>
      <w:pPr>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0"/>
          <w:szCs w:val="20"/>
          <w:color w:val="auto"/>
        </w:rPr>
      </w:pPr>
    </w:p>
    <w:p>
      <w:pPr>
        <w:ind w:left="120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90" w:lineRule="exact"/>
        <w:rPr>
          <w:sz w:val="20"/>
          <w:szCs w:val="20"/>
          <w:color w:val="auto"/>
        </w:rPr>
      </w:pPr>
    </w:p>
    <w:p>
      <w:pPr>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351790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44" w:right="319" w:bottom="1440" w:gutter="0" w:footer="0" w:header="0"/>
        </w:sectPr>
      </w:pPr>
    </w:p>
    <w:bookmarkStart w:id="2" w:name="page3"/>
    <w:bookmarkEnd w:id="2"/>
    <w:p>
      <w:pPr>
        <w:spacing w:after="0"/>
        <w:tabs>
          <w:tab w:leader="none" w:pos="66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0"/>
          <w:szCs w:val="10"/>
          <w:b w:val="1"/>
          <w:bCs w:val="1"/>
          <w:color w:val="auto"/>
        </w:rPr>
        <w:t>Results of Operations and Financial Condition.</w:t>
      </w:r>
    </w:p>
    <w:p>
      <w:pPr>
        <w:spacing w:after="0" w:line="17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On March 16, 2022, Priority Technology Holdings, Inc. (“Priority”) issued a press release announcing its financial results for the fourth quarter and year ended December 31, 2021. A copy of that press release is attached as Exhibit 99.1 to this Current Report on Form 8-K.</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99" w:lineRule="exact"/>
        <w:rPr>
          <w:sz w:val="20"/>
          <w:szCs w:val="20"/>
          <w:color w:val="auto"/>
        </w:rPr>
      </w:pPr>
    </w:p>
    <w:p>
      <w:pPr>
        <w:spacing w:after="0"/>
        <w:rPr>
          <w:sz w:val="20"/>
          <w:szCs w:val="20"/>
          <w:color w:val="auto"/>
        </w:rPr>
      </w:pPr>
      <w:r>
        <w:rPr>
          <w:rFonts w:ascii="Arial" w:cs="Arial" w:eastAsia="Arial" w:hAnsi="Arial"/>
          <w:sz w:val="10"/>
          <w:szCs w:val="10"/>
          <w:color w:val="auto"/>
        </w:rPr>
        <w:t>On March 17, 2022, Priority will hold an earnings conference call and webcast at 11:00 a.m. (Eastern Time) to discuss the financial results for the fourth quarter and year ended December 31, 2021. The press release referenced in Item</w:t>
      </w:r>
    </w:p>
    <w:p>
      <w:pPr>
        <w:spacing w:after="0" w:line="56"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 xml:space="preserve">2.02 contains information about how to access the conference call and webcast. A copy of the slide presentation to be used during the earnings call and webcast is furnished as Exhibit 99.2 to this Current Report on Form 8-K. The slide presentation also will be available on our website, </w:t>
      </w:r>
      <w:r>
        <w:rPr>
          <w:rFonts w:ascii="Arial" w:cs="Arial" w:eastAsia="Arial" w:hAnsi="Arial"/>
          <w:sz w:val="12"/>
          <w:szCs w:val="12"/>
          <w:color w:val="0000FF"/>
        </w:rPr>
        <w:t>www.prth.com</w:t>
      </w:r>
      <w:r>
        <w:rPr>
          <w:rFonts w:ascii="Arial" w:cs="Arial" w:eastAsia="Arial" w:hAnsi="Arial"/>
          <w:sz w:val="12"/>
          <w:szCs w:val="12"/>
          <w:color w:val="auto"/>
        </w:rPr>
        <w:t xml:space="preserve"> under the “Investor Relations” section.</w:t>
      </w:r>
    </w:p>
    <w:p>
      <w:pPr>
        <w:spacing w:after="0" w:line="133"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106"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(d) Exhibits – The following exhibit is furnished as part of this Current Report on Form 8-K.</w:t>
      </w: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Exhibit</w:t>
      </w:r>
    </w:p>
    <w:p>
      <w:pPr>
        <w:spacing w:after="0" w:line="19"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Number</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95059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0595" cy="5715"/>
                    </a:xfrm>
                    <a:prstGeom prst="rect">
                      <a:avLst/>
                    </a:prstGeom>
                    <a:noFill/>
                  </pic:spPr>
                </pic:pic>
              </a:graphicData>
            </a:graphic>
          </wp:anchor>
        </w:drawing>
      </w:r>
    </w:p>
    <w:p>
      <w:pPr>
        <w:spacing w:after="0" w:line="139" w:lineRule="exact"/>
        <w:rPr>
          <w:sz w:val="20"/>
          <w:szCs w:val="20"/>
          <w:color w:val="auto"/>
        </w:rPr>
      </w:pPr>
    </w:p>
    <w:p>
      <w:pPr>
        <w:spacing w:after="0"/>
        <w:tabs>
          <w:tab w:leader="none" w:pos="420" w:val="left"/>
        </w:tabs>
        <w:rPr>
          <w:rFonts w:ascii="Arial" w:cs="Arial" w:eastAsia="Arial" w:hAnsi="Arial"/>
          <w:sz w:val="10"/>
          <w:szCs w:val="10"/>
          <w:u w:val="single" w:color="auto"/>
          <w:color w:val="0000FF"/>
        </w:rPr>
      </w:pPr>
      <w:hyperlink w:anchor="page4">
        <w:r>
          <w:rPr>
            <w:rFonts w:ascii="Arial" w:cs="Arial" w:eastAsia="Arial" w:hAnsi="Arial"/>
            <w:sz w:val="12"/>
            <w:szCs w:val="12"/>
            <w:u w:val="single" w:color="auto"/>
            <w:color w:val="0000FF"/>
          </w:rPr>
          <w:t>99.1</w:t>
        </w:r>
      </w:hyperlink>
      <w:r>
        <w:rPr>
          <w:rFonts w:ascii="Arial" w:cs="Arial" w:eastAsia="Arial" w:hAnsi="Arial"/>
          <w:sz w:val="12"/>
          <w:szCs w:val="12"/>
          <w:u w:val="single" w:color="auto"/>
          <w:color w:val="0000FF"/>
        </w:rPr>
        <w:tab/>
      </w:r>
      <w:hyperlink w:anchor="page4">
        <w:r>
          <w:rPr>
            <w:rFonts w:ascii="Arial" w:cs="Arial" w:eastAsia="Arial" w:hAnsi="Arial"/>
            <w:sz w:val="10"/>
            <w:szCs w:val="10"/>
            <w:u w:val="single" w:color="auto"/>
            <w:color w:val="0000FF"/>
          </w:rPr>
          <w:t>Press Release of Priority Technology Holdings, Inc. dated March 16, 2022</w:t>
        </w:r>
      </w:hyperlink>
    </w:p>
    <w:p>
      <w:pPr>
        <w:spacing w:after="0" w:line="168" w:lineRule="exact"/>
        <w:rPr>
          <w:sz w:val="20"/>
          <w:szCs w:val="20"/>
          <w:color w:val="auto"/>
        </w:rPr>
      </w:pPr>
    </w:p>
    <w:p>
      <w:pPr>
        <w:spacing w:after="0"/>
        <w:tabs>
          <w:tab w:leader="none" w:pos="420" w:val="left"/>
        </w:tabs>
        <w:rPr>
          <w:rFonts w:ascii="Arial" w:cs="Arial" w:eastAsia="Arial" w:hAnsi="Arial"/>
          <w:sz w:val="10"/>
          <w:szCs w:val="10"/>
          <w:u w:val="single" w:color="auto"/>
          <w:color w:val="0000FF"/>
        </w:rPr>
      </w:pPr>
      <w:hyperlink w:anchor="page16">
        <w:r>
          <w:rPr>
            <w:rFonts w:ascii="Arial" w:cs="Arial" w:eastAsia="Arial" w:hAnsi="Arial"/>
            <w:sz w:val="12"/>
            <w:szCs w:val="12"/>
            <w:u w:val="single" w:color="auto"/>
            <w:color w:val="0000FF"/>
          </w:rPr>
          <w:t>99.2</w:t>
        </w:r>
      </w:hyperlink>
      <w:r>
        <w:rPr>
          <w:rFonts w:ascii="Arial" w:cs="Arial" w:eastAsia="Arial" w:hAnsi="Arial"/>
          <w:sz w:val="12"/>
          <w:szCs w:val="12"/>
          <w:u w:val="single" w:color="auto"/>
          <w:color w:val="0000FF"/>
        </w:rPr>
        <w:tab/>
      </w:r>
      <w:hyperlink w:anchor="page16">
        <w:r>
          <w:rPr>
            <w:rFonts w:ascii="Arial" w:cs="Arial" w:eastAsia="Arial" w:hAnsi="Arial"/>
            <w:sz w:val="10"/>
            <w:szCs w:val="10"/>
            <w:u w:val="single" w:color="auto"/>
            <w:color w:val="0000FF"/>
          </w:rPr>
          <w:t>Supplemental Slide Presentation</w:t>
        </w:r>
      </w:hyperlink>
    </w:p>
    <w:p>
      <w:pPr>
        <w:spacing w:after="0" w:line="168" w:lineRule="exact"/>
        <w:rPr>
          <w:sz w:val="20"/>
          <w:szCs w:val="20"/>
          <w:color w:val="auto"/>
        </w:rPr>
      </w:pPr>
    </w:p>
    <w:p>
      <w:pPr>
        <w:spacing w:after="0"/>
        <w:tabs>
          <w:tab w:leader="none" w:pos="40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The cover page from this Current Report on Form 8-K, formatted in Inline XBRL</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Dated: March 16, 2022</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PRIORITY TECHNOLOGY HOLDINGS, INC.</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u w:val="single" w:color="auto"/>
          <w:color w:val="auto"/>
        </w:rPr>
        <w:t>By: /s/ Michael Vollkommer</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Name: Michael Vollkommer</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Title:  Chief Financial Officer</w:t>
      </w:r>
    </w:p>
    <w:p>
      <w:pPr>
        <w:sectPr>
          <w:pgSz w:w="11900" w:h="16838" w:orient="portrait"/>
          <w:cols w:equalWidth="0" w:num="1">
            <w:col w:w="11300"/>
          </w:cols>
          <w:pgMar w:left="300" w:top="640" w:right="299" w:bottom="1440" w:gutter="0" w:footer="0" w:header="0"/>
        </w:sectPr>
      </w:pPr>
    </w:p>
    <w:bookmarkStart w:id="3" w:name="page4"/>
    <w:bookmarkEnd w:id="3"/>
    <w:p>
      <w:pPr>
        <w:ind w:left="9860"/>
        <w:spacing w:after="0"/>
        <w:rPr>
          <w:sz w:val="20"/>
          <w:szCs w:val="20"/>
          <w:color w:val="auto"/>
        </w:rPr>
      </w:pPr>
      <w:r>
        <w:rPr>
          <w:rFonts w:ascii="Arial" w:cs="Arial" w:eastAsia="Arial" w:hAnsi="Arial"/>
          <w:sz w:val="12"/>
          <w:szCs w:val="1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2995295</wp:posOffset>
            </wp:positionH>
            <wp:positionV relativeFrom="paragraph">
              <wp:posOffset>15240</wp:posOffset>
            </wp:positionV>
            <wp:extent cx="1177290" cy="417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77290"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color w:val="auto"/>
        </w:rPr>
        <w:t>Priority Investor Inquiries: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Chris Kettmann</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ckettmann@lincolnchurchilladvisors.com</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(773) 497-7575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Priority Technology Holdings, Inc. Announces Fourth Quarter and Full Year 2021 Financial Results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Strong Fourth Quarter Financial Performance with Diversified Growth</w:t>
      </w:r>
    </w:p>
    <w:p>
      <w:pPr>
        <w:spacing w:after="0" w:line="192" w:lineRule="exact"/>
        <w:rPr>
          <w:sz w:val="20"/>
          <w:szCs w:val="20"/>
          <w:color w:val="auto"/>
        </w:rPr>
      </w:pPr>
    </w:p>
    <w:p>
      <w:pPr>
        <w:spacing w:after="0" w:line="314" w:lineRule="auto"/>
        <w:rPr>
          <w:sz w:val="20"/>
          <w:szCs w:val="20"/>
          <w:color w:val="auto"/>
        </w:rPr>
      </w:pPr>
      <w:r>
        <w:rPr>
          <w:rFonts w:ascii="Arial" w:cs="Arial" w:eastAsia="Arial" w:hAnsi="Arial"/>
          <w:sz w:val="13"/>
          <w:szCs w:val="13"/>
          <w:color w:val="auto"/>
        </w:rPr>
        <w:t>ALPHARETTA, GA - March 16, 2022 -- Priority Technology Holdings, Inc. (NASDAQ: PRTH) ("Priority" or the "Company"), a leading payments technology company helping customers collect, store and send money, today announced its fourth quarter and full year 2021 financial results including strong year-over-year diversified revenue growth.</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Highlights of Consolidated Results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Fourth Quarter 2021, Compared with Fourth Quarter 2020</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Financial highlights of the fourth quarter of 2021 compared with the fourth quarter of 2020, are as follows:</w:t>
      </w:r>
    </w:p>
    <w:p>
      <w:pPr>
        <w:spacing w:after="0" w:line="184"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Revenue of $144.0 million increased 35.7% from $106.1 million.</w:t>
      </w:r>
    </w:p>
    <w:p>
      <w:pPr>
        <w:spacing w:after="0" w:line="37"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Gross profit (a non-GAAP measure</w:t>
      </w:r>
      <w:r>
        <w:rPr>
          <w:rFonts w:ascii="Arial" w:cs="Arial" w:eastAsia="Arial" w:hAnsi="Arial"/>
          <w:sz w:val="7"/>
          <w:szCs w:val="7"/>
          <w:color w:val="auto"/>
        </w:rPr>
        <w:t>1</w:t>
      </w:r>
      <w:r>
        <w:rPr>
          <w:rFonts w:ascii="Arial" w:cs="Arial" w:eastAsia="Arial" w:hAnsi="Arial"/>
          <w:sz w:val="13"/>
          <w:szCs w:val="13"/>
          <w:color w:val="auto"/>
        </w:rPr>
        <w:t>) of $48.7 million increased 49.8% from $32.5 million.</w:t>
      </w:r>
    </w:p>
    <w:p>
      <w:pPr>
        <w:spacing w:after="0" w:line="37"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Gross profit margin (a non-GAAP measure</w:t>
      </w:r>
      <w:r>
        <w:rPr>
          <w:rFonts w:ascii="Arial" w:cs="Arial" w:eastAsia="Arial" w:hAnsi="Arial"/>
          <w:sz w:val="7"/>
          <w:szCs w:val="7"/>
          <w:color w:val="auto"/>
        </w:rPr>
        <w:t>1</w:t>
      </w:r>
      <w:r>
        <w:rPr>
          <w:rFonts w:ascii="Arial" w:cs="Arial" w:eastAsia="Arial" w:hAnsi="Arial"/>
          <w:sz w:val="13"/>
          <w:szCs w:val="13"/>
          <w:color w:val="auto"/>
        </w:rPr>
        <w:t>) of 33.8% increased 320 basis points from 30.6%.</w:t>
      </w:r>
    </w:p>
    <w:p>
      <w:pPr>
        <w:spacing w:after="0" w:line="37"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Operating income of $12.9 million increased 108.1% from $6.2 million.</w:t>
      </w:r>
    </w:p>
    <w:p>
      <w:pPr>
        <w:spacing w:after="0" w:line="37"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Adjusted EBITDA (a non-GAAP measure</w:t>
      </w:r>
      <w:r>
        <w:rPr>
          <w:rFonts w:ascii="Arial" w:cs="Arial" w:eastAsia="Arial" w:hAnsi="Arial"/>
          <w:sz w:val="7"/>
          <w:szCs w:val="7"/>
          <w:color w:val="auto"/>
        </w:rPr>
        <w:t>1</w:t>
      </w:r>
      <w:r>
        <w:rPr>
          <w:rFonts w:ascii="Arial" w:cs="Arial" w:eastAsia="Arial" w:hAnsi="Arial"/>
          <w:sz w:val="13"/>
          <w:szCs w:val="13"/>
          <w:color w:val="auto"/>
        </w:rPr>
        <w:t>) of $32.9 million increased 80.8% from $18.2 million.</w:t>
      </w:r>
    </w:p>
    <w:p>
      <w:pPr>
        <w:spacing w:after="0" w:line="37"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Net debt</w:t>
      </w:r>
      <w:r>
        <w:rPr>
          <w:rFonts w:ascii="Arial" w:cs="Arial" w:eastAsia="Arial" w:hAnsi="Arial"/>
          <w:sz w:val="17"/>
          <w:szCs w:val="17"/>
          <w:color w:val="auto"/>
          <w:vertAlign w:val="superscript"/>
        </w:rPr>
        <w:t>1</w:t>
      </w:r>
      <w:r>
        <w:rPr>
          <w:rFonts w:ascii="Arial" w:cs="Arial" w:eastAsia="Arial" w:hAnsi="Arial"/>
          <w:sz w:val="13"/>
          <w:szCs w:val="13"/>
          <w:color w:val="auto"/>
        </w:rPr>
        <w:t xml:space="preserve"> of $611.6 million decreased $19.9 million from net debt of $631.5 million at September 30, 2021.</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Full Year 2021, Compared with Full Year 2020</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Financial highlights of the full year 2021 compared with the full year 2020, are as follows:</w:t>
      </w:r>
    </w:p>
    <w:p>
      <w:pPr>
        <w:spacing w:after="0" w:line="184"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3"/>
          <w:szCs w:val="13"/>
          <w:color w:val="auto"/>
        </w:rPr>
        <w:t>Revenue of $514.9 million increased 27.4% from $404.3 million.</w:t>
      </w:r>
    </w:p>
    <w:p>
      <w:pPr>
        <w:spacing w:after="0" w:line="37" w:lineRule="exact"/>
        <w:rPr>
          <w:rFonts w:ascii="Arial" w:cs="Arial" w:eastAsia="Arial" w:hAnsi="Arial"/>
          <w:sz w:val="14"/>
          <w:szCs w:val="14"/>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3"/>
          <w:szCs w:val="13"/>
          <w:color w:val="auto"/>
        </w:rPr>
        <w:t>Gross profit (a non-GAAP measure</w:t>
      </w:r>
      <w:r>
        <w:rPr>
          <w:rFonts w:ascii="Arial" w:cs="Arial" w:eastAsia="Arial" w:hAnsi="Arial"/>
          <w:sz w:val="7"/>
          <w:szCs w:val="7"/>
          <w:color w:val="auto"/>
        </w:rPr>
        <w:t>1</w:t>
      </w:r>
      <w:r>
        <w:rPr>
          <w:rFonts w:ascii="Arial" w:cs="Arial" w:eastAsia="Arial" w:hAnsi="Arial"/>
          <w:sz w:val="13"/>
          <w:szCs w:val="13"/>
          <w:color w:val="auto"/>
        </w:rPr>
        <w:t>) of $155.0 million increased 22.0% from $127.0 million.</w:t>
      </w:r>
    </w:p>
    <w:p>
      <w:pPr>
        <w:spacing w:after="0" w:line="37" w:lineRule="exact"/>
        <w:rPr>
          <w:rFonts w:ascii="Arial" w:cs="Arial" w:eastAsia="Arial" w:hAnsi="Arial"/>
          <w:sz w:val="14"/>
          <w:szCs w:val="14"/>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3"/>
          <w:szCs w:val="13"/>
          <w:color w:val="auto"/>
        </w:rPr>
        <w:t>Gross profit margin (a non-GAAP measure</w:t>
      </w:r>
      <w:r>
        <w:rPr>
          <w:rFonts w:ascii="Arial" w:cs="Arial" w:eastAsia="Arial" w:hAnsi="Arial"/>
          <w:sz w:val="7"/>
          <w:szCs w:val="7"/>
          <w:color w:val="auto"/>
        </w:rPr>
        <w:t>1</w:t>
      </w:r>
      <w:r>
        <w:rPr>
          <w:rFonts w:ascii="Arial" w:cs="Arial" w:eastAsia="Arial" w:hAnsi="Arial"/>
          <w:sz w:val="13"/>
          <w:szCs w:val="13"/>
          <w:color w:val="auto"/>
        </w:rPr>
        <w:t>) of 30.1% decreased 130 basis points from 31.4%.</w:t>
      </w:r>
    </w:p>
    <w:p>
      <w:pPr>
        <w:spacing w:after="0" w:line="37" w:lineRule="exact"/>
        <w:rPr>
          <w:rFonts w:ascii="Arial" w:cs="Arial" w:eastAsia="Arial" w:hAnsi="Arial"/>
          <w:sz w:val="14"/>
          <w:szCs w:val="14"/>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3"/>
          <w:szCs w:val="13"/>
          <w:color w:val="auto"/>
        </w:rPr>
        <w:t>Operating income of $33.1 million increased 58.4% from $20.9 million.</w:t>
      </w:r>
    </w:p>
    <w:p>
      <w:pPr>
        <w:spacing w:after="0" w:line="37" w:lineRule="exact"/>
        <w:rPr>
          <w:rFonts w:ascii="Arial" w:cs="Arial" w:eastAsia="Arial" w:hAnsi="Arial"/>
          <w:sz w:val="14"/>
          <w:szCs w:val="14"/>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3"/>
          <w:szCs w:val="13"/>
          <w:color w:val="auto"/>
        </w:rPr>
        <w:t>Adjusted EBITDA (a non-GAAP measure</w:t>
      </w:r>
      <w:r>
        <w:rPr>
          <w:rFonts w:ascii="Arial" w:cs="Arial" w:eastAsia="Arial" w:hAnsi="Arial"/>
          <w:sz w:val="7"/>
          <w:szCs w:val="7"/>
          <w:color w:val="auto"/>
        </w:rPr>
        <w:t>1</w:t>
      </w:r>
      <w:r>
        <w:rPr>
          <w:rFonts w:ascii="Arial" w:cs="Arial" w:eastAsia="Arial" w:hAnsi="Arial"/>
          <w:sz w:val="13"/>
          <w:szCs w:val="13"/>
          <w:color w:val="auto"/>
        </w:rPr>
        <w:t>) of $96.3 million increased 37.0% from $70.3 million.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653" w:right="299" w:bottom="1440" w:gutter="0" w:footer="0" w:header="0"/>
        </w:sectPr>
      </w:pPr>
    </w:p>
    <w:bookmarkStart w:id="4" w:name="page5"/>
    <w:bookmarkEnd w:id="4"/>
    <w:p>
      <w:pPr>
        <w:ind w:left="106" w:hanging="106"/>
        <w:spacing w:after="0"/>
        <w:tabs>
          <w:tab w:leader="none" w:pos="106" w:val="left"/>
        </w:tabs>
        <w:numPr>
          <w:ilvl w:val="0"/>
          <w:numId w:val="4"/>
        </w:numPr>
        <w:rPr>
          <w:rFonts w:ascii="Arial" w:cs="Arial" w:eastAsia="Arial" w:hAnsi="Arial"/>
          <w:sz w:val="18"/>
          <w:szCs w:val="18"/>
          <w:color w:val="auto"/>
          <w:vertAlign w:val="superscript"/>
        </w:rPr>
      </w:pPr>
      <w:r>
        <w:rPr>
          <w:rFonts w:ascii="Arial" w:cs="Arial" w:eastAsia="Arial" w:hAnsi="Arial"/>
          <w:sz w:val="11"/>
          <w:szCs w:val="11"/>
          <w:i w:val="1"/>
          <w:iCs w:val="1"/>
          <w:color w:val="auto"/>
        </w:rPr>
        <w:t>See "Non-GAAP Financial Measures" and the reconciliations of Gross Profit, Gross Profit Margin, Adjusted EBITDA and Net Debt, to their most comparable GAAP measures provided below for additional information.</w:t>
      </w:r>
    </w:p>
    <w:p>
      <w:pPr>
        <w:sectPr>
          <w:pgSz w:w="11900" w:h="16838" w:orient="portrait"/>
          <w:cols w:equalWidth="0" w:num="1">
            <w:col w:w="10606"/>
          </w:cols>
          <w:pgMar w:left="454" w:top="599" w:right="839" w:bottom="1440" w:gutter="0" w:footer="0" w:header="0"/>
        </w:sectPr>
      </w:pPr>
    </w:p>
    <w:p>
      <w:pPr>
        <w:spacing w:after="0" w:line="351" w:lineRule="exact"/>
        <w:rPr>
          <w:sz w:val="20"/>
          <w:szCs w:val="20"/>
          <w:color w:val="auto"/>
        </w:rPr>
      </w:pPr>
    </w:p>
    <w:p>
      <w:pPr>
        <w:jc w:val="center"/>
        <w:ind w:right="-385"/>
        <w:spacing w:after="0"/>
        <w:rPr>
          <w:sz w:val="20"/>
          <w:szCs w:val="20"/>
          <w:color w:val="auto"/>
        </w:rPr>
      </w:pPr>
      <w:r>
        <w:rPr>
          <w:rFonts w:ascii="Arial" w:cs="Arial" w:eastAsia="Arial" w:hAnsi="Arial"/>
          <w:sz w:val="10"/>
          <w:szCs w:val="10"/>
          <w:color w:val="auto"/>
        </w:rPr>
        <w:t>2</w:t>
      </w:r>
    </w:p>
    <w:p>
      <w:pPr>
        <w:sectPr>
          <w:pgSz w:w="11900" w:h="16838" w:orient="portrait"/>
          <w:cols w:equalWidth="0" w:num="1">
            <w:col w:w="10606"/>
          </w:cols>
          <w:pgMar w:left="454" w:top="599" w:right="839" w:bottom="1440" w:gutter="0" w:footer="0" w:header="0"/>
          <w:type w:val="continuous"/>
        </w:sectPr>
      </w:pPr>
    </w:p>
    <w:bookmarkStart w:id="5" w:name="page6"/>
    <w:bookmarkEnd w:id="5"/>
    <w:p>
      <w:pPr>
        <w:jc w:val="both"/>
        <w:ind w:right="20"/>
        <w:spacing w:after="0" w:line="311" w:lineRule="auto"/>
        <w:rPr>
          <w:sz w:val="20"/>
          <w:szCs w:val="20"/>
          <w:color w:val="auto"/>
        </w:rPr>
      </w:pPr>
      <w:r>
        <w:rPr>
          <w:rFonts w:ascii="Arial" w:cs="Arial" w:eastAsia="Arial" w:hAnsi="Arial"/>
          <w:sz w:val="13"/>
          <w:szCs w:val="13"/>
          <w:color w:val="auto"/>
        </w:rPr>
        <w:t>"</w:t>
      </w:r>
      <w:r>
        <w:rPr>
          <w:rFonts w:ascii="Arial" w:cs="Arial" w:eastAsia="Arial" w:hAnsi="Arial"/>
          <w:sz w:val="14"/>
          <w:szCs w:val="14"/>
          <w:color w:val="222222"/>
        </w:rPr>
        <w:t>Our financial performance for the quarter and the year reflects the strength we anticipated and expect to achieve in the months and quarters ahead. We have built a one of a kind technology and</w:t>
      </w:r>
      <w:r>
        <w:rPr>
          <w:rFonts w:ascii="Arial" w:cs="Arial" w:eastAsia="Arial" w:hAnsi="Arial"/>
          <w:sz w:val="13"/>
          <w:szCs w:val="13"/>
          <w:color w:val="auto"/>
        </w:rPr>
        <w:t xml:space="preserve"> </w:t>
      </w:r>
      <w:r>
        <w:rPr>
          <w:rFonts w:ascii="Arial" w:cs="Arial" w:eastAsia="Arial" w:hAnsi="Arial"/>
          <w:sz w:val="14"/>
          <w:szCs w:val="14"/>
          <w:color w:val="222222"/>
        </w:rPr>
        <w:t>operating platform to collect, store and send money to power modern commerce networks," said Tom Priore, Chairman and CEO of Priority. "We remain laser focused on successfully delivering solutions to the SMB, B2B and Enterprise payment segments to create value for our growing network of partners and our shareholders</w:t>
      </w:r>
      <w:r>
        <w:rPr>
          <w:rFonts w:ascii="Arial" w:cs="Arial" w:eastAsia="Arial" w:hAnsi="Arial"/>
          <w:sz w:val="13"/>
          <w:szCs w:val="13"/>
          <w:color w:val="000000"/>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Full Year 2022 Financial Guidance</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070707"/>
        </w:rPr>
        <w:t>Our outlook is strong, which is reflected in our full-year 2022 guidance.</w:t>
      </w:r>
    </w:p>
    <w:p>
      <w:pPr>
        <w:spacing w:after="0" w:line="184"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3"/>
          <w:szCs w:val="13"/>
          <w:color w:val="auto"/>
        </w:rPr>
        <w:t>Revenue is forecasted to range between $650 million to $665 million, a growth rate of 26% to 29%.</w:t>
      </w:r>
    </w:p>
    <w:p>
      <w:pPr>
        <w:spacing w:after="0" w:line="37" w:lineRule="exact"/>
        <w:rPr>
          <w:rFonts w:ascii="Arial" w:cs="Arial" w:eastAsia="Arial" w:hAnsi="Arial"/>
          <w:sz w:val="14"/>
          <w:szCs w:val="14"/>
          <w:color w:val="auto"/>
        </w:rPr>
      </w:pPr>
    </w:p>
    <w:p>
      <w:pPr>
        <w:ind w:left="420" w:hanging="2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3"/>
          <w:szCs w:val="13"/>
          <w:color w:val="auto"/>
        </w:rPr>
        <w:t>Adjusted EBITDA (a non-GAAP measure) is forecasted to range between $145 million to $150 million, a growth rate of 51% to 56%.</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Conference Call</w:t>
      </w:r>
    </w:p>
    <w:p>
      <w:pPr>
        <w:spacing w:after="0" w:line="179"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070707"/>
        </w:rPr>
        <w:t xml:space="preserve">Priority Technology Holdings, Inc.'s leadership will host a conference call on Thursday, March 17, 2022 at 11:00 a.m. EDT to discuss its fourth quarter and full year 2021 financial results. Participants can access the call by </w:t>
      </w:r>
      <w:r>
        <w:rPr>
          <w:rFonts w:ascii="Arial" w:cs="Arial" w:eastAsia="Arial" w:hAnsi="Arial"/>
          <w:sz w:val="13"/>
          <w:szCs w:val="13"/>
          <w:color w:val="000000"/>
        </w:rPr>
        <w:t>Phone: US/Canada: (877) 501-3161 or International: (786) 815-8443.</w:t>
      </w:r>
    </w:p>
    <w:p>
      <w:pPr>
        <w:spacing w:after="0" w:line="109" w:lineRule="exact"/>
        <w:rPr>
          <w:sz w:val="20"/>
          <w:szCs w:val="20"/>
          <w:color w:val="auto"/>
        </w:rPr>
      </w:pPr>
    </w:p>
    <w:p>
      <w:pPr>
        <w:jc w:val="both"/>
        <w:spacing w:after="0" w:line="317" w:lineRule="auto"/>
        <w:rPr>
          <w:sz w:val="20"/>
          <w:szCs w:val="20"/>
          <w:color w:val="auto"/>
        </w:rPr>
      </w:pPr>
      <w:r>
        <w:rPr>
          <w:rFonts w:ascii="Arial" w:cs="Arial" w:eastAsia="Arial" w:hAnsi="Arial"/>
          <w:sz w:val="13"/>
          <w:szCs w:val="13"/>
          <w:color w:val="auto"/>
        </w:rPr>
        <w:t xml:space="preserve">The Internet webcast link and accompanying slide presentation can be accessed at </w:t>
      </w:r>
      <w:r>
        <w:rPr>
          <w:rFonts w:ascii="Arial" w:cs="Arial" w:eastAsia="Arial" w:hAnsi="Arial"/>
          <w:sz w:val="13"/>
          <w:szCs w:val="13"/>
          <w:b w:val="1"/>
          <w:bCs w:val="1"/>
          <w:u w:val="single" w:color="auto"/>
          <w:color w:val="0000FF"/>
        </w:rPr>
        <w:t>https://edge.media-server.com/mmc/p/fjwjueo3</w:t>
      </w:r>
      <w:r>
        <w:rPr>
          <w:rFonts w:ascii="Arial" w:cs="Arial" w:eastAsia="Arial" w:hAnsi="Arial"/>
          <w:sz w:val="13"/>
          <w:szCs w:val="13"/>
          <w:color w:val="auto"/>
        </w:rPr>
        <w:t xml:space="preserve"> and will also be posted in the "Investor Relations" section of the Company's website at </w:t>
      </w:r>
      <w:r>
        <w:rPr>
          <w:rFonts w:ascii="Arial" w:cs="Arial" w:eastAsia="Arial" w:hAnsi="Arial"/>
          <w:sz w:val="14"/>
          <w:szCs w:val="14"/>
          <w:u w:val="single" w:color="auto"/>
          <w:color w:val="0563C1"/>
        </w:rPr>
        <w:t>www.PRTH.com</w:t>
      </w:r>
      <w:r>
        <w:rPr>
          <w:rFonts w:ascii="Arial" w:cs="Arial" w:eastAsia="Arial" w:hAnsi="Arial"/>
          <w:sz w:val="13"/>
          <w:szCs w:val="13"/>
          <w:color w:val="auto"/>
        </w:rPr>
        <w:t>.</w:t>
      </w:r>
    </w:p>
    <w:p>
      <w:pPr>
        <w:spacing w:after="0" w:line="116" w:lineRule="exact"/>
        <w:rPr>
          <w:sz w:val="20"/>
          <w:szCs w:val="20"/>
          <w:color w:val="auto"/>
        </w:rPr>
      </w:pPr>
    </w:p>
    <w:p>
      <w:pPr>
        <w:jc w:val="both"/>
        <w:ind w:right="20"/>
        <w:spacing w:after="0" w:line="311" w:lineRule="auto"/>
        <w:rPr>
          <w:sz w:val="20"/>
          <w:szCs w:val="20"/>
          <w:color w:val="auto"/>
        </w:rPr>
      </w:pPr>
      <w:r>
        <w:rPr>
          <w:rFonts w:ascii="Arial" w:cs="Arial" w:eastAsia="Arial" w:hAnsi="Arial"/>
          <w:sz w:val="13"/>
          <w:szCs w:val="13"/>
          <w:color w:val="auto"/>
        </w:rPr>
        <w:t xml:space="preserve">An audio replay of the call will be available shortly after the conference call until March 24, 2022 at 1:30 p.m. EDT. To listen to the audio replay, dial (855) 859-2056 or (404) 537-3406 and enter conference ID number </w:t>
      </w:r>
      <w:r>
        <w:rPr>
          <w:rFonts w:ascii="Arial" w:cs="Arial" w:eastAsia="Arial" w:hAnsi="Arial"/>
          <w:sz w:val="14"/>
          <w:szCs w:val="14"/>
          <w:b w:val="1"/>
          <w:bCs w:val="1"/>
          <w:color w:val="auto"/>
        </w:rPr>
        <w:t>5278395</w:t>
      </w:r>
      <w:r>
        <w:rPr>
          <w:rFonts w:ascii="Arial" w:cs="Arial" w:eastAsia="Arial" w:hAnsi="Arial"/>
          <w:sz w:val="13"/>
          <w:szCs w:val="13"/>
          <w:color w:val="auto"/>
        </w:rPr>
        <w:t xml:space="preserve">. Alternatively, you may access the webcast replay in the "Investor Relations" section of the Company's website at </w:t>
      </w:r>
      <w:r>
        <w:rPr>
          <w:rFonts w:ascii="Arial" w:cs="Arial" w:eastAsia="Arial" w:hAnsi="Arial"/>
          <w:sz w:val="14"/>
          <w:szCs w:val="14"/>
          <w:u w:val="single" w:color="auto"/>
          <w:color w:val="0563C1"/>
        </w:rPr>
        <w:t>www.PRTH.com</w:t>
      </w:r>
      <w:r>
        <w:rPr>
          <w:rFonts w:ascii="Arial" w:cs="Arial" w:eastAsia="Arial" w:hAnsi="Arial"/>
          <w:sz w:val="13"/>
          <w:szCs w:val="13"/>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0A0A0A"/>
        </w:rPr>
        <w:t>Non-GAAP Financial Measures</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This communication includes certain non-GAAP financial measures that we regularly review to evaluate our business and trends, measure our performance, prepare financial projections, allocate resources, and make strategic 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656" w:right="29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i w:val="1"/>
          <w:iCs w:val="1"/>
          <w:color w:val="auto"/>
        </w:rPr>
        <w:t>Gross Profit and Gross Profit Margin</w:t>
      </w:r>
    </w:p>
    <w:p>
      <w:pPr>
        <w:spacing w:after="0" w:line="175"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auto"/>
        </w:rPr>
        <w:t>The Company's non-GAAP gross profit metric represents revenues less costs of services. Gross profit margin is gross profit divided by revenues. We review these non-GAAP measures to evaluate our underlying profit trends. The reconciliation of gross profit to its most comparable GAAP measure is provided below:</w:t>
      </w:r>
    </w:p>
    <w:p>
      <w:pPr>
        <w:spacing w:after="0" w:line="123" w:lineRule="exact"/>
        <w:rPr>
          <w:sz w:val="20"/>
          <w:szCs w:val="20"/>
          <w:color w:val="auto"/>
        </w:rPr>
      </w:pPr>
    </w:p>
    <w:tbl>
      <w:tblPr>
        <w:tblLayout w:type="fixed"/>
        <w:tblInd w:w="360" w:type="dxa"/>
        <w:tblCellMar>
          <w:top w:w="0" w:type="dxa"/>
          <w:left w:w="0" w:type="dxa"/>
          <w:bottom w:w="0" w:type="dxa"/>
          <w:right w:w="0" w:type="dxa"/>
        </w:tblCellMar>
      </w:tblPr>
      <w:tr>
        <w:trPr>
          <w:trHeight w:val="153"/>
        </w:trPr>
        <w:tc>
          <w:tcPr>
            <w:tcW w:w="2600" w:type="dxa"/>
            <w:vAlign w:val="bottom"/>
          </w:tcPr>
          <w:p>
            <w:pPr>
              <w:spacing w:after="0"/>
              <w:rPr>
                <w:sz w:val="13"/>
                <w:szCs w:val="13"/>
                <w:color w:val="auto"/>
              </w:rPr>
            </w:pPr>
          </w:p>
        </w:tc>
        <w:tc>
          <w:tcPr>
            <w:tcW w:w="2800" w:type="dxa"/>
            <w:vAlign w:val="bottom"/>
            <w:gridSpan w:val="5"/>
            <w:vMerge w:val="restart"/>
          </w:tcPr>
          <w:p>
            <w:pPr>
              <w:jc w:val="right"/>
              <w:ind w:right="100"/>
              <w:spacing w:after="0"/>
              <w:rPr>
                <w:sz w:val="20"/>
                <w:szCs w:val="20"/>
                <w:color w:val="auto"/>
              </w:rPr>
            </w:pPr>
            <w:r>
              <w:rPr>
                <w:rFonts w:ascii="Arial" w:cs="Arial" w:eastAsia="Arial" w:hAnsi="Arial"/>
                <w:sz w:val="12"/>
                <w:szCs w:val="12"/>
                <w:b w:val="1"/>
                <w:bCs w:val="1"/>
                <w:color w:val="auto"/>
              </w:rPr>
              <w:t>Three Months Ended December 31,</w:t>
            </w:r>
          </w:p>
        </w:tc>
        <w:tc>
          <w:tcPr>
            <w:tcW w:w="1300" w:type="dxa"/>
            <w:vAlign w:val="bottom"/>
            <w:gridSpan w:val="3"/>
          </w:tcPr>
          <w:p>
            <w:pPr>
              <w:ind w:left="420"/>
              <w:spacing w:after="0"/>
              <w:rPr>
                <w:sz w:val="20"/>
                <w:szCs w:val="20"/>
                <w:color w:val="auto"/>
              </w:rPr>
            </w:pPr>
            <w:r>
              <w:rPr>
                <w:rFonts w:ascii="Arial" w:cs="Arial" w:eastAsia="Arial" w:hAnsi="Arial"/>
                <w:sz w:val="12"/>
                <w:szCs w:val="12"/>
                <w:i w:val="1"/>
                <w:iCs w:val="1"/>
                <w:color w:val="auto"/>
              </w:rPr>
              <w:t>(in thousands)</w:t>
            </w:r>
          </w:p>
        </w:tc>
        <w:tc>
          <w:tcPr>
            <w:tcW w:w="2520" w:type="dxa"/>
            <w:vAlign w:val="bottom"/>
            <w:gridSpan w:val="4"/>
            <w:vMerge w:val="restart"/>
          </w:tcPr>
          <w:p>
            <w:pPr>
              <w:jc w:val="right"/>
              <w:ind w:right="280"/>
              <w:spacing w:after="0"/>
              <w:rPr>
                <w:sz w:val="20"/>
                <w:szCs w:val="20"/>
                <w:color w:val="auto"/>
              </w:rPr>
            </w:pPr>
            <w:r>
              <w:rPr>
                <w:rFonts w:ascii="Arial" w:cs="Arial" w:eastAsia="Arial" w:hAnsi="Arial"/>
                <w:sz w:val="12"/>
                <w:szCs w:val="12"/>
                <w:b w:val="1"/>
                <w:bCs w:val="1"/>
                <w:color w:val="auto"/>
              </w:rPr>
              <w:t>Twelve Months Ended December 31,</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00" w:type="dxa"/>
            <w:vAlign w:val="bottom"/>
          </w:tcPr>
          <w:p>
            <w:pPr>
              <w:spacing w:after="0"/>
              <w:rPr>
                <w:sz w:val="13"/>
                <w:szCs w:val="13"/>
                <w:color w:val="auto"/>
              </w:rPr>
            </w:pPr>
          </w:p>
        </w:tc>
        <w:tc>
          <w:tcPr>
            <w:tcW w:w="2800" w:type="dxa"/>
            <w:vAlign w:val="bottom"/>
            <w:tcBorders>
              <w:bottom w:val="single" w:sz="8" w:color="auto"/>
            </w:tcBorders>
            <w:gridSpan w:val="5"/>
            <w:vMerge w:val="continue"/>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4"/>
            <w:vMerge w:val="continue"/>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2021</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2021</w:t>
            </w: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2020</w:t>
            </w:r>
          </w:p>
        </w:tc>
        <w:tc>
          <w:tcPr>
            <w:tcW w:w="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3640" w:type="dxa"/>
            <w:vAlign w:val="bottom"/>
            <w:gridSpan w:val="2"/>
          </w:tcPr>
          <w:p>
            <w:pPr>
              <w:spacing w:after="0"/>
              <w:rPr>
                <w:sz w:val="20"/>
                <w:szCs w:val="20"/>
                <w:color w:val="auto"/>
              </w:rPr>
            </w:pPr>
            <w:r>
              <w:rPr>
                <w:rFonts w:ascii="Arial" w:cs="Arial" w:eastAsia="Arial" w:hAnsi="Arial"/>
                <w:sz w:val="12"/>
                <w:szCs w:val="12"/>
                <w:color w:val="auto"/>
              </w:rPr>
              <w:t>Revenues</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96"/>
              </w:rPr>
              <w:t>144,048</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jc w:val="right"/>
              <w:ind w:right="20"/>
              <w:spacing w:after="0"/>
              <w:rPr>
                <w:sz w:val="20"/>
                <w:szCs w:val="20"/>
                <w:color w:val="auto"/>
              </w:rPr>
            </w:pPr>
            <w:r>
              <w:rPr>
                <w:rFonts w:ascii="Arial" w:cs="Arial" w:eastAsia="Arial" w:hAnsi="Arial"/>
                <w:sz w:val="12"/>
                <w:szCs w:val="12"/>
                <w:color w:val="auto"/>
              </w:rPr>
              <w:t>$  106,091</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514,901</w:t>
            </w:r>
          </w:p>
        </w:tc>
        <w:tc>
          <w:tcPr>
            <w:tcW w:w="160" w:type="dxa"/>
            <w:vAlign w:val="bottom"/>
          </w:tcPr>
          <w:p>
            <w:pPr>
              <w:spacing w:after="0"/>
              <w:rPr>
                <w:sz w:val="24"/>
                <w:szCs w:val="24"/>
                <w:color w:val="auto"/>
              </w:rPr>
            </w:pPr>
          </w:p>
        </w:tc>
        <w:tc>
          <w:tcPr>
            <w:tcW w:w="11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20"/>
              <w:spacing w:after="0"/>
              <w:rPr>
                <w:sz w:val="20"/>
                <w:szCs w:val="20"/>
                <w:color w:val="auto"/>
              </w:rPr>
            </w:pPr>
            <w:r>
              <w:rPr>
                <w:rFonts w:ascii="Arial" w:cs="Arial" w:eastAsia="Arial" w:hAnsi="Arial"/>
                <w:sz w:val="12"/>
                <w:szCs w:val="12"/>
                <w:color w:val="auto"/>
                <w:w w:val="92"/>
              </w:rPr>
              <w:t>404,342</w:t>
            </w:r>
          </w:p>
        </w:tc>
        <w:tc>
          <w:tcPr>
            <w:tcW w:w="0" w:type="dxa"/>
            <w:vAlign w:val="bottom"/>
          </w:tcPr>
          <w:p>
            <w:pPr>
              <w:spacing w:after="0"/>
              <w:rPr>
                <w:sz w:val="1"/>
                <w:szCs w:val="1"/>
                <w:color w:val="auto"/>
              </w:rPr>
            </w:pPr>
          </w:p>
        </w:tc>
      </w:tr>
      <w:tr>
        <w:trPr>
          <w:trHeight w:val="207"/>
        </w:trPr>
        <w:tc>
          <w:tcPr>
            <w:tcW w:w="2600" w:type="dxa"/>
            <w:vAlign w:val="bottom"/>
          </w:tcPr>
          <w:p>
            <w:pPr>
              <w:spacing w:after="0"/>
              <w:rPr>
                <w:sz w:val="20"/>
                <w:szCs w:val="20"/>
                <w:color w:val="auto"/>
              </w:rPr>
            </w:pPr>
            <w:r>
              <w:rPr>
                <w:rFonts w:ascii="Arial" w:cs="Arial" w:eastAsia="Arial" w:hAnsi="Arial"/>
                <w:sz w:val="12"/>
                <w:szCs w:val="12"/>
                <w:color w:val="auto"/>
              </w:rPr>
              <w:t>Costs of services</w:t>
            </w: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(95,358)</w:t>
            </w: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(73,641)</w:t>
            </w: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(359,885)</w:t>
            </w:r>
          </w:p>
        </w:tc>
        <w:tc>
          <w:tcPr>
            <w:tcW w:w="160" w:type="dxa"/>
            <w:vAlign w:val="bottom"/>
          </w:tcPr>
          <w:p>
            <w:pPr>
              <w:spacing w:after="0"/>
              <w:rPr>
                <w:sz w:val="18"/>
                <w:szCs w:val="18"/>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(277,374)</w:t>
            </w:r>
          </w:p>
        </w:tc>
        <w:tc>
          <w:tcPr>
            <w:tcW w:w="0" w:type="dxa"/>
            <w:vAlign w:val="bottom"/>
          </w:tcPr>
          <w:p>
            <w:pPr>
              <w:spacing w:after="0"/>
              <w:rPr>
                <w:sz w:val="1"/>
                <w:szCs w:val="1"/>
                <w:color w:val="auto"/>
              </w:rPr>
            </w:pPr>
          </w:p>
        </w:tc>
      </w:tr>
      <w:tr>
        <w:trPr>
          <w:trHeight w:val="142"/>
        </w:trPr>
        <w:tc>
          <w:tcPr>
            <w:tcW w:w="2600" w:type="dxa"/>
            <w:vAlign w:val="bottom"/>
          </w:tcPr>
          <w:p>
            <w:pPr>
              <w:spacing w:after="0"/>
              <w:rPr>
                <w:sz w:val="20"/>
                <w:szCs w:val="20"/>
                <w:color w:val="auto"/>
              </w:rPr>
            </w:pPr>
            <w:r>
              <w:rPr>
                <w:rFonts w:ascii="Arial" w:cs="Arial" w:eastAsia="Arial" w:hAnsi="Arial"/>
                <w:sz w:val="12"/>
                <w:szCs w:val="12"/>
                <w:color w:val="auto"/>
              </w:rPr>
              <w:t>Gross profit</w:t>
            </w:r>
          </w:p>
        </w:tc>
        <w:tc>
          <w:tcPr>
            <w:tcW w:w="10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48,690</w:t>
            </w:r>
          </w:p>
        </w:tc>
        <w:tc>
          <w:tcPr>
            <w:tcW w:w="10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  32,450</w:t>
            </w: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155,016</w:t>
            </w:r>
          </w:p>
        </w:tc>
        <w:tc>
          <w:tcPr>
            <w:tcW w:w="160" w:type="dxa"/>
            <w:vAlign w:val="bottom"/>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126,968</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40" w:type="dxa"/>
            <w:vAlign w:val="bottom"/>
            <w:gridSpan w:val="2"/>
          </w:tcPr>
          <w:p>
            <w:pPr>
              <w:spacing w:after="0" w:line="129" w:lineRule="exact"/>
              <w:rPr>
                <w:sz w:val="20"/>
                <w:szCs w:val="20"/>
                <w:color w:val="auto"/>
              </w:rPr>
            </w:pPr>
            <w:r>
              <w:rPr>
                <w:rFonts w:ascii="Arial" w:cs="Arial" w:eastAsia="Arial" w:hAnsi="Arial"/>
                <w:sz w:val="12"/>
                <w:szCs w:val="12"/>
                <w:color w:val="auto"/>
              </w:rPr>
              <w:t>Gross Profit Margin</w:t>
            </w:r>
          </w:p>
        </w:tc>
        <w:tc>
          <w:tcPr>
            <w:tcW w:w="2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2"/>
                <w:szCs w:val="12"/>
                <w:color w:val="auto"/>
              </w:rPr>
              <w:t>33.8  %</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2"/>
                <w:szCs w:val="12"/>
                <w:color w:val="auto"/>
              </w:rPr>
              <w:t>30.6  %</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2"/>
                <w:szCs w:val="12"/>
                <w:color w:val="auto"/>
              </w:rPr>
              <w:t>30.1  %</w:t>
            </w: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2"/>
                <w:szCs w:val="12"/>
                <w:color w:val="auto"/>
              </w:rPr>
              <w:t>31.4  %</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EBITDA and Adjusted EBITDA</w:t>
      </w:r>
    </w:p>
    <w:p>
      <w:pPr>
        <w:spacing w:after="0" w:line="193" w:lineRule="exact"/>
        <w:rPr>
          <w:sz w:val="20"/>
          <w:szCs w:val="20"/>
          <w:color w:val="auto"/>
        </w:rPr>
      </w:pPr>
    </w:p>
    <w:p>
      <w:pPr>
        <w:jc w:val="both"/>
        <w:spacing w:after="0" w:line="307" w:lineRule="auto"/>
        <w:rPr>
          <w:sz w:val="20"/>
          <w:szCs w:val="20"/>
          <w:color w:val="auto"/>
        </w:rPr>
      </w:pPr>
      <w:r>
        <w:rPr>
          <w:rFonts w:ascii="Arial" w:cs="Arial" w:eastAsia="Arial" w:hAnsi="Arial"/>
          <w:sz w:val="13"/>
          <w:szCs w:val="13"/>
          <w:color w:val="auto"/>
        </w:rPr>
        <w:t>EBITDA and adjusted EBITDA are performance measures. EBITDA is earnings before interest, income tax, and depreciation and amortization expenses ("EBITDA"). Adjusted EBITDA begins with EBITDA but further excludes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We review the non-GAAP adjusted EBITDA measure to evaluate our business and trends, measure our performance, prepare financial projections, allocate resources, and make strategic decisions.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The reconciliation of adjusted EBITDA to its most comparable GAAP measure is provided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2920" w:type="dxa"/>
            <w:vAlign w:val="bottom"/>
            <w:gridSpan w:val="5"/>
            <w:vMerge w:val="restart"/>
          </w:tcPr>
          <w:p>
            <w:pPr>
              <w:jc w:val="right"/>
              <w:ind w:right="180"/>
              <w:spacing w:after="0"/>
              <w:rPr>
                <w:sz w:val="20"/>
                <w:szCs w:val="20"/>
                <w:color w:val="auto"/>
              </w:rPr>
            </w:pPr>
            <w:r>
              <w:rPr>
                <w:rFonts w:ascii="Arial" w:cs="Arial" w:eastAsia="Arial" w:hAnsi="Arial"/>
                <w:sz w:val="12"/>
                <w:szCs w:val="12"/>
                <w:b w:val="1"/>
                <w:bCs w:val="1"/>
                <w:color w:val="auto"/>
              </w:rPr>
              <w:t>Three Months Ended December 31,</w:t>
            </w:r>
          </w:p>
        </w:tc>
        <w:tc>
          <w:tcPr>
            <w:tcW w:w="200" w:type="dxa"/>
            <w:vAlign w:val="bottom"/>
          </w:tcPr>
          <w:p>
            <w:pPr>
              <w:spacing w:after="0"/>
              <w:rPr>
                <w:sz w:val="13"/>
                <w:szCs w:val="13"/>
                <w:color w:val="auto"/>
              </w:rPr>
            </w:pPr>
          </w:p>
        </w:tc>
        <w:tc>
          <w:tcPr>
            <w:tcW w:w="980" w:type="dxa"/>
            <w:vAlign w:val="bottom"/>
            <w:gridSpan w:val="3"/>
          </w:tcPr>
          <w:p>
            <w:pPr>
              <w:ind w:left="40"/>
              <w:spacing w:after="0"/>
              <w:rPr>
                <w:sz w:val="20"/>
                <w:szCs w:val="20"/>
                <w:color w:val="auto"/>
              </w:rPr>
            </w:pPr>
            <w:r>
              <w:rPr>
                <w:rFonts w:ascii="Arial" w:cs="Arial" w:eastAsia="Arial" w:hAnsi="Arial"/>
                <w:sz w:val="12"/>
                <w:szCs w:val="12"/>
                <w:i w:val="1"/>
                <w:iCs w:val="1"/>
                <w:color w:val="auto"/>
              </w:rPr>
              <w:t>(in thousands)</w:t>
            </w:r>
          </w:p>
        </w:tc>
        <w:tc>
          <w:tcPr>
            <w:tcW w:w="1960" w:type="dxa"/>
            <w:vAlign w:val="bottom"/>
            <w:gridSpan w:val="4"/>
            <w:vMerge w:val="restart"/>
          </w:tcPr>
          <w:p>
            <w:pPr>
              <w:ind w:left="560"/>
              <w:spacing w:after="0"/>
              <w:rPr>
                <w:sz w:val="20"/>
                <w:szCs w:val="20"/>
                <w:color w:val="auto"/>
              </w:rPr>
            </w:pPr>
            <w:r>
              <w:rPr>
                <w:rFonts w:ascii="Arial" w:cs="Arial" w:eastAsia="Arial" w:hAnsi="Arial"/>
                <w:sz w:val="12"/>
                <w:szCs w:val="12"/>
                <w:b w:val="1"/>
                <w:bCs w:val="1"/>
                <w:color w:val="auto"/>
                <w:w w:val="89"/>
              </w:rPr>
              <w:t>Years Ended December 31,</w:t>
            </w: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60" w:type="dxa"/>
            <w:vAlign w:val="bottom"/>
          </w:tcPr>
          <w:p>
            <w:pPr>
              <w:spacing w:after="0"/>
              <w:rPr>
                <w:sz w:val="13"/>
                <w:szCs w:val="13"/>
                <w:color w:val="auto"/>
              </w:rPr>
            </w:pPr>
          </w:p>
        </w:tc>
        <w:tc>
          <w:tcPr>
            <w:tcW w:w="2920" w:type="dxa"/>
            <w:vAlign w:val="bottom"/>
            <w:tcBorders>
              <w:bottom w:val="single" w:sz="8" w:color="auto"/>
            </w:tcBorders>
            <w:gridSpan w:val="5"/>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vMerge w:val="continue"/>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2021</w:t>
            </w: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w w:val="97"/>
              </w:rPr>
              <w:t>2020</w:t>
            </w:r>
          </w:p>
        </w:tc>
        <w:tc>
          <w:tcPr>
            <w:tcW w:w="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5340" w:type="dxa"/>
            <w:vAlign w:val="bottom"/>
            <w:gridSpan w:val="2"/>
          </w:tcPr>
          <w:p>
            <w:pPr>
              <w:spacing w:after="0"/>
              <w:rPr>
                <w:sz w:val="20"/>
                <w:szCs w:val="20"/>
                <w:color w:val="auto"/>
              </w:rPr>
            </w:pPr>
            <w:r>
              <w:rPr>
                <w:rFonts w:ascii="Arial" w:cs="Arial" w:eastAsia="Arial" w:hAnsi="Arial"/>
                <w:sz w:val="12"/>
                <w:szCs w:val="12"/>
                <w:color w:val="auto"/>
              </w:rPr>
              <w:t>Net (loss) income</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14,094</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(1,004)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1,389</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25,661</w:t>
            </w:r>
          </w:p>
        </w:tc>
        <w:tc>
          <w:tcPr>
            <w:tcW w:w="0" w:type="dxa"/>
            <w:vAlign w:val="bottom"/>
          </w:tcPr>
          <w:p>
            <w:pPr>
              <w:spacing w:after="0"/>
              <w:rPr>
                <w:sz w:val="1"/>
                <w:szCs w:val="1"/>
                <w:color w:val="auto"/>
              </w:rPr>
            </w:pPr>
          </w:p>
        </w:tc>
      </w:tr>
      <w:tr>
        <w:trPr>
          <w:trHeight w:val="153"/>
        </w:trPr>
        <w:tc>
          <w:tcPr>
            <w:tcW w:w="5340" w:type="dxa"/>
            <w:vAlign w:val="bottom"/>
            <w:gridSpan w:val="2"/>
          </w:tcPr>
          <w:p>
            <w:pPr>
              <w:ind w:left="140"/>
              <w:spacing w:after="0"/>
              <w:rPr>
                <w:sz w:val="20"/>
                <w:szCs w:val="20"/>
                <w:color w:val="auto"/>
              </w:rPr>
            </w:pPr>
            <w:r>
              <w:rPr>
                <w:rFonts w:ascii="Arial" w:cs="Arial" w:eastAsia="Arial" w:hAnsi="Arial"/>
                <w:sz w:val="12"/>
                <w:szCs w:val="12"/>
                <w:color w:val="auto"/>
              </w:rPr>
              <w:t>Interest expense</w:t>
            </w:r>
          </w:p>
        </w:tc>
        <w:tc>
          <w:tcPr>
            <w:tcW w:w="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11,877</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9,385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36,485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44,839</w:t>
            </w:r>
          </w:p>
        </w:tc>
        <w:tc>
          <w:tcPr>
            <w:tcW w:w="0" w:type="dxa"/>
            <w:vAlign w:val="bottom"/>
          </w:tcPr>
          <w:p>
            <w:pPr>
              <w:spacing w:after="0"/>
              <w:rPr>
                <w:sz w:val="1"/>
                <w:szCs w:val="1"/>
                <w:color w:val="auto"/>
              </w:rPr>
            </w:pPr>
          </w:p>
        </w:tc>
      </w:tr>
      <w:tr>
        <w:trPr>
          <w:trHeight w:val="153"/>
        </w:trPr>
        <w:tc>
          <w:tcPr>
            <w:tcW w:w="5340" w:type="dxa"/>
            <w:vAlign w:val="bottom"/>
            <w:gridSpan w:val="2"/>
          </w:tcPr>
          <w:p>
            <w:pPr>
              <w:ind w:left="140"/>
              <w:spacing w:after="0"/>
              <w:rPr>
                <w:sz w:val="20"/>
                <w:szCs w:val="20"/>
                <w:color w:val="auto"/>
              </w:rPr>
            </w:pPr>
            <w:r>
              <w:rPr>
                <w:rFonts w:ascii="Arial" w:cs="Arial" w:eastAsia="Arial" w:hAnsi="Arial"/>
                <w:sz w:val="12"/>
                <w:szCs w:val="12"/>
                <w:color w:val="auto"/>
              </w:rPr>
              <w:t>Income tax (benefit) expense</w:t>
            </w:r>
          </w:p>
        </w:tc>
        <w:tc>
          <w:tcPr>
            <w:tcW w:w="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9"/>
              </w:rPr>
              <w:t>(5,307)</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(2,020)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4"/>
              </w:rPr>
              <w:t>(5,258)</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10,899</w:t>
            </w:r>
          </w:p>
        </w:tc>
        <w:tc>
          <w:tcPr>
            <w:tcW w:w="0" w:type="dxa"/>
            <w:vAlign w:val="bottom"/>
          </w:tcPr>
          <w:p>
            <w:pPr>
              <w:spacing w:after="0"/>
              <w:rPr>
                <w:sz w:val="1"/>
                <w:szCs w:val="1"/>
                <w:color w:val="auto"/>
              </w:rPr>
            </w:pPr>
          </w:p>
        </w:tc>
      </w:tr>
      <w:tr>
        <w:trPr>
          <w:trHeight w:val="153"/>
        </w:trPr>
        <w:tc>
          <w:tcPr>
            <w:tcW w:w="4260" w:type="dxa"/>
            <w:vAlign w:val="bottom"/>
          </w:tcPr>
          <w:p>
            <w:pPr>
              <w:ind w:left="140"/>
              <w:spacing w:after="0"/>
              <w:rPr>
                <w:sz w:val="20"/>
                <w:szCs w:val="20"/>
                <w:color w:val="auto"/>
              </w:rPr>
            </w:pPr>
            <w:r>
              <w:rPr>
                <w:rFonts w:ascii="Arial" w:cs="Arial" w:eastAsia="Arial" w:hAnsi="Arial"/>
                <w:sz w:val="12"/>
                <w:szCs w:val="12"/>
                <w:color w:val="auto"/>
              </w:rPr>
              <w:t>Depreciation and amortization</w:t>
            </w:r>
          </w:p>
        </w:tc>
        <w:tc>
          <w:tcPr>
            <w:tcW w:w="10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17,574</w:t>
            </w:r>
          </w:p>
        </w:tc>
        <w:tc>
          <w:tcPr>
            <w:tcW w:w="1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9,889</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49,697</w:t>
            </w:r>
          </w:p>
        </w:tc>
        <w:tc>
          <w:tcPr>
            <w:tcW w:w="1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40,775</w:t>
            </w:r>
          </w:p>
        </w:tc>
        <w:tc>
          <w:tcPr>
            <w:tcW w:w="0" w:type="dxa"/>
            <w:vAlign w:val="bottom"/>
          </w:tcPr>
          <w:p>
            <w:pPr>
              <w:spacing w:after="0"/>
              <w:rPr>
                <w:sz w:val="1"/>
                <w:szCs w:val="1"/>
                <w:color w:val="auto"/>
              </w:rPr>
            </w:pPr>
          </w:p>
        </w:tc>
      </w:tr>
      <w:tr>
        <w:trPr>
          <w:trHeight w:val="142"/>
        </w:trPr>
        <w:tc>
          <w:tcPr>
            <w:tcW w:w="5340" w:type="dxa"/>
            <w:vAlign w:val="bottom"/>
            <w:gridSpan w:val="2"/>
          </w:tcPr>
          <w:p>
            <w:pPr>
              <w:spacing w:after="0"/>
              <w:rPr>
                <w:sz w:val="20"/>
                <w:szCs w:val="20"/>
                <w:color w:val="auto"/>
              </w:rPr>
            </w:pPr>
            <w:r>
              <w:rPr>
                <w:rFonts w:ascii="Arial" w:cs="Arial" w:eastAsia="Arial" w:hAnsi="Arial"/>
                <w:sz w:val="12"/>
                <w:szCs w:val="12"/>
                <w:color w:val="auto"/>
              </w:rPr>
              <w:t>EBITDA</w:t>
            </w:r>
          </w:p>
        </w:tc>
        <w:tc>
          <w:tcPr>
            <w:tcW w:w="2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38,238</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16,250</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82,313</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6"/>
              </w:rPr>
              <w:t>122,174</w:t>
            </w:r>
          </w:p>
        </w:tc>
        <w:tc>
          <w:tcPr>
            <w:tcW w:w="0" w:type="dxa"/>
            <w:vAlign w:val="bottom"/>
          </w:tcPr>
          <w:p>
            <w:pPr>
              <w:spacing w:after="0"/>
              <w:rPr>
                <w:sz w:val="1"/>
                <w:szCs w:val="1"/>
                <w:color w:val="auto"/>
              </w:rPr>
            </w:pPr>
          </w:p>
        </w:tc>
      </w:tr>
      <w:tr>
        <w:trPr>
          <w:trHeight w:val="153"/>
        </w:trPr>
        <w:tc>
          <w:tcPr>
            <w:tcW w:w="5340" w:type="dxa"/>
            <w:vAlign w:val="bottom"/>
            <w:gridSpan w:val="2"/>
          </w:tcPr>
          <w:p>
            <w:pPr>
              <w:ind w:left="140"/>
              <w:spacing w:after="0"/>
              <w:rPr>
                <w:sz w:val="20"/>
                <w:szCs w:val="20"/>
                <w:color w:val="auto"/>
              </w:rPr>
            </w:pPr>
            <w:r>
              <w:rPr>
                <w:rFonts w:ascii="Arial" w:cs="Arial" w:eastAsia="Arial" w:hAnsi="Arial"/>
                <w:sz w:val="12"/>
                <w:szCs w:val="12"/>
                <w:color w:val="auto"/>
              </w:rPr>
              <w:t>Debt extinguishment and modification</w:t>
            </w:r>
          </w:p>
        </w:tc>
        <w:tc>
          <w:tcPr>
            <w:tcW w:w="200" w:type="dxa"/>
            <w:vAlign w:val="bottom"/>
          </w:tcPr>
          <w:p>
            <w:pPr>
              <w:spacing w:after="0"/>
              <w:rPr>
                <w:sz w:val="13"/>
                <w:szCs w:val="13"/>
                <w:color w:val="auto"/>
              </w:rPr>
            </w:pPr>
          </w:p>
        </w:tc>
        <w:tc>
          <w:tcPr>
            <w:tcW w:w="1640" w:type="dxa"/>
            <w:vAlign w:val="bottom"/>
            <w:gridSpan w:val="3"/>
          </w:tcPr>
          <w:p>
            <w:pPr>
              <w:jc w:val="right"/>
              <w:ind w:right="1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80" w:type="dxa"/>
            <w:vAlign w:val="bottom"/>
            <w:gridSpan w:val="3"/>
          </w:tcPr>
          <w:p>
            <w:pPr>
              <w:jc w:val="right"/>
              <w:ind w:right="56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8,322</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1,899</w:t>
            </w:r>
          </w:p>
        </w:tc>
        <w:tc>
          <w:tcPr>
            <w:tcW w:w="0" w:type="dxa"/>
            <w:vAlign w:val="bottom"/>
          </w:tcPr>
          <w:p>
            <w:pPr>
              <w:spacing w:after="0"/>
              <w:rPr>
                <w:sz w:val="1"/>
                <w:szCs w:val="1"/>
                <w:color w:val="auto"/>
              </w:rPr>
            </w:pPr>
          </w:p>
        </w:tc>
      </w:tr>
      <w:tr>
        <w:trPr>
          <w:trHeight w:val="153"/>
        </w:trPr>
        <w:tc>
          <w:tcPr>
            <w:tcW w:w="5340" w:type="dxa"/>
            <w:vAlign w:val="bottom"/>
            <w:gridSpan w:val="2"/>
          </w:tcPr>
          <w:p>
            <w:pPr>
              <w:ind w:left="140"/>
              <w:spacing w:after="0"/>
              <w:rPr>
                <w:sz w:val="20"/>
                <w:szCs w:val="20"/>
                <w:color w:val="auto"/>
              </w:rPr>
            </w:pPr>
            <w:r>
              <w:rPr>
                <w:rFonts w:ascii="Arial" w:cs="Arial" w:eastAsia="Arial" w:hAnsi="Arial"/>
                <w:sz w:val="12"/>
                <w:szCs w:val="12"/>
                <w:color w:val="auto"/>
              </w:rPr>
              <w:t>Gain on sale of business and investment</w:t>
            </w:r>
          </w:p>
        </w:tc>
        <w:tc>
          <w:tcPr>
            <w:tcW w:w="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9"/>
              </w:rPr>
              <w:t>(7,643)</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tcPr>
          <w:p>
            <w:pPr>
              <w:jc w:val="right"/>
              <w:ind w:right="56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4"/>
              </w:rPr>
              <w:t>(7,643)</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3"/>
              </w:rPr>
              <w:t>(62,091)</w:t>
            </w:r>
          </w:p>
        </w:tc>
        <w:tc>
          <w:tcPr>
            <w:tcW w:w="0" w:type="dxa"/>
            <w:vAlign w:val="bottom"/>
          </w:tcPr>
          <w:p>
            <w:pPr>
              <w:spacing w:after="0"/>
              <w:rPr>
                <w:sz w:val="1"/>
                <w:szCs w:val="1"/>
                <w:color w:val="auto"/>
              </w:rPr>
            </w:pPr>
          </w:p>
        </w:tc>
      </w:tr>
      <w:tr>
        <w:trPr>
          <w:trHeight w:val="153"/>
        </w:trPr>
        <w:tc>
          <w:tcPr>
            <w:tcW w:w="5340" w:type="dxa"/>
            <w:vAlign w:val="bottom"/>
            <w:gridSpan w:val="2"/>
          </w:tcPr>
          <w:p>
            <w:pPr>
              <w:ind w:left="140"/>
              <w:spacing w:after="0"/>
              <w:rPr>
                <w:sz w:val="20"/>
                <w:szCs w:val="20"/>
                <w:color w:val="auto"/>
              </w:rPr>
            </w:pPr>
            <w:r>
              <w:rPr>
                <w:rFonts w:ascii="Arial" w:cs="Arial" w:eastAsia="Arial" w:hAnsi="Arial"/>
                <w:sz w:val="12"/>
                <w:szCs w:val="12"/>
                <w:color w:val="auto"/>
              </w:rPr>
              <w:t>Write-off of equity method investment</w:t>
            </w:r>
          </w:p>
        </w:tc>
        <w:tc>
          <w:tcPr>
            <w:tcW w:w="200" w:type="dxa"/>
            <w:vAlign w:val="bottom"/>
          </w:tcPr>
          <w:p>
            <w:pPr>
              <w:spacing w:after="0"/>
              <w:rPr>
                <w:sz w:val="13"/>
                <w:szCs w:val="13"/>
                <w:color w:val="auto"/>
              </w:rPr>
            </w:pPr>
          </w:p>
        </w:tc>
        <w:tc>
          <w:tcPr>
            <w:tcW w:w="1640" w:type="dxa"/>
            <w:vAlign w:val="bottom"/>
            <w:gridSpan w:val="3"/>
          </w:tcPr>
          <w:p>
            <w:pPr>
              <w:jc w:val="right"/>
              <w:ind w:right="1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80" w:type="dxa"/>
            <w:vAlign w:val="bottom"/>
            <w:gridSpan w:val="3"/>
          </w:tcPr>
          <w:p>
            <w:pPr>
              <w:jc w:val="right"/>
              <w:ind w:right="56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180" w:type="dxa"/>
            <w:vAlign w:val="bottom"/>
            <w:gridSpan w:val="3"/>
          </w:tcPr>
          <w:p>
            <w:pPr>
              <w:jc w:val="right"/>
              <w:ind w:right="80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211</w:t>
            </w:r>
          </w:p>
        </w:tc>
        <w:tc>
          <w:tcPr>
            <w:tcW w:w="0" w:type="dxa"/>
            <w:vAlign w:val="bottom"/>
          </w:tcPr>
          <w:p>
            <w:pPr>
              <w:spacing w:after="0"/>
              <w:rPr>
                <w:sz w:val="1"/>
                <w:szCs w:val="1"/>
                <w:color w:val="auto"/>
              </w:rPr>
            </w:pPr>
          </w:p>
        </w:tc>
      </w:tr>
      <w:tr>
        <w:trPr>
          <w:trHeight w:val="153"/>
        </w:trPr>
        <w:tc>
          <w:tcPr>
            <w:tcW w:w="5340" w:type="dxa"/>
            <w:vAlign w:val="bottom"/>
            <w:gridSpan w:val="2"/>
          </w:tcPr>
          <w:p>
            <w:pPr>
              <w:ind w:left="140"/>
              <w:spacing w:after="0"/>
              <w:rPr>
                <w:sz w:val="20"/>
                <w:szCs w:val="20"/>
                <w:color w:val="auto"/>
              </w:rPr>
            </w:pPr>
            <w:r>
              <w:rPr>
                <w:rFonts w:ascii="Arial" w:cs="Arial" w:eastAsia="Arial" w:hAnsi="Arial"/>
                <w:sz w:val="12"/>
                <w:szCs w:val="12"/>
                <w:color w:val="auto"/>
              </w:rPr>
              <w:t>Selling, general and administrative</w:t>
            </w:r>
          </w:p>
        </w:tc>
        <w:tc>
          <w:tcPr>
            <w:tcW w:w="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1,403</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1,180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10,089</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5,710</w:t>
            </w:r>
          </w:p>
        </w:tc>
        <w:tc>
          <w:tcPr>
            <w:tcW w:w="0" w:type="dxa"/>
            <w:vAlign w:val="bottom"/>
          </w:tcPr>
          <w:p>
            <w:pPr>
              <w:spacing w:after="0"/>
              <w:rPr>
                <w:sz w:val="1"/>
                <w:szCs w:val="1"/>
                <w:color w:val="auto"/>
              </w:rPr>
            </w:pPr>
          </w:p>
        </w:tc>
      </w:tr>
      <w:tr>
        <w:trPr>
          <w:trHeight w:val="153"/>
        </w:trPr>
        <w:tc>
          <w:tcPr>
            <w:tcW w:w="4260" w:type="dxa"/>
            <w:vAlign w:val="bottom"/>
          </w:tcPr>
          <w:p>
            <w:pPr>
              <w:ind w:left="140"/>
              <w:spacing w:after="0"/>
              <w:rPr>
                <w:sz w:val="20"/>
                <w:szCs w:val="20"/>
                <w:color w:val="auto"/>
              </w:rPr>
            </w:pPr>
            <w:r>
              <w:rPr>
                <w:rFonts w:ascii="Arial" w:cs="Arial" w:eastAsia="Arial" w:hAnsi="Arial"/>
                <w:sz w:val="12"/>
                <w:szCs w:val="12"/>
                <w:color w:val="auto"/>
              </w:rPr>
              <w:t>Non-cash stock-based compensation</w:t>
            </w:r>
          </w:p>
        </w:tc>
        <w:tc>
          <w:tcPr>
            <w:tcW w:w="10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864</w:t>
            </w:r>
          </w:p>
        </w:tc>
        <w:tc>
          <w:tcPr>
            <w:tcW w:w="1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803</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3,213</w:t>
            </w:r>
          </w:p>
        </w:tc>
        <w:tc>
          <w:tcPr>
            <w:tcW w:w="1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2,430</w:t>
            </w:r>
          </w:p>
        </w:tc>
        <w:tc>
          <w:tcPr>
            <w:tcW w:w="0" w:type="dxa"/>
            <w:vAlign w:val="bottom"/>
          </w:tcPr>
          <w:p>
            <w:pPr>
              <w:spacing w:after="0"/>
              <w:rPr>
                <w:sz w:val="1"/>
                <w:szCs w:val="1"/>
                <w:color w:val="auto"/>
              </w:rPr>
            </w:pPr>
          </w:p>
        </w:tc>
      </w:tr>
      <w:tr>
        <w:trPr>
          <w:trHeight w:val="142"/>
        </w:trPr>
        <w:tc>
          <w:tcPr>
            <w:tcW w:w="5340" w:type="dxa"/>
            <w:vAlign w:val="bottom"/>
            <w:gridSpan w:val="2"/>
          </w:tcPr>
          <w:p>
            <w:pPr>
              <w:spacing w:after="0"/>
              <w:rPr>
                <w:sz w:val="20"/>
                <w:szCs w:val="20"/>
                <w:color w:val="auto"/>
              </w:rPr>
            </w:pPr>
            <w:r>
              <w:rPr>
                <w:rFonts w:ascii="Arial" w:cs="Arial" w:eastAsia="Arial" w:hAnsi="Arial"/>
                <w:sz w:val="12"/>
                <w:szCs w:val="12"/>
                <w:b w:val="1"/>
                <w:bCs w:val="1"/>
                <w:color w:val="auto"/>
              </w:rPr>
              <w:t>Adjusted EBITDA</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rPr>
              <w:t>32,862</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18,233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ind w:right="20"/>
              <w:spacing w:after="0"/>
              <w:rPr>
                <w:sz w:val="20"/>
                <w:szCs w:val="20"/>
                <w:color w:val="auto"/>
              </w:rPr>
            </w:pPr>
            <w:r>
              <w:rPr>
                <w:rFonts w:ascii="Arial" w:cs="Arial" w:eastAsia="Arial" w:hAnsi="Arial"/>
                <w:sz w:val="12"/>
                <w:szCs w:val="12"/>
                <w:b w:val="1"/>
                <w:bCs w:val="1"/>
                <w:color w:val="auto"/>
              </w:rPr>
              <w:t>$</w:t>
            </w:r>
          </w:p>
        </w:tc>
        <w:tc>
          <w:tcPr>
            <w:tcW w:w="380" w:type="dxa"/>
            <w:vAlign w:val="bottom"/>
          </w:tcPr>
          <w:p>
            <w:pPr>
              <w:jc w:val="right"/>
              <w:spacing w:after="0"/>
              <w:rPr>
                <w:sz w:val="20"/>
                <w:szCs w:val="20"/>
                <w:color w:val="auto"/>
              </w:rPr>
            </w:pPr>
            <w:r>
              <w:rPr>
                <w:rFonts w:ascii="Arial" w:cs="Arial" w:eastAsia="Arial" w:hAnsi="Arial"/>
                <w:sz w:val="12"/>
                <w:szCs w:val="12"/>
                <w:b w:val="1"/>
                <w:bCs w:val="1"/>
                <w:color w:val="auto"/>
                <w:w w:val="97"/>
              </w:rPr>
              <w:t>96,294</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70,333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966" w:right="299" w:bottom="1440" w:gutter="0" w:footer="0" w:header="0"/>
        </w:sectPr>
      </w:pPr>
    </w:p>
    <w:bookmarkStart w:id="7" w:name="page8"/>
    <w:bookmarkEnd w:id="7"/>
    <w:p>
      <w:pPr>
        <w:spacing w:after="0"/>
        <w:rPr>
          <w:sz w:val="20"/>
          <w:szCs w:val="20"/>
          <w:color w:val="auto"/>
        </w:rPr>
      </w:pPr>
      <w:r>
        <w:rPr>
          <w:rFonts w:ascii="Arial" w:cs="Arial" w:eastAsia="Arial" w:hAnsi="Arial"/>
          <w:sz w:val="13"/>
          <w:szCs w:val="13"/>
          <w:color w:val="auto"/>
        </w:rPr>
        <w:t>Further detail of certain of these adjustments, and where these items are recorded in our consolidated statements of operations, is provided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gridSpan w:val="3"/>
          </w:tcPr>
          <w:p>
            <w:pPr>
              <w:ind w:left="40"/>
              <w:spacing w:after="0"/>
              <w:rPr>
                <w:sz w:val="20"/>
                <w:szCs w:val="20"/>
                <w:color w:val="auto"/>
              </w:rPr>
            </w:pPr>
            <w:r>
              <w:rPr>
                <w:rFonts w:ascii="Arial" w:cs="Arial" w:eastAsia="Arial" w:hAnsi="Arial"/>
                <w:sz w:val="12"/>
                <w:szCs w:val="12"/>
                <w:i w:val="1"/>
                <w:iCs w:val="1"/>
                <w:color w:val="auto"/>
                <w:w w:val="99"/>
              </w:rPr>
              <w:t>(in thousands)</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Years Ended</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960" w:type="dxa"/>
            <w:vAlign w:val="bottom"/>
          </w:tcPr>
          <w:p>
            <w:pPr>
              <w:spacing w:after="0"/>
              <w:rPr>
                <w:sz w:val="15"/>
                <w:szCs w:val="15"/>
                <w:color w:val="auto"/>
              </w:rPr>
            </w:pPr>
          </w:p>
        </w:tc>
        <w:tc>
          <w:tcPr>
            <w:tcW w:w="214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b w:val="1"/>
                <w:bCs w:val="1"/>
                <w:color w:val="auto"/>
              </w:rPr>
              <w:t>Three Months Ended December 31,</w:t>
            </w:r>
          </w:p>
        </w:tc>
        <w:tc>
          <w:tcPr>
            <w:tcW w:w="3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4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60" w:type="dxa"/>
            <w:vAlign w:val="bottom"/>
            <w:vMerge w:val="restart"/>
          </w:tcPr>
          <w:p>
            <w:pPr>
              <w:spacing w:after="0"/>
              <w:rPr>
                <w:sz w:val="20"/>
                <w:szCs w:val="20"/>
                <w:color w:val="auto"/>
              </w:rPr>
            </w:pPr>
            <w:r>
              <w:rPr>
                <w:rFonts w:ascii="Arial" w:cs="Arial" w:eastAsia="Arial" w:hAnsi="Arial"/>
                <w:sz w:val="12"/>
                <w:szCs w:val="12"/>
                <w:b w:val="1"/>
                <w:bCs w:val="1"/>
                <w:color w:val="auto"/>
              </w:rPr>
              <w:t>Selling, general and administrative expenses: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2020</w:t>
            </w:r>
          </w:p>
        </w:tc>
        <w:tc>
          <w:tcPr>
            <w:tcW w:w="3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2021</w:t>
            </w:r>
          </w:p>
        </w:tc>
        <w:tc>
          <w:tcPr>
            <w:tcW w:w="3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3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ind w:left="420"/>
              <w:spacing w:after="0"/>
              <w:rPr>
                <w:sz w:val="20"/>
                <w:szCs w:val="20"/>
                <w:color w:val="auto"/>
              </w:rPr>
            </w:pPr>
            <w:r>
              <w:rPr>
                <w:rFonts w:ascii="Arial" w:cs="Arial" w:eastAsia="Arial" w:hAnsi="Arial"/>
                <w:sz w:val="12"/>
                <w:szCs w:val="12"/>
                <w:b w:val="1"/>
                <w:bCs w:val="1"/>
                <w:color w:val="auto"/>
              </w:rPr>
              <w:t>Segment</w:t>
            </w:r>
          </w:p>
        </w:tc>
        <w:tc>
          <w:tcPr>
            <w:tcW w:w="0" w:type="dxa"/>
            <w:vAlign w:val="bottom"/>
          </w:tcPr>
          <w:p>
            <w:pPr>
              <w:spacing w:after="0"/>
              <w:rPr>
                <w:sz w:val="1"/>
                <w:szCs w:val="1"/>
                <w:color w:val="auto"/>
              </w:rPr>
            </w:pPr>
          </w:p>
        </w:tc>
      </w:tr>
      <w:tr>
        <w:trPr>
          <w:trHeight w:val="133"/>
        </w:trPr>
        <w:tc>
          <w:tcPr>
            <w:tcW w:w="49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700" w:type="dxa"/>
            <w:vAlign w:val="bottom"/>
            <w:gridSpan w:val="2"/>
          </w:tcPr>
          <w:p>
            <w:pPr>
              <w:ind w:left="140"/>
              <w:spacing w:after="0"/>
              <w:rPr>
                <w:sz w:val="20"/>
                <w:szCs w:val="20"/>
                <w:color w:val="auto"/>
              </w:rPr>
            </w:pPr>
            <w:r>
              <w:rPr>
                <w:rFonts w:ascii="Arial" w:cs="Arial" w:eastAsia="Arial" w:hAnsi="Arial"/>
                <w:sz w:val="12"/>
                <w:szCs w:val="12"/>
                <w:color w:val="auto"/>
              </w:rPr>
              <w:t>Legal, professional, accounting and consulting fees</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170</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419</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7,291</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620" w:type="dxa"/>
            <w:vAlign w:val="bottom"/>
            <w:gridSpan w:val="2"/>
          </w:tcPr>
          <w:p>
            <w:pPr>
              <w:ind w:left="60"/>
              <w:spacing w:after="0"/>
              <w:rPr>
                <w:sz w:val="20"/>
                <w:szCs w:val="20"/>
                <w:color w:val="auto"/>
              </w:rPr>
            </w:pPr>
            <w:r>
              <w:rPr>
                <w:rFonts w:ascii="Arial" w:cs="Arial" w:eastAsia="Arial" w:hAnsi="Arial"/>
                <w:sz w:val="12"/>
                <w:szCs w:val="12"/>
                <w:color w:val="auto"/>
              </w:rPr>
              <w:t>1,222 Corporate</w:t>
            </w:r>
          </w:p>
        </w:tc>
        <w:tc>
          <w:tcPr>
            <w:tcW w:w="0" w:type="dxa"/>
            <w:vAlign w:val="bottom"/>
          </w:tcPr>
          <w:p>
            <w:pPr>
              <w:spacing w:after="0"/>
              <w:rPr>
                <w:sz w:val="1"/>
                <w:szCs w:val="1"/>
                <w:color w:val="auto"/>
              </w:rPr>
            </w:pPr>
          </w:p>
        </w:tc>
      </w:tr>
      <w:tr>
        <w:trPr>
          <w:trHeight w:val="153"/>
        </w:trPr>
        <w:tc>
          <w:tcPr>
            <w:tcW w:w="5700" w:type="dxa"/>
            <w:vAlign w:val="bottom"/>
            <w:gridSpan w:val="2"/>
          </w:tcPr>
          <w:p>
            <w:pPr>
              <w:ind w:left="140"/>
              <w:spacing w:after="0"/>
              <w:rPr>
                <w:sz w:val="20"/>
                <w:szCs w:val="20"/>
                <w:color w:val="auto"/>
              </w:rPr>
            </w:pPr>
            <w:r>
              <w:rPr>
                <w:rFonts w:ascii="Arial" w:cs="Arial" w:eastAsia="Arial" w:hAnsi="Arial"/>
                <w:sz w:val="12"/>
                <w:szCs w:val="12"/>
                <w:color w:val="auto"/>
              </w:rPr>
              <w:t>Acquisition transaction services</w:t>
            </w:r>
          </w:p>
        </w:tc>
        <w:tc>
          <w:tcPr>
            <w:tcW w:w="100" w:type="dxa"/>
            <w:vAlign w:val="bottom"/>
          </w:tcPr>
          <w:p>
            <w:pPr>
              <w:spacing w:after="0"/>
              <w:rPr>
                <w:sz w:val="13"/>
                <w:szCs w:val="1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2"/>
              </w:rPr>
              <w:t>(119)</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69</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20" w:type="dxa"/>
            <w:vAlign w:val="bottom"/>
            <w:gridSpan w:val="2"/>
          </w:tcPr>
          <w:p>
            <w:pPr>
              <w:ind w:left="60"/>
              <w:spacing w:after="0"/>
              <w:rPr>
                <w:sz w:val="20"/>
                <w:szCs w:val="20"/>
                <w:color w:val="auto"/>
              </w:rPr>
            </w:pPr>
            <w:r>
              <w:rPr>
                <w:rFonts w:ascii="Arial" w:cs="Arial" w:eastAsia="Arial" w:hAnsi="Arial"/>
                <w:sz w:val="12"/>
                <w:szCs w:val="12"/>
                <w:color w:val="auto"/>
              </w:rPr>
              <w:t>2,628 Enterprise</w:t>
            </w:r>
          </w:p>
        </w:tc>
        <w:tc>
          <w:tcPr>
            <w:tcW w:w="0" w:type="dxa"/>
            <w:vAlign w:val="bottom"/>
          </w:tcPr>
          <w:p>
            <w:pPr>
              <w:spacing w:after="0"/>
              <w:rPr>
                <w:sz w:val="1"/>
                <w:szCs w:val="1"/>
                <w:color w:val="auto"/>
              </w:rPr>
            </w:pPr>
          </w:p>
        </w:tc>
      </w:tr>
      <w:tr>
        <w:trPr>
          <w:trHeight w:val="153"/>
        </w:trPr>
        <w:tc>
          <w:tcPr>
            <w:tcW w:w="5700" w:type="dxa"/>
            <w:vAlign w:val="bottom"/>
            <w:gridSpan w:val="2"/>
          </w:tcPr>
          <w:p>
            <w:pPr>
              <w:ind w:left="140"/>
              <w:spacing w:after="0"/>
              <w:rPr>
                <w:sz w:val="20"/>
                <w:szCs w:val="20"/>
                <w:color w:val="auto"/>
              </w:rPr>
            </w:pPr>
            <w:r>
              <w:rPr>
                <w:rFonts w:ascii="Arial" w:cs="Arial" w:eastAsia="Arial" w:hAnsi="Arial"/>
                <w:sz w:val="12"/>
                <w:szCs w:val="12"/>
                <w:color w:val="auto"/>
              </w:rPr>
              <w:t>Other expense, net</w:t>
            </w:r>
          </w:p>
        </w:tc>
        <w:tc>
          <w:tcPr>
            <w:tcW w:w="1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86"/>
              </w:rPr>
              <w:t>1,233</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gridSpan w:val="3"/>
          </w:tcPr>
          <w:p>
            <w:pPr>
              <w:jc w:val="right"/>
              <w:ind w:right="5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2,729</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20" w:type="dxa"/>
            <w:vAlign w:val="bottom"/>
            <w:gridSpan w:val="2"/>
          </w:tcPr>
          <w:p>
            <w:pPr>
              <w:ind w:left="220"/>
              <w:spacing w:after="0"/>
              <w:rPr>
                <w:sz w:val="20"/>
                <w:szCs w:val="20"/>
                <w:color w:val="auto"/>
              </w:rPr>
            </w:pPr>
            <w:r>
              <w:rPr>
                <w:rFonts w:ascii="Arial" w:cs="Arial" w:eastAsia="Arial" w:hAnsi="Arial"/>
                <w:sz w:val="12"/>
                <w:szCs w:val="12"/>
                <w:color w:val="auto"/>
              </w:rPr>
              <w:t>— Corporate</w:t>
            </w:r>
          </w:p>
        </w:tc>
        <w:tc>
          <w:tcPr>
            <w:tcW w:w="0" w:type="dxa"/>
            <w:vAlign w:val="bottom"/>
          </w:tcPr>
          <w:p>
            <w:pPr>
              <w:spacing w:after="0"/>
              <w:rPr>
                <w:sz w:val="1"/>
                <w:szCs w:val="1"/>
                <w:color w:val="auto"/>
              </w:rPr>
            </w:pPr>
          </w:p>
        </w:tc>
      </w:tr>
      <w:tr>
        <w:trPr>
          <w:trHeight w:val="153"/>
        </w:trPr>
        <w:tc>
          <w:tcPr>
            <w:tcW w:w="5700" w:type="dxa"/>
            <w:vAlign w:val="bottom"/>
            <w:gridSpan w:val="2"/>
          </w:tcPr>
          <w:p>
            <w:pPr>
              <w:ind w:left="140"/>
              <w:spacing w:after="0"/>
              <w:rPr>
                <w:sz w:val="20"/>
                <w:szCs w:val="20"/>
                <w:color w:val="auto"/>
              </w:rPr>
            </w:pPr>
            <w:r>
              <w:rPr>
                <w:rFonts w:ascii="Arial" w:cs="Arial" w:eastAsia="Arial" w:hAnsi="Arial"/>
                <w:sz w:val="12"/>
                <w:szCs w:val="12"/>
                <w:color w:val="auto"/>
              </w:rPr>
              <w:t>Intangible carrying value adjustment</w:t>
            </w:r>
          </w:p>
        </w:tc>
        <w:tc>
          <w:tcPr>
            <w:tcW w:w="100" w:type="dxa"/>
            <w:vAlign w:val="bottom"/>
          </w:tcPr>
          <w:p>
            <w:pPr>
              <w:spacing w:after="0"/>
              <w:rPr>
                <w:sz w:val="13"/>
                <w:szCs w:val="1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773</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gridSpan w:val="3"/>
          </w:tcPr>
          <w:p>
            <w:pPr>
              <w:jc w:val="right"/>
              <w:ind w:right="5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1620" w:type="dxa"/>
            <w:vAlign w:val="bottom"/>
            <w:gridSpan w:val="2"/>
          </w:tcPr>
          <w:p>
            <w:pPr>
              <w:ind w:left="60"/>
              <w:spacing w:after="0"/>
              <w:rPr>
                <w:sz w:val="20"/>
                <w:szCs w:val="20"/>
                <w:color w:val="auto"/>
              </w:rPr>
            </w:pPr>
            <w:r>
              <w:rPr>
                <w:rFonts w:ascii="Arial" w:cs="Arial" w:eastAsia="Arial" w:hAnsi="Arial"/>
                <w:sz w:val="12"/>
                <w:szCs w:val="12"/>
                <w:color w:val="auto"/>
              </w:rPr>
              <w:t>1,753 SMB</w:t>
            </w:r>
          </w:p>
        </w:tc>
        <w:tc>
          <w:tcPr>
            <w:tcW w:w="0" w:type="dxa"/>
            <w:vAlign w:val="bottom"/>
          </w:tcPr>
          <w:p>
            <w:pPr>
              <w:spacing w:after="0"/>
              <w:rPr>
                <w:sz w:val="1"/>
                <w:szCs w:val="1"/>
                <w:color w:val="auto"/>
              </w:rPr>
            </w:pPr>
          </w:p>
        </w:tc>
      </w:tr>
      <w:tr>
        <w:trPr>
          <w:trHeight w:val="153"/>
        </w:trPr>
        <w:tc>
          <w:tcPr>
            <w:tcW w:w="5700" w:type="dxa"/>
            <w:vAlign w:val="bottom"/>
            <w:gridSpan w:val="2"/>
          </w:tcPr>
          <w:p>
            <w:pPr>
              <w:ind w:left="140"/>
              <w:spacing w:after="0"/>
              <w:rPr>
                <w:sz w:val="20"/>
                <w:szCs w:val="20"/>
                <w:color w:val="auto"/>
              </w:rPr>
            </w:pPr>
            <w:r>
              <w:rPr>
                <w:rFonts w:ascii="Arial" w:cs="Arial" w:eastAsia="Arial" w:hAnsi="Arial"/>
                <w:sz w:val="12"/>
                <w:szCs w:val="12"/>
                <w:color w:val="auto"/>
              </w:rPr>
              <w:t>Change in fair value of contingent consideration</w:t>
            </w:r>
          </w:p>
        </w:tc>
        <w:tc>
          <w:tcPr>
            <w:tcW w:w="100" w:type="dxa"/>
            <w:vAlign w:val="bottom"/>
          </w:tcPr>
          <w:p>
            <w:pPr>
              <w:spacing w:after="0"/>
              <w:rPr>
                <w:sz w:val="13"/>
                <w:szCs w:val="1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2"/>
              </w:rPr>
              <w:t>(360)</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gridSpan w:val="3"/>
          </w:tcPr>
          <w:p>
            <w:pPr>
              <w:jc w:val="right"/>
              <w:ind w:right="5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1620" w:type="dxa"/>
            <w:vAlign w:val="bottom"/>
            <w:gridSpan w:val="2"/>
          </w:tcPr>
          <w:p>
            <w:pPr>
              <w:ind w:left="80"/>
              <w:spacing w:after="0"/>
              <w:rPr>
                <w:sz w:val="20"/>
                <w:szCs w:val="20"/>
                <w:color w:val="auto"/>
              </w:rPr>
            </w:pPr>
            <w:r>
              <w:rPr>
                <w:rFonts w:ascii="Arial" w:cs="Arial" w:eastAsia="Arial" w:hAnsi="Arial"/>
                <w:sz w:val="12"/>
                <w:szCs w:val="12"/>
                <w:color w:val="auto"/>
              </w:rPr>
              <w:t>(360) SMB</w:t>
            </w:r>
          </w:p>
        </w:tc>
        <w:tc>
          <w:tcPr>
            <w:tcW w:w="0" w:type="dxa"/>
            <w:vAlign w:val="bottom"/>
          </w:tcPr>
          <w:p>
            <w:pPr>
              <w:spacing w:after="0"/>
              <w:rPr>
                <w:sz w:val="1"/>
                <w:szCs w:val="1"/>
                <w:color w:val="auto"/>
              </w:rPr>
            </w:pPr>
          </w:p>
        </w:tc>
      </w:tr>
      <w:tr>
        <w:trPr>
          <w:trHeight w:val="153"/>
        </w:trPr>
        <w:tc>
          <w:tcPr>
            <w:tcW w:w="5700" w:type="dxa"/>
            <w:vAlign w:val="bottom"/>
            <w:gridSpan w:val="2"/>
          </w:tcPr>
          <w:p>
            <w:pPr>
              <w:ind w:left="140"/>
              <w:spacing w:after="0"/>
              <w:rPr>
                <w:sz w:val="20"/>
                <w:szCs w:val="20"/>
                <w:color w:val="auto"/>
              </w:rPr>
            </w:pPr>
            <w:r>
              <w:rPr>
                <w:rFonts w:ascii="Arial" w:cs="Arial" w:eastAsia="Arial" w:hAnsi="Arial"/>
                <w:sz w:val="12"/>
                <w:szCs w:val="12"/>
                <w:color w:val="auto"/>
              </w:rPr>
              <w:t>Write-down of note receivable</w:t>
            </w:r>
          </w:p>
        </w:tc>
        <w:tc>
          <w:tcPr>
            <w:tcW w:w="100" w:type="dxa"/>
            <w:vAlign w:val="bottom"/>
          </w:tcPr>
          <w:p>
            <w:pPr>
              <w:spacing w:after="0"/>
              <w:rPr>
                <w:sz w:val="13"/>
                <w:szCs w:val="1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467</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gridSpan w:val="3"/>
          </w:tcPr>
          <w:p>
            <w:pPr>
              <w:jc w:val="right"/>
              <w:ind w:right="5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1620" w:type="dxa"/>
            <w:vAlign w:val="bottom"/>
            <w:gridSpan w:val="2"/>
          </w:tcPr>
          <w:p>
            <w:pPr>
              <w:ind w:left="160"/>
              <w:spacing w:after="0"/>
              <w:rPr>
                <w:sz w:val="20"/>
                <w:szCs w:val="20"/>
                <w:color w:val="auto"/>
              </w:rPr>
            </w:pPr>
            <w:r>
              <w:rPr>
                <w:rFonts w:ascii="Arial" w:cs="Arial" w:eastAsia="Arial" w:hAnsi="Arial"/>
                <w:sz w:val="12"/>
                <w:szCs w:val="12"/>
                <w:color w:val="auto"/>
              </w:rPr>
              <w:t>467 SMB</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6"/>
              </w:rPr>
              <w:t>1,403</w:t>
            </w:r>
          </w:p>
        </w:tc>
        <w:tc>
          <w:tcPr>
            <w:tcW w:w="1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6"/>
              </w:rPr>
              <w:t>1,180</w:t>
            </w:r>
          </w:p>
        </w:tc>
        <w:tc>
          <w:tcPr>
            <w:tcW w:w="1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92"/>
              </w:rPr>
              <w:t>10,089</w:t>
            </w:r>
          </w:p>
        </w:tc>
        <w:tc>
          <w:tcPr>
            <w:tcW w:w="1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2"/>
                <w:szCs w:val="12"/>
                <w:b w:val="1"/>
                <w:bCs w:val="1"/>
                <w:color w:val="auto"/>
                <w:w w:val="86"/>
              </w:rPr>
              <w:t>5,710</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680" w:type="dxa"/>
            <w:vAlign w:val="bottom"/>
          </w:tcPr>
          <w:p>
            <w:pPr>
              <w:spacing w:after="0"/>
              <w:rPr>
                <w:sz w:val="20"/>
                <w:szCs w:val="20"/>
                <w:color w:val="auto"/>
              </w:rPr>
            </w:pPr>
            <w:r>
              <w:rPr>
                <w:rFonts w:ascii="Arial" w:cs="Arial" w:eastAsia="Arial" w:hAnsi="Arial"/>
                <w:sz w:val="12"/>
                <w:szCs w:val="12"/>
                <w:b w:val="1"/>
                <w:bCs w:val="1"/>
                <w:color w:val="auto"/>
              </w:rPr>
              <w:t>Consolidated Total Debt at December 31, 2021:</w:t>
            </w: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3"/>
        </w:trPr>
        <w:tc>
          <w:tcPr>
            <w:tcW w:w="9680" w:type="dxa"/>
            <w:vAlign w:val="bottom"/>
          </w:tcPr>
          <w:p>
            <w:pPr>
              <w:ind w:left="80"/>
              <w:spacing w:after="0"/>
              <w:rPr>
                <w:sz w:val="20"/>
                <w:szCs w:val="20"/>
                <w:color w:val="auto"/>
              </w:rPr>
            </w:pPr>
            <w:r>
              <w:rPr>
                <w:rFonts w:ascii="Arial" w:cs="Arial" w:eastAsia="Arial" w:hAnsi="Arial"/>
                <w:sz w:val="12"/>
                <w:szCs w:val="12"/>
                <w:color w:val="auto"/>
              </w:rPr>
              <w:t>Term Facility</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616,900</w:t>
            </w:r>
          </w:p>
        </w:tc>
      </w:tr>
      <w:tr>
        <w:trPr>
          <w:trHeight w:val="153"/>
        </w:trPr>
        <w:tc>
          <w:tcPr>
            <w:tcW w:w="9680" w:type="dxa"/>
            <w:vAlign w:val="bottom"/>
          </w:tcPr>
          <w:p>
            <w:pPr>
              <w:ind w:left="80"/>
              <w:spacing w:after="0"/>
              <w:rPr>
                <w:sz w:val="20"/>
                <w:szCs w:val="20"/>
                <w:color w:val="auto"/>
              </w:rPr>
            </w:pPr>
            <w:r>
              <w:rPr>
                <w:rFonts w:ascii="Arial" w:cs="Arial" w:eastAsia="Arial" w:hAnsi="Arial"/>
                <w:sz w:val="12"/>
                <w:szCs w:val="12"/>
                <w:color w:val="auto"/>
              </w:rPr>
              <w:t>Revolving Credit Facility</w:t>
            </w:r>
          </w:p>
        </w:tc>
        <w:tc>
          <w:tcPr>
            <w:tcW w:w="1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15,000</w:t>
            </w:r>
          </w:p>
        </w:tc>
      </w:tr>
      <w:tr>
        <w:trPr>
          <w:trHeight w:val="142"/>
        </w:trPr>
        <w:tc>
          <w:tcPr>
            <w:tcW w:w="9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631,900</w:t>
            </w:r>
          </w:p>
        </w:tc>
      </w:tr>
      <w:tr>
        <w:trPr>
          <w:trHeight w:val="153"/>
        </w:trPr>
        <w:tc>
          <w:tcPr>
            <w:tcW w:w="9680" w:type="dxa"/>
            <w:vAlign w:val="bottom"/>
          </w:tcPr>
          <w:p>
            <w:pPr>
              <w:ind w:left="80"/>
              <w:spacing w:after="0"/>
              <w:rPr>
                <w:sz w:val="20"/>
                <w:szCs w:val="20"/>
                <w:color w:val="auto"/>
              </w:rPr>
            </w:pPr>
            <w:r>
              <w:rPr>
                <w:rFonts w:ascii="Arial" w:cs="Arial" w:eastAsia="Arial" w:hAnsi="Arial"/>
                <w:sz w:val="12"/>
                <w:szCs w:val="12"/>
                <w:color w:val="auto"/>
              </w:rPr>
              <w:t>Less unrestricted cash</w:t>
            </w:r>
          </w:p>
        </w:tc>
        <w:tc>
          <w:tcPr>
            <w:tcW w:w="1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(20,300)</w:t>
            </w:r>
          </w:p>
        </w:tc>
      </w:tr>
      <w:tr>
        <w:trPr>
          <w:trHeight w:val="142"/>
        </w:trPr>
        <w:tc>
          <w:tcPr>
            <w:tcW w:w="9680" w:type="dxa"/>
            <w:vAlign w:val="bottom"/>
          </w:tcPr>
          <w:p>
            <w:pPr>
              <w:ind w:left="80"/>
              <w:spacing w:after="0"/>
              <w:rPr>
                <w:sz w:val="20"/>
                <w:szCs w:val="20"/>
                <w:color w:val="auto"/>
              </w:rPr>
            </w:pPr>
            <w:r>
              <w:rPr>
                <w:rFonts w:ascii="Arial" w:cs="Arial" w:eastAsia="Arial" w:hAnsi="Arial"/>
                <w:sz w:val="12"/>
                <w:szCs w:val="12"/>
                <w:b w:val="1"/>
                <w:bCs w:val="1"/>
                <w:color w:val="auto"/>
              </w:rPr>
              <w:t>Consolidated Net Debt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611,600</w:t>
            </w:r>
          </w:p>
        </w:tc>
      </w:tr>
      <w:tr>
        <w:trPr>
          <w:trHeight w:val="20"/>
        </w:trPr>
        <w:tc>
          <w:tcPr>
            <w:tcW w:w="9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stock-based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660" w:right="299" w:bottom="1440" w:gutter="0" w:footer="0" w:header="0"/>
        </w:sectPr>
      </w:pPr>
    </w:p>
    <w:bookmarkStart w:id="8" w:name="page9"/>
    <w:bookmarkEnd w:id="8"/>
    <w:p>
      <w:pPr>
        <w:jc w:val="center"/>
        <w:spacing w:after="0"/>
        <w:rPr>
          <w:sz w:val="20"/>
          <w:szCs w:val="20"/>
          <w:color w:val="auto"/>
        </w:rPr>
      </w:pPr>
      <w:r>
        <w:rPr>
          <w:rFonts w:ascii="Arial" w:cs="Arial" w:eastAsia="Arial" w:hAnsi="Arial"/>
          <w:sz w:val="13"/>
          <w:szCs w:val="13"/>
          <w:b w:val="1"/>
          <w:bCs w:val="1"/>
          <w:u w:val="single" w:color="auto"/>
          <w:color w:val="auto"/>
        </w:rPr>
        <w:t>About Priority Technology Holdings, Inc.</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 xml:space="preserve">Priority is a payments powerhouse driving the convergence of payments and banking. The company has built a single platform to collect, store, and send money that operates at scale. We help our customers take and make payments while managing business and consumer operating accounts to monetize payment networks. Our tailored, agile technology powers high-value, payments products bolstered by our industry-leading personalized support. Additional information can be found at </w:t>
      </w:r>
      <w:r>
        <w:rPr>
          <w:rFonts w:ascii="Arial" w:cs="Arial" w:eastAsia="Arial" w:hAnsi="Arial"/>
          <w:sz w:val="13"/>
          <w:szCs w:val="13"/>
          <w:color w:val="0000FF"/>
        </w:rPr>
        <w:t>www.PRTH.com</w:t>
      </w:r>
      <w:r>
        <w:rPr>
          <w:rFonts w:ascii="Arial" w:cs="Arial" w:eastAsia="Arial" w:hAnsi="Arial"/>
          <w:sz w:val="13"/>
          <w:szCs w:val="13"/>
          <w:color w:val="auto"/>
        </w:rPr>
        <w: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0A0A0A"/>
        </w:rPr>
        <w:t>Forward-Looking Statements</w:t>
      </w:r>
    </w:p>
    <w:p>
      <w:pPr>
        <w:spacing w:after="0" w:line="197" w:lineRule="exact"/>
        <w:rPr>
          <w:sz w:val="20"/>
          <w:szCs w:val="20"/>
          <w:color w:val="auto"/>
        </w:rPr>
      </w:pPr>
    </w:p>
    <w:p>
      <w:pPr>
        <w:jc w:val="both"/>
        <w:spacing w:after="0" w:line="322" w:lineRule="auto"/>
        <w:rPr>
          <w:sz w:val="20"/>
          <w:szCs w:val="20"/>
          <w:color w:val="auto"/>
        </w:rPr>
      </w:pPr>
      <w:r>
        <w:rPr>
          <w:rFonts w:ascii="Arial" w:cs="Arial" w:eastAsia="Arial" w:hAnsi="Arial"/>
          <w:sz w:val="12"/>
          <w:szCs w:val="12"/>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our 2022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spacing w:after="0" w:line="131"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16, 2022. These filings are available online at www.sec.gov or www.PRTH.com.</w:t>
      </w:r>
    </w:p>
    <w:p>
      <w:pPr>
        <w:spacing w:after="0" w:line="140" w:lineRule="exact"/>
        <w:rPr>
          <w:sz w:val="20"/>
          <w:szCs w:val="20"/>
          <w:color w:val="auto"/>
        </w:rPr>
      </w:pPr>
    </w:p>
    <w:p>
      <w:pPr>
        <w:jc w:val="both"/>
        <w:spacing w:after="0" w:line="325" w:lineRule="auto"/>
        <w:rPr>
          <w:sz w:val="20"/>
          <w:szCs w:val="20"/>
          <w:color w:val="auto"/>
        </w:rPr>
      </w:pPr>
      <w:r>
        <w:rPr>
          <w:rFonts w:ascii="Arial" w:cs="Arial" w:eastAsia="Arial" w:hAnsi="Arial"/>
          <w:sz w:val="12"/>
          <w:szCs w:val="12"/>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656" w:right="29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2"/>
          <w:szCs w:val="12"/>
          <w:b w:val="1"/>
          <w:bCs w:val="1"/>
          <w:color w:val="auto"/>
        </w:rPr>
        <w:t>Priority Technology Holdings,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Years Ended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020" w:type="dxa"/>
            <w:vAlign w:val="bottom"/>
          </w:tcPr>
          <w:p>
            <w:pPr>
              <w:spacing w:after="0"/>
              <w:rPr>
                <w:sz w:val="20"/>
                <w:szCs w:val="20"/>
                <w:color w:val="auto"/>
              </w:rPr>
            </w:pPr>
            <w:r>
              <w:rPr>
                <w:rFonts w:ascii="Arial" w:cs="Arial" w:eastAsia="Arial" w:hAnsi="Arial"/>
                <w:sz w:val="12"/>
                <w:szCs w:val="12"/>
                <w:i w:val="1"/>
                <w:iCs w:val="1"/>
                <w:color w:val="auto"/>
              </w:rPr>
              <w:t>(in thousands, except per share amounts)</w:t>
            </w:r>
          </w:p>
        </w:tc>
        <w:tc>
          <w:tcPr>
            <w:tcW w:w="2680" w:type="dxa"/>
            <w:vAlign w:val="bottom"/>
            <w:gridSpan w:val="8"/>
          </w:tcPr>
          <w:p>
            <w:pPr>
              <w:ind w:left="380"/>
              <w:spacing w:after="0"/>
              <w:rPr>
                <w:sz w:val="20"/>
                <w:szCs w:val="20"/>
                <w:color w:val="auto"/>
              </w:rPr>
            </w:pPr>
            <w:r>
              <w:rPr>
                <w:rFonts w:ascii="Arial" w:cs="Arial" w:eastAsia="Arial" w:hAnsi="Arial"/>
                <w:sz w:val="12"/>
                <w:szCs w:val="12"/>
                <w:b w:val="1"/>
                <w:bCs w:val="1"/>
                <w:color w:val="auto"/>
              </w:rPr>
              <w:t>Three Months Ended December 31,</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December 31,</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242424"/>
              </w:rPr>
              <w:t>2021</w:t>
            </w:r>
          </w:p>
        </w:tc>
        <w:tc>
          <w:tcPr>
            <w:tcW w:w="1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020" w:type="dxa"/>
            <w:vAlign w:val="bottom"/>
          </w:tcPr>
          <w:p>
            <w:pPr>
              <w:spacing w:after="0"/>
              <w:rPr>
                <w:sz w:val="20"/>
                <w:szCs w:val="20"/>
                <w:color w:val="auto"/>
              </w:rPr>
            </w:pPr>
            <w:r>
              <w:rPr>
                <w:rFonts w:ascii="Arial" w:cs="Arial" w:eastAsia="Arial" w:hAnsi="Arial"/>
                <w:sz w:val="12"/>
                <w:szCs w:val="12"/>
                <w:b w:val="1"/>
                <w:bCs w:val="1"/>
                <w:color w:val="auto"/>
              </w:rPr>
              <w:t>Revenues</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w w:val="82"/>
              </w:rPr>
              <w:t>144,048</w:t>
            </w:r>
          </w:p>
        </w:tc>
        <w:tc>
          <w:tcPr>
            <w:tcW w:w="80" w:type="dxa"/>
            <w:vAlign w:val="bottom"/>
          </w:tcPr>
          <w:p>
            <w:pPr>
              <w:spacing w:after="0"/>
              <w:rPr>
                <w:sz w:val="15"/>
                <w:szCs w:val="15"/>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w w:val="87"/>
              </w:rPr>
              <w:t>106,091</w:t>
            </w:r>
          </w:p>
        </w:tc>
        <w:tc>
          <w:tcPr>
            <w:tcW w:w="80" w:type="dxa"/>
            <w:vAlign w:val="bottom"/>
          </w:tcPr>
          <w:p>
            <w:pPr>
              <w:spacing w:after="0"/>
              <w:rPr>
                <w:sz w:val="15"/>
                <w:szCs w:val="15"/>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w w:val="87"/>
              </w:rPr>
              <w:t>514,901</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w w:val="87"/>
              </w:rPr>
              <w:t>404,342</w:t>
            </w:r>
          </w:p>
        </w:tc>
        <w:tc>
          <w:tcPr>
            <w:tcW w:w="0" w:type="dxa"/>
            <w:vAlign w:val="bottom"/>
          </w:tcPr>
          <w:p>
            <w:pPr>
              <w:spacing w:after="0"/>
              <w:rPr>
                <w:sz w:val="1"/>
                <w:szCs w:val="1"/>
                <w:color w:val="auto"/>
              </w:rPr>
            </w:pPr>
          </w:p>
        </w:tc>
      </w:tr>
      <w:tr>
        <w:trPr>
          <w:trHeight w:val="137"/>
        </w:trPr>
        <w:tc>
          <w:tcPr>
            <w:tcW w:w="6020" w:type="dxa"/>
            <w:vAlign w:val="bottom"/>
          </w:tcPr>
          <w:p>
            <w:pPr>
              <w:spacing w:after="0" w:line="137" w:lineRule="exact"/>
              <w:rPr>
                <w:sz w:val="20"/>
                <w:szCs w:val="20"/>
                <w:color w:val="auto"/>
              </w:rPr>
            </w:pPr>
            <w:r>
              <w:rPr>
                <w:rFonts w:ascii="Arial" w:cs="Arial" w:eastAsia="Arial" w:hAnsi="Arial"/>
                <w:sz w:val="12"/>
                <w:szCs w:val="12"/>
                <w:b w:val="1"/>
                <w:bCs w:val="1"/>
                <w:color w:val="auto"/>
              </w:rPr>
              <w:t>Operating expenses</w:t>
            </w:r>
          </w:p>
        </w:tc>
        <w:tc>
          <w:tcPr>
            <w:tcW w:w="780" w:type="dxa"/>
            <w:vAlign w:val="bottom"/>
          </w:tcPr>
          <w:p>
            <w:pPr>
              <w:spacing w:after="0"/>
              <w:rPr>
                <w:sz w:val="11"/>
                <w:szCs w:val="11"/>
                <w:color w:val="auto"/>
              </w:rPr>
            </w:pPr>
          </w:p>
        </w:tc>
        <w:tc>
          <w:tcPr>
            <w:tcW w:w="48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w w:val="97"/>
              </w:rPr>
              <w:t>95,358</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vMerge w:val="restart"/>
          </w:tcPr>
          <w:p>
            <w:pPr>
              <w:jc w:val="right"/>
              <w:ind w:right="40"/>
              <w:spacing w:after="0"/>
              <w:rPr>
                <w:sz w:val="20"/>
                <w:szCs w:val="20"/>
                <w:color w:val="auto"/>
              </w:rPr>
            </w:pPr>
            <w:r>
              <w:rPr>
                <w:rFonts w:ascii="Arial" w:cs="Arial" w:eastAsia="Arial" w:hAnsi="Arial"/>
                <w:sz w:val="12"/>
                <w:szCs w:val="12"/>
                <w:color w:val="auto"/>
                <w:w w:val="81"/>
              </w:rPr>
              <w:t>73,641</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w w:val="87"/>
              </w:rPr>
              <w:t>359,885</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w w:val="87"/>
              </w:rPr>
              <w:t>277,374</w:t>
            </w:r>
          </w:p>
        </w:tc>
        <w:tc>
          <w:tcPr>
            <w:tcW w:w="0" w:type="dxa"/>
            <w:vAlign w:val="bottom"/>
          </w:tcPr>
          <w:p>
            <w:pPr>
              <w:spacing w:after="0"/>
              <w:rPr>
                <w:sz w:val="1"/>
                <w:szCs w:val="1"/>
                <w:color w:val="auto"/>
              </w:rPr>
            </w:pPr>
          </w:p>
        </w:tc>
      </w:tr>
      <w:tr>
        <w:trPr>
          <w:trHeight w:val="203"/>
        </w:trPr>
        <w:tc>
          <w:tcPr>
            <w:tcW w:w="6020" w:type="dxa"/>
            <w:vAlign w:val="bottom"/>
          </w:tcPr>
          <w:p>
            <w:pPr>
              <w:ind w:left="80"/>
              <w:spacing w:after="0"/>
              <w:rPr>
                <w:sz w:val="20"/>
                <w:szCs w:val="20"/>
                <w:color w:val="auto"/>
              </w:rPr>
            </w:pPr>
            <w:r>
              <w:rPr>
                <w:rFonts w:ascii="Arial" w:cs="Arial" w:eastAsia="Arial" w:hAnsi="Arial"/>
                <w:sz w:val="12"/>
                <w:szCs w:val="12"/>
                <w:color w:val="auto"/>
              </w:rPr>
              <w:t>Costs of services</w:t>
            </w:r>
          </w:p>
        </w:tc>
        <w:tc>
          <w:tcPr>
            <w:tcW w:w="780" w:type="dxa"/>
            <w:vAlign w:val="bottom"/>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80"/>
              <w:spacing w:after="0"/>
              <w:rPr>
                <w:sz w:val="20"/>
                <w:szCs w:val="20"/>
                <w:color w:val="auto"/>
              </w:rPr>
            </w:pPr>
            <w:r>
              <w:rPr>
                <w:rFonts w:ascii="Arial" w:cs="Arial" w:eastAsia="Arial" w:hAnsi="Arial"/>
                <w:sz w:val="12"/>
                <w:szCs w:val="12"/>
                <w:color w:val="auto"/>
              </w:rPr>
              <w:t>Salary and employee benefits</w:t>
            </w:r>
          </w:p>
        </w:tc>
        <w:tc>
          <w:tcPr>
            <w:tcW w:w="7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12,010</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40"/>
              <w:spacing w:after="0"/>
              <w:rPr>
                <w:sz w:val="20"/>
                <w:szCs w:val="20"/>
                <w:color w:val="auto"/>
              </w:rPr>
            </w:pPr>
            <w:r>
              <w:rPr>
                <w:rFonts w:ascii="Arial" w:cs="Arial" w:eastAsia="Arial" w:hAnsi="Arial"/>
                <w:sz w:val="12"/>
                <w:szCs w:val="12"/>
                <w:color w:val="auto"/>
                <w:w w:val="99"/>
              </w:rPr>
              <w:t>9,812</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40"/>
              <w:spacing w:after="0"/>
              <w:rPr>
                <w:sz w:val="20"/>
                <w:szCs w:val="20"/>
                <w:color w:val="auto"/>
              </w:rPr>
            </w:pPr>
            <w:r>
              <w:rPr>
                <w:rFonts w:ascii="Arial" w:cs="Arial" w:eastAsia="Arial" w:hAnsi="Arial"/>
                <w:sz w:val="12"/>
                <w:szCs w:val="12"/>
                <w:color w:val="auto"/>
                <w:w w:val="81"/>
              </w:rPr>
              <w:t>43,818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39,507</w:t>
            </w:r>
          </w:p>
        </w:tc>
        <w:tc>
          <w:tcPr>
            <w:tcW w:w="0" w:type="dxa"/>
            <w:vAlign w:val="bottom"/>
          </w:tcPr>
          <w:p>
            <w:pPr>
              <w:spacing w:after="0"/>
              <w:rPr>
                <w:sz w:val="1"/>
                <w:szCs w:val="1"/>
                <w:color w:val="auto"/>
              </w:rPr>
            </w:pPr>
          </w:p>
        </w:tc>
      </w:tr>
      <w:tr>
        <w:trPr>
          <w:trHeight w:val="207"/>
        </w:trPr>
        <w:tc>
          <w:tcPr>
            <w:tcW w:w="602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7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17,574</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40"/>
              <w:spacing w:after="0"/>
              <w:rPr>
                <w:sz w:val="20"/>
                <w:szCs w:val="20"/>
                <w:color w:val="auto"/>
              </w:rPr>
            </w:pPr>
            <w:r>
              <w:rPr>
                <w:rFonts w:ascii="Arial" w:cs="Arial" w:eastAsia="Arial" w:hAnsi="Arial"/>
                <w:sz w:val="12"/>
                <w:szCs w:val="12"/>
                <w:color w:val="auto"/>
                <w:w w:val="99"/>
              </w:rPr>
              <w:t>9,889</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40"/>
              <w:spacing w:after="0"/>
              <w:rPr>
                <w:sz w:val="20"/>
                <w:szCs w:val="20"/>
                <w:color w:val="auto"/>
              </w:rPr>
            </w:pPr>
            <w:r>
              <w:rPr>
                <w:rFonts w:ascii="Arial" w:cs="Arial" w:eastAsia="Arial" w:hAnsi="Arial"/>
                <w:sz w:val="12"/>
                <w:szCs w:val="12"/>
                <w:color w:val="auto"/>
                <w:w w:val="81"/>
              </w:rPr>
              <w:t>49,697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40,775</w:t>
            </w:r>
          </w:p>
        </w:tc>
        <w:tc>
          <w:tcPr>
            <w:tcW w:w="0" w:type="dxa"/>
            <w:vAlign w:val="bottom"/>
          </w:tcPr>
          <w:p>
            <w:pPr>
              <w:spacing w:after="0"/>
              <w:rPr>
                <w:sz w:val="1"/>
                <w:szCs w:val="1"/>
                <w:color w:val="auto"/>
              </w:rPr>
            </w:pPr>
          </w:p>
        </w:tc>
      </w:tr>
      <w:tr>
        <w:trPr>
          <w:trHeight w:val="207"/>
        </w:trPr>
        <w:tc>
          <w:tcPr>
            <w:tcW w:w="6020" w:type="dxa"/>
            <w:vAlign w:val="bottom"/>
          </w:tcPr>
          <w:p>
            <w:pPr>
              <w:ind w:left="80"/>
              <w:spacing w:after="0"/>
              <w:rPr>
                <w:sz w:val="20"/>
                <w:szCs w:val="20"/>
                <w:color w:val="auto"/>
              </w:rPr>
            </w:pPr>
            <w:r>
              <w:rPr>
                <w:rFonts w:ascii="Arial" w:cs="Arial" w:eastAsia="Arial" w:hAnsi="Arial"/>
                <w:sz w:val="12"/>
                <w:szCs w:val="12"/>
                <w:color w:val="auto"/>
              </w:rPr>
              <w:t>Selling, general and administrative</w:t>
            </w: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6,195</w:t>
            </w:r>
          </w:p>
        </w:tc>
        <w:tc>
          <w:tcPr>
            <w:tcW w:w="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99"/>
              </w:rPr>
              <w:t>6,520</w:t>
            </w:r>
          </w:p>
        </w:tc>
        <w:tc>
          <w:tcPr>
            <w:tcW w:w="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1"/>
              </w:rPr>
              <w:t>28,408</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25,825</w:t>
            </w:r>
          </w:p>
        </w:tc>
        <w:tc>
          <w:tcPr>
            <w:tcW w:w="0" w:type="dxa"/>
            <w:vAlign w:val="bottom"/>
          </w:tcPr>
          <w:p>
            <w:pPr>
              <w:spacing w:after="0"/>
              <w:rPr>
                <w:sz w:val="1"/>
                <w:szCs w:val="1"/>
                <w:color w:val="auto"/>
              </w:rPr>
            </w:pPr>
          </w:p>
        </w:tc>
      </w:tr>
      <w:tr>
        <w:trPr>
          <w:trHeight w:val="178"/>
        </w:trPr>
        <w:tc>
          <w:tcPr>
            <w:tcW w:w="6020" w:type="dxa"/>
            <w:vAlign w:val="bottom"/>
          </w:tcPr>
          <w:p>
            <w:pPr>
              <w:ind w:left="160"/>
              <w:spacing w:after="0"/>
              <w:rPr>
                <w:sz w:val="20"/>
                <w:szCs w:val="20"/>
                <w:color w:val="auto"/>
              </w:rPr>
            </w:pPr>
            <w:r>
              <w:rPr>
                <w:rFonts w:ascii="Arial" w:cs="Arial" w:eastAsia="Arial" w:hAnsi="Arial"/>
                <w:sz w:val="12"/>
                <w:szCs w:val="12"/>
                <w:color w:val="auto"/>
              </w:rPr>
              <w:t>Total operating expenses</w:t>
            </w:r>
          </w:p>
        </w:tc>
        <w:tc>
          <w:tcPr>
            <w:tcW w:w="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w w:val="82"/>
              </w:rPr>
              <w:t>131,137</w:t>
            </w:r>
          </w:p>
        </w:tc>
        <w:tc>
          <w:tcPr>
            <w:tcW w:w="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7"/>
              </w:rPr>
              <w:t>99,862</w:t>
            </w:r>
          </w:p>
        </w:tc>
        <w:tc>
          <w:tcPr>
            <w:tcW w:w="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w w:val="92"/>
              </w:rPr>
              <w:t>481,808</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w w:val="92"/>
              </w:rPr>
              <w:t>383,481</w:t>
            </w:r>
          </w:p>
        </w:tc>
        <w:tc>
          <w:tcPr>
            <w:tcW w:w="0" w:type="dxa"/>
            <w:vAlign w:val="bottom"/>
          </w:tcPr>
          <w:p>
            <w:pPr>
              <w:spacing w:after="0"/>
              <w:rPr>
                <w:sz w:val="1"/>
                <w:szCs w:val="1"/>
                <w:color w:val="auto"/>
              </w:rPr>
            </w:pPr>
          </w:p>
        </w:tc>
      </w:tr>
      <w:tr>
        <w:trPr>
          <w:trHeight w:val="178"/>
        </w:trPr>
        <w:tc>
          <w:tcPr>
            <w:tcW w:w="6020" w:type="dxa"/>
            <w:vAlign w:val="bottom"/>
          </w:tcPr>
          <w:p>
            <w:pPr>
              <w:spacing w:after="0"/>
              <w:rPr>
                <w:sz w:val="20"/>
                <w:szCs w:val="20"/>
                <w:color w:val="auto"/>
              </w:rPr>
            </w:pPr>
            <w:r>
              <w:rPr>
                <w:rFonts w:ascii="Arial" w:cs="Arial" w:eastAsia="Arial" w:hAnsi="Arial"/>
                <w:sz w:val="12"/>
                <w:szCs w:val="12"/>
                <w:b w:val="1"/>
                <w:bCs w:val="1"/>
                <w:color w:val="auto"/>
              </w:rPr>
              <w:t>Operating income</w:t>
            </w:r>
          </w:p>
        </w:tc>
        <w:tc>
          <w:tcPr>
            <w:tcW w:w="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w w:val="97"/>
              </w:rPr>
              <w:t>12,911</w:t>
            </w:r>
          </w:p>
        </w:tc>
        <w:tc>
          <w:tcPr>
            <w:tcW w:w="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6,229</w:t>
            </w:r>
          </w:p>
        </w:tc>
        <w:tc>
          <w:tcPr>
            <w:tcW w:w="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7"/>
              </w:rPr>
              <w:t>33,093</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20,861</w:t>
            </w:r>
          </w:p>
        </w:tc>
        <w:tc>
          <w:tcPr>
            <w:tcW w:w="0" w:type="dxa"/>
            <w:vAlign w:val="bottom"/>
          </w:tcPr>
          <w:p>
            <w:pPr>
              <w:spacing w:after="0"/>
              <w:rPr>
                <w:sz w:val="1"/>
                <w:szCs w:val="1"/>
                <w:color w:val="auto"/>
              </w:rPr>
            </w:pPr>
          </w:p>
        </w:tc>
      </w:tr>
      <w:tr>
        <w:trPr>
          <w:trHeight w:val="137"/>
        </w:trPr>
        <w:tc>
          <w:tcPr>
            <w:tcW w:w="6020" w:type="dxa"/>
            <w:vAlign w:val="bottom"/>
          </w:tcPr>
          <w:p>
            <w:pPr>
              <w:spacing w:after="0" w:line="137" w:lineRule="exact"/>
              <w:rPr>
                <w:sz w:val="20"/>
                <w:szCs w:val="20"/>
                <w:color w:val="auto"/>
              </w:rPr>
            </w:pPr>
            <w:r>
              <w:rPr>
                <w:rFonts w:ascii="Arial" w:cs="Arial" w:eastAsia="Arial" w:hAnsi="Arial"/>
                <w:sz w:val="12"/>
                <w:szCs w:val="12"/>
                <w:b w:val="1"/>
                <w:bCs w:val="1"/>
                <w:color w:val="auto"/>
              </w:rPr>
              <w:t>Other (expenses) income</w:t>
            </w:r>
          </w:p>
        </w:tc>
        <w:tc>
          <w:tcPr>
            <w:tcW w:w="1260" w:type="dxa"/>
            <w:vAlign w:val="bottom"/>
            <w:gridSpan w:val="3"/>
            <w:vMerge w:val="restart"/>
          </w:tcPr>
          <w:p>
            <w:pPr>
              <w:jc w:val="right"/>
              <w:ind w:right="40"/>
              <w:spacing w:after="0"/>
              <w:rPr>
                <w:sz w:val="20"/>
                <w:szCs w:val="20"/>
                <w:color w:val="auto"/>
              </w:rPr>
            </w:pPr>
            <w:r>
              <w:rPr>
                <w:rFonts w:ascii="Arial" w:cs="Arial" w:eastAsia="Arial" w:hAnsi="Arial"/>
                <w:sz w:val="12"/>
                <w:szCs w:val="12"/>
                <w:color w:val="auto"/>
              </w:rPr>
              <w:t>(11,877)</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w w:val="99"/>
              </w:rPr>
              <w:t>(9,385)</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w w:val="84"/>
              </w:rPr>
              <w:t>(36,485)</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w w:val="84"/>
              </w:rPr>
              <w:t>(44,839)</w:t>
            </w:r>
          </w:p>
        </w:tc>
        <w:tc>
          <w:tcPr>
            <w:tcW w:w="0" w:type="dxa"/>
            <w:vAlign w:val="bottom"/>
          </w:tcPr>
          <w:p>
            <w:pPr>
              <w:spacing w:after="0"/>
              <w:rPr>
                <w:sz w:val="1"/>
                <w:szCs w:val="1"/>
                <w:color w:val="auto"/>
              </w:rPr>
            </w:pPr>
          </w:p>
        </w:tc>
      </w:tr>
      <w:tr>
        <w:trPr>
          <w:trHeight w:val="203"/>
        </w:trPr>
        <w:tc>
          <w:tcPr>
            <w:tcW w:w="602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126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80"/>
              <w:spacing w:after="0"/>
              <w:rPr>
                <w:sz w:val="20"/>
                <w:szCs w:val="20"/>
                <w:color w:val="auto"/>
              </w:rPr>
            </w:pPr>
            <w:r>
              <w:rPr>
                <w:rFonts w:ascii="Arial" w:cs="Arial" w:eastAsia="Arial" w:hAnsi="Arial"/>
                <w:sz w:val="12"/>
                <w:szCs w:val="12"/>
                <w:color w:val="auto"/>
              </w:rPr>
              <w:t>Debt extinguishment and modification costs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w w:val="99"/>
              </w:rPr>
              <w:t>(8,322)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w w:val="99"/>
              </w:rPr>
              <w:t>(1,899)</w:t>
            </w:r>
          </w:p>
        </w:tc>
        <w:tc>
          <w:tcPr>
            <w:tcW w:w="0" w:type="dxa"/>
            <w:vAlign w:val="bottom"/>
          </w:tcPr>
          <w:p>
            <w:pPr>
              <w:spacing w:after="0"/>
              <w:rPr>
                <w:sz w:val="1"/>
                <w:szCs w:val="1"/>
                <w:color w:val="auto"/>
              </w:rPr>
            </w:pPr>
          </w:p>
        </w:tc>
      </w:tr>
      <w:tr>
        <w:trPr>
          <w:trHeight w:val="207"/>
        </w:trPr>
        <w:tc>
          <w:tcPr>
            <w:tcW w:w="6020" w:type="dxa"/>
            <w:vAlign w:val="bottom"/>
          </w:tcPr>
          <w:p>
            <w:pPr>
              <w:ind w:left="80"/>
              <w:spacing w:after="0"/>
              <w:rPr>
                <w:sz w:val="20"/>
                <w:szCs w:val="20"/>
                <w:color w:val="auto"/>
              </w:rPr>
            </w:pPr>
            <w:r>
              <w:rPr>
                <w:rFonts w:ascii="Arial" w:cs="Arial" w:eastAsia="Arial" w:hAnsi="Arial"/>
                <w:sz w:val="12"/>
                <w:szCs w:val="12"/>
                <w:color w:val="auto"/>
              </w:rPr>
              <w:t>Gain on sale of business and investment</w:t>
            </w:r>
          </w:p>
        </w:tc>
        <w:tc>
          <w:tcPr>
            <w:tcW w:w="7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7,643</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40"/>
              <w:spacing w:after="0"/>
              <w:rPr>
                <w:sz w:val="20"/>
                <w:szCs w:val="20"/>
                <w:color w:val="auto"/>
              </w:rPr>
            </w:pPr>
            <w:r>
              <w:rPr>
                <w:rFonts w:ascii="Arial" w:cs="Arial" w:eastAsia="Arial" w:hAnsi="Arial"/>
                <w:sz w:val="12"/>
                <w:szCs w:val="12"/>
                <w:color w:val="auto"/>
                <w:w w:val="99"/>
              </w:rPr>
              <w:t>7,643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w w:val="87"/>
              </w:rPr>
              <w:t>107,239</w:t>
            </w:r>
          </w:p>
        </w:tc>
        <w:tc>
          <w:tcPr>
            <w:tcW w:w="0" w:type="dxa"/>
            <w:vAlign w:val="bottom"/>
          </w:tcPr>
          <w:p>
            <w:pPr>
              <w:spacing w:after="0"/>
              <w:rPr>
                <w:sz w:val="1"/>
                <w:szCs w:val="1"/>
                <w:color w:val="auto"/>
              </w:rPr>
            </w:pPr>
          </w:p>
        </w:tc>
      </w:tr>
      <w:tr>
        <w:trPr>
          <w:trHeight w:val="207"/>
        </w:trPr>
        <w:tc>
          <w:tcPr>
            <w:tcW w:w="6020" w:type="dxa"/>
            <w:vAlign w:val="bottom"/>
          </w:tcPr>
          <w:p>
            <w:pPr>
              <w:ind w:left="80"/>
              <w:spacing w:after="0"/>
              <w:rPr>
                <w:sz w:val="20"/>
                <w:szCs w:val="20"/>
                <w:color w:val="auto"/>
              </w:rPr>
            </w:pPr>
            <w:r>
              <w:rPr>
                <w:rFonts w:ascii="Arial" w:cs="Arial" w:eastAsia="Arial" w:hAnsi="Arial"/>
                <w:sz w:val="12"/>
                <w:szCs w:val="12"/>
                <w:color w:val="auto"/>
              </w:rPr>
              <w:t>Other income, net</w:t>
            </w: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110</w:t>
            </w:r>
          </w:p>
        </w:tc>
        <w:tc>
          <w:tcPr>
            <w:tcW w:w="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182</w:t>
            </w:r>
          </w:p>
        </w:tc>
        <w:tc>
          <w:tcPr>
            <w:tcW w:w="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202</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596</w:t>
            </w:r>
          </w:p>
        </w:tc>
        <w:tc>
          <w:tcPr>
            <w:tcW w:w="0" w:type="dxa"/>
            <w:vAlign w:val="bottom"/>
          </w:tcPr>
          <w:p>
            <w:pPr>
              <w:spacing w:after="0"/>
              <w:rPr>
                <w:sz w:val="1"/>
                <w:szCs w:val="1"/>
                <w:color w:val="auto"/>
              </w:rPr>
            </w:pPr>
          </w:p>
        </w:tc>
      </w:tr>
      <w:tr>
        <w:trPr>
          <w:trHeight w:val="178"/>
        </w:trPr>
        <w:tc>
          <w:tcPr>
            <w:tcW w:w="6020" w:type="dxa"/>
            <w:vAlign w:val="bottom"/>
          </w:tcPr>
          <w:p>
            <w:pPr>
              <w:ind w:left="160"/>
              <w:spacing w:after="0"/>
              <w:rPr>
                <w:sz w:val="20"/>
                <w:szCs w:val="20"/>
                <w:color w:val="auto"/>
              </w:rPr>
            </w:pPr>
            <w:r>
              <w:rPr>
                <w:rFonts w:ascii="Arial" w:cs="Arial" w:eastAsia="Arial" w:hAnsi="Arial"/>
                <w:sz w:val="12"/>
                <w:szCs w:val="12"/>
                <w:color w:val="auto"/>
              </w:rPr>
              <w:t>Total other (expenses) income, net</w:t>
            </w:r>
          </w:p>
        </w:tc>
        <w:tc>
          <w:tcPr>
            <w:tcW w:w="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w w:val="94"/>
              </w:rPr>
              <w:t>(4,124)</w:t>
            </w:r>
          </w:p>
        </w:tc>
        <w:tc>
          <w:tcPr>
            <w:tcW w:w="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w w:val="99"/>
              </w:rPr>
              <w:t>(9,203)</w:t>
            </w:r>
          </w:p>
        </w:tc>
        <w:tc>
          <w:tcPr>
            <w:tcW w:w="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w w:val="84"/>
              </w:rPr>
              <w:t>(36,962)</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61,097</w:t>
            </w:r>
          </w:p>
        </w:tc>
        <w:tc>
          <w:tcPr>
            <w:tcW w:w="0" w:type="dxa"/>
            <w:vAlign w:val="bottom"/>
          </w:tcPr>
          <w:p>
            <w:pPr>
              <w:spacing w:after="0"/>
              <w:rPr>
                <w:sz w:val="1"/>
                <w:szCs w:val="1"/>
                <w:color w:val="auto"/>
              </w:rPr>
            </w:pPr>
          </w:p>
        </w:tc>
      </w:tr>
      <w:tr>
        <w:trPr>
          <w:trHeight w:val="178"/>
        </w:trPr>
        <w:tc>
          <w:tcPr>
            <w:tcW w:w="6020" w:type="dxa"/>
            <w:vAlign w:val="bottom"/>
          </w:tcPr>
          <w:p>
            <w:pPr>
              <w:spacing w:after="0"/>
              <w:rPr>
                <w:sz w:val="20"/>
                <w:szCs w:val="20"/>
                <w:color w:val="auto"/>
              </w:rPr>
            </w:pPr>
            <w:r>
              <w:rPr>
                <w:rFonts w:ascii="Arial" w:cs="Arial" w:eastAsia="Arial" w:hAnsi="Arial"/>
                <w:sz w:val="12"/>
                <w:szCs w:val="12"/>
                <w:color w:val="auto"/>
              </w:rPr>
              <w:t>Income (loss) before income taxes</w:t>
            </w:r>
          </w:p>
        </w:tc>
        <w:tc>
          <w:tcPr>
            <w:tcW w:w="78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8,787</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w w:val="99"/>
              </w:rPr>
              <w:t>(2,974)</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w w:val="99"/>
              </w:rPr>
              <w:t>(3,869)</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81,958</w:t>
            </w:r>
          </w:p>
        </w:tc>
        <w:tc>
          <w:tcPr>
            <w:tcW w:w="0" w:type="dxa"/>
            <w:vAlign w:val="bottom"/>
          </w:tcPr>
          <w:p>
            <w:pPr>
              <w:spacing w:after="0"/>
              <w:rPr>
                <w:sz w:val="1"/>
                <w:szCs w:val="1"/>
                <w:color w:val="auto"/>
              </w:rPr>
            </w:pPr>
          </w:p>
        </w:tc>
      </w:tr>
      <w:tr>
        <w:trPr>
          <w:trHeight w:val="207"/>
        </w:trPr>
        <w:tc>
          <w:tcPr>
            <w:tcW w:w="6020" w:type="dxa"/>
            <w:vAlign w:val="bottom"/>
          </w:tcPr>
          <w:p>
            <w:pPr>
              <w:spacing w:after="0"/>
              <w:rPr>
                <w:sz w:val="20"/>
                <w:szCs w:val="20"/>
                <w:color w:val="auto"/>
              </w:rPr>
            </w:pPr>
            <w:r>
              <w:rPr>
                <w:rFonts w:ascii="Arial" w:cs="Arial" w:eastAsia="Arial" w:hAnsi="Arial"/>
                <w:sz w:val="12"/>
                <w:szCs w:val="12"/>
                <w:color w:val="auto"/>
              </w:rPr>
              <w:t>Income tax (benefit) expense</w:t>
            </w: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w w:val="94"/>
              </w:rPr>
              <w:t>(5,307)</w:t>
            </w:r>
          </w:p>
        </w:tc>
        <w:tc>
          <w:tcPr>
            <w:tcW w:w="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(2,020)</w:t>
            </w:r>
          </w:p>
        </w:tc>
        <w:tc>
          <w:tcPr>
            <w:tcW w:w="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(5,258)</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10,899</w:t>
            </w:r>
          </w:p>
        </w:tc>
        <w:tc>
          <w:tcPr>
            <w:tcW w:w="0" w:type="dxa"/>
            <w:vAlign w:val="bottom"/>
          </w:tcPr>
          <w:p>
            <w:pPr>
              <w:spacing w:after="0"/>
              <w:rPr>
                <w:sz w:val="1"/>
                <w:szCs w:val="1"/>
                <w:color w:val="auto"/>
              </w:rPr>
            </w:pPr>
          </w:p>
        </w:tc>
      </w:tr>
      <w:tr>
        <w:trPr>
          <w:trHeight w:val="160"/>
        </w:trPr>
        <w:tc>
          <w:tcPr>
            <w:tcW w:w="6020" w:type="dxa"/>
            <w:vAlign w:val="bottom"/>
          </w:tcPr>
          <w:p>
            <w:pPr>
              <w:spacing w:after="0"/>
              <w:rPr>
                <w:sz w:val="20"/>
                <w:szCs w:val="20"/>
                <w:color w:val="auto"/>
              </w:rPr>
            </w:pPr>
            <w:r>
              <w:rPr>
                <w:rFonts w:ascii="Arial" w:cs="Arial" w:eastAsia="Arial" w:hAnsi="Arial"/>
                <w:sz w:val="12"/>
                <w:szCs w:val="12"/>
                <w:b w:val="1"/>
                <w:bCs w:val="1"/>
                <w:color w:val="auto"/>
              </w:rPr>
              <w:t>Net income (loss)</w:t>
            </w:r>
          </w:p>
        </w:tc>
        <w:tc>
          <w:tcPr>
            <w:tcW w:w="78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14,094</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40"/>
              <w:spacing w:after="0"/>
              <w:rPr>
                <w:sz w:val="20"/>
                <w:szCs w:val="20"/>
                <w:color w:val="auto"/>
              </w:rPr>
            </w:pPr>
            <w:r>
              <w:rPr>
                <w:rFonts w:ascii="Arial" w:cs="Arial" w:eastAsia="Arial" w:hAnsi="Arial"/>
                <w:sz w:val="12"/>
                <w:szCs w:val="12"/>
                <w:color w:val="auto"/>
              </w:rPr>
              <w:t>(954)</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40"/>
              <w:spacing w:after="0"/>
              <w:rPr>
                <w:sz w:val="20"/>
                <w:szCs w:val="20"/>
                <w:color w:val="auto"/>
              </w:rPr>
            </w:pPr>
            <w:r>
              <w:rPr>
                <w:rFonts w:ascii="Arial" w:cs="Arial" w:eastAsia="Arial" w:hAnsi="Arial"/>
                <w:sz w:val="12"/>
                <w:szCs w:val="12"/>
                <w:color w:val="auto"/>
                <w:w w:val="99"/>
              </w:rPr>
              <w:t>1,389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71,059</w:t>
            </w:r>
          </w:p>
        </w:tc>
        <w:tc>
          <w:tcPr>
            <w:tcW w:w="0" w:type="dxa"/>
            <w:vAlign w:val="bottom"/>
          </w:tcPr>
          <w:p>
            <w:pPr>
              <w:spacing w:after="0"/>
              <w:rPr>
                <w:sz w:val="1"/>
                <w:szCs w:val="1"/>
                <w:color w:val="auto"/>
              </w:rPr>
            </w:pPr>
          </w:p>
        </w:tc>
      </w:tr>
      <w:tr>
        <w:trPr>
          <w:trHeight w:val="198"/>
        </w:trPr>
        <w:tc>
          <w:tcPr>
            <w:tcW w:w="6020" w:type="dxa"/>
            <w:vAlign w:val="bottom"/>
          </w:tcPr>
          <w:p>
            <w:pPr>
              <w:ind w:left="80"/>
              <w:spacing w:after="0"/>
              <w:rPr>
                <w:sz w:val="20"/>
                <w:szCs w:val="20"/>
                <w:color w:val="auto"/>
              </w:rPr>
            </w:pPr>
            <w:r>
              <w:rPr>
                <w:rFonts w:ascii="Arial" w:cs="Arial" w:eastAsia="Arial" w:hAnsi="Arial"/>
                <w:sz w:val="12"/>
                <w:szCs w:val="12"/>
                <w:color w:val="auto"/>
              </w:rPr>
              <w:t>Less: Dividends and accretion attributable to redeemable senior preferred stockholders</w:t>
            </w:r>
          </w:p>
        </w:tc>
        <w:tc>
          <w:tcPr>
            <w:tcW w:w="78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w w:val="94"/>
              </w:rPr>
              <w:t>(8,285)</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w w:val="84"/>
              </w:rPr>
              <w:t>(18,009)</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7"/>
        </w:trPr>
        <w:tc>
          <w:tcPr>
            <w:tcW w:w="6020" w:type="dxa"/>
            <w:vAlign w:val="bottom"/>
          </w:tcPr>
          <w:p>
            <w:pPr>
              <w:ind w:left="80"/>
              <w:spacing w:after="0"/>
              <w:rPr>
                <w:sz w:val="20"/>
                <w:szCs w:val="20"/>
                <w:color w:val="auto"/>
              </w:rPr>
            </w:pPr>
            <w:r>
              <w:rPr>
                <w:rFonts w:ascii="Arial" w:cs="Arial" w:eastAsia="Arial" w:hAnsi="Arial"/>
                <w:sz w:val="12"/>
                <w:szCs w:val="12"/>
                <w:color w:val="auto"/>
              </w:rPr>
              <w:t>Less: NCI preferred unit redemptions, net of deferred tax benefit</w:t>
            </w:r>
          </w:p>
        </w:tc>
        <w:tc>
          <w:tcPr>
            <w:tcW w:w="7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2,756</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w w:val="99"/>
              </w:rPr>
              <w:t>(8,021)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7"/>
        </w:trPr>
        <w:tc>
          <w:tcPr>
            <w:tcW w:w="6020" w:type="dxa"/>
            <w:vAlign w:val="bottom"/>
          </w:tcPr>
          <w:p>
            <w:pPr>
              <w:ind w:left="80"/>
              <w:spacing w:after="0"/>
              <w:rPr>
                <w:sz w:val="20"/>
                <w:szCs w:val="20"/>
                <w:color w:val="auto"/>
              </w:rPr>
            </w:pPr>
            <w:r>
              <w:rPr>
                <w:rFonts w:ascii="Arial" w:cs="Arial" w:eastAsia="Arial" w:hAnsi="Arial"/>
                <w:sz w:val="12"/>
                <w:szCs w:val="12"/>
                <w:color w:val="auto"/>
              </w:rPr>
              <w:t>Less: Net income attributable to redeemable and redeemed NCIs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40"/>
              <w:spacing w:after="0"/>
              <w:rPr>
                <w:sz w:val="20"/>
                <w:szCs w:val="20"/>
                <w:color w:val="auto"/>
              </w:rPr>
            </w:pPr>
            <w:r>
              <w:rPr>
                <w:rFonts w:ascii="Arial" w:cs="Arial" w:eastAsia="Arial" w:hAnsi="Arial"/>
                <w:sz w:val="12"/>
                <w:szCs w:val="12"/>
                <w:color w:val="auto"/>
              </w:rPr>
              <w:t>(50)</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6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w w:val="84"/>
              </w:rPr>
              <w:t>(45,398)</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6020" w:type="dxa"/>
            <w:vAlign w:val="bottom"/>
          </w:tcPr>
          <w:p>
            <w:pPr>
              <w:spacing w:after="0"/>
              <w:rPr>
                <w:sz w:val="20"/>
                <w:szCs w:val="20"/>
                <w:color w:val="auto"/>
              </w:rPr>
            </w:pPr>
            <w:r>
              <w:rPr>
                <w:rFonts w:ascii="Arial" w:cs="Arial" w:eastAsia="Arial" w:hAnsi="Arial"/>
                <w:sz w:val="12"/>
                <w:szCs w:val="12"/>
                <w:b w:val="1"/>
                <w:bCs w:val="1"/>
                <w:color w:val="auto"/>
              </w:rPr>
              <w:t>Net income (loss) attributable to common stockholders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8,565</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w w:val="99"/>
              </w:rPr>
              <w:t>(1,004)</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w:t>
            </w:r>
          </w:p>
        </w:tc>
        <w:tc>
          <w:tcPr>
            <w:tcW w:w="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w w:val="84"/>
              </w:rPr>
              <w:t>(24,641)</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25,661</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2"/>
                <w:szCs w:val="12"/>
                <w:b w:val="1"/>
                <w:bCs w:val="1"/>
                <w:color w:val="auto"/>
              </w:rPr>
              <w:t>Earnings (loss) per common share:</w:t>
            </w: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60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020" w:type="dxa"/>
            <w:vAlign w:val="bottom"/>
          </w:tcPr>
          <w:p>
            <w:pPr>
              <w:ind w:left="80"/>
              <w:spacing w:after="0"/>
              <w:rPr>
                <w:sz w:val="20"/>
                <w:szCs w:val="20"/>
                <w:color w:val="auto"/>
              </w:rPr>
            </w:pPr>
            <w:r>
              <w:rPr>
                <w:rFonts w:ascii="Arial" w:cs="Arial" w:eastAsia="Arial" w:hAnsi="Arial"/>
                <w:sz w:val="12"/>
                <w:szCs w:val="12"/>
                <w:color w:val="auto"/>
              </w:rPr>
              <w:t>Basic</w:t>
            </w:r>
          </w:p>
        </w:tc>
        <w:tc>
          <w:tcPr>
            <w:tcW w:w="7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0.11</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(0.01)</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(0.34)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0.38</w:t>
            </w:r>
          </w:p>
        </w:tc>
        <w:tc>
          <w:tcPr>
            <w:tcW w:w="0" w:type="dxa"/>
            <w:vAlign w:val="bottom"/>
          </w:tcPr>
          <w:p>
            <w:pPr>
              <w:spacing w:after="0"/>
              <w:rPr>
                <w:sz w:val="1"/>
                <w:szCs w:val="1"/>
                <w:color w:val="auto"/>
              </w:rPr>
            </w:pPr>
          </w:p>
        </w:tc>
      </w:tr>
      <w:tr>
        <w:trPr>
          <w:trHeight w:val="153"/>
        </w:trPr>
        <w:tc>
          <w:tcPr>
            <w:tcW w:w="6020" w:type="dxa"/>
            <w:vAlign w:val="bottom"/>
          </w:tcPr>
          <w:p>
            <w:pPr>
              <w:ind w:left="80"/>
              <w:spacing w:after="0"/>
              <w:rPr>
                <w:sz w:val="20"/>
                <w:szCs w:val="20"/>
                <w:color w:val="auto"/>
              </w:rPr>
            </w:pPr>
            <w:r>
              <w:rPr>
                <w:rFonts w:ascii="Arial" w:cs="Arial" w:eastAsia="Arial" w:hAnsi="Arial"/>
                <w:sz w:val="12"/>
                <w:szCs w:val="12"/>
                <w:color w:val="auto"/>
              </w:rPr>
              <w:t>Diluted</w:t>
            </w:r>
          </w:p>
        </w:tc>
        <w:tc>
          <w:tcPr>
            <w:tcW w:w="7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0.11</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(0.01)</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(0.34)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0.38</w:t>
            </w:r>
          </w:p>
        </w:tc>
        <w:tc>
          <w:tcPr>
            <w:tcW w:w="0" w:type="dxa"/>
            <w:vAlign w:val="bottom"/>
          </w:tcPr>
          <w:p>
            <w:pPr>
              <w:spacing w:after="0"/>
              <w:rPr>
                <w:sz w:val="1"/>
                <w:szCs w:val="1"/>
                <w:color w:val="auto"/>
              </w:rPr>
            </w:pPr>
          </w:p>
        </w:tc>
      </w:tr>
      <w:tr>
        <w:trPr>
          <w:trHeight w:val="333"/>
        </w:trPr>
        <w:tc>
          <w:tcPr>
            <w:tcW w:w="6020" w:type="dxa"/>
            <w:vAlign w:val="bottom"/>
          </w:tcPr>
          <w:p>
            <w:pPr>
              <w:spacing w:after="0"/>
              <w:rPr>
                <w:sz w:val="20"/>
                <w:szCs w:val="20"/>
                <w:color w:val="auto"/>
              </w:rPr>
            </w:pPr>
            <w:r>
              <w:rPr>
                <w:rFonts w:ascii="Arial" w:cs="Arial" w:eastAsia="Arial" w:hAnsi="Arial"/>
                <w:sz w:val="12"/>
                <w:szCs w:val="12"/>
                <w:b w:val="1"/>
                <w:bCs w:val="1"/>
                <w:color w:val="auto"/>
              </w:rPr>
              <w:t>Weighted-average common shares outstanding:</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020" w:type="dxa"/>
            <w:vAlign w:val="bottom"/>
          </w:tcPr>
          <w:p>
            <w:pPr>
              <w:ind w:left="80"/>
              <w:spacing w:after="0"/>
              <w:rPr>
                <w:sz w:val="20"/>
                <w:szCs w:val="20"/>
                <w:color w:val="auto"/>
              </w:rPr>
            </w:pPr>
            <w:r>
              <w:rPr>
                <w:rFonts w:ascii="Arial" w:cs="Arial" w:eastAsia="Arial" w:hAnsi="Arial"/>
                <w:sz w:val="12"/>
                <w:szCs w:val="12"/>
                <w:color w:val="auto"/>
              </w:rPr>
              <w:t>Basic</w:t>
            </w:r>
          </w:p>
        </w:tc>
        <w:tc>
          <w:tcPr>
            <w:tcW w:w="78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78,467</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67,288</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71,902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81"/>
              </w:rPr>
              <w:t>67,158</w:t>
            </w:r>
          </w:p>
        </w:tc>
        <w:tc>
          <w:tcPr>
            <w:tcW w:w="0" w:type="dxa"/>
            <w:vAlign w:val="bottom"/>
          </w:tcPr>
          <w:p>
            <w:pPr>
              <w:spacing w:after="0"/>
              <w:rPr>
                <w:sz w:val="1"/>
                <w:szCs w:val="1"/>
                <w:color w:val="auto"/>
              </w:rPr>
            </w:pPr>
          </w:p>
        </w:tc>
      </w:tr>
      <w:tr>
        <w:trPr>
          <w:trHeight w:val="153"/>
        </w:trPr>
        <w:tc>
          <w:tcPr>
            <w:tcW w:w="6020" w:type="dxa"/>
            <w:vAlign w:val="bottom"/>
          </w:tcPr>
          <w:p>
            <w:pPr>
              <w:ind w:left="80"/>
              <w:spacing w:after="0"/>
              <w:rPr>
                <w:sz w:val="20"/>
                <w:szCs w:val="20"/>
                <w:color w:val="auto"/>
              </w:rPr>
            </w:pPr>
            <w:r>
              <w:rPr>
                <w:rFonts w:ascii="Arial" w:cs="Arial" w:eastAsia="Arial" w:hAnsi="Arial"/>
                <w:sz w:val="12"/>
                <w:szCs w:val="12"/>
                <w:color w:val="auto"/>
              </w:rPr>
              <w:t>Diluted</w:t>
            </w:r>
          </w:p>
        </w:tc>
        <w:tc>
          <w:tcPr>
            <w:tcW w:w="78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79,013</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67,532</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71,902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81"/>
              </w:rPr>
              <w:t>67,263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811" w:right="2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2"/>
          <w:szCs w:val="12"/>
          <w:b w:val="1"/>
          <w:bCs w:val="1"/>
          <w:color w:val="auto"/>
        </w:rPr>
        <w:t>Priority Technology Holdings,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24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1560" w:type="dxa"/>
            <w:vAlign w:val="bottom"/>
            <w:vMerge w:val="restart"/>
          </w:tcPr>
          <w:p>
            <w:pPr>
              <w:jc w:val="right"/>
              <w:ind w:right="20"/>
              <w:spacing w:after="0"/>
              <w:rPr>
                <w:sz w:val="20"/>
                <w:szCs w:val="20"/>
                <w:color w:val="auto"/>
              </w:rPr>
            </w:pPr>
            <w:r>
              <w:rPr>
                <w:rFonts w:ascii="Arial" w:cs="Arial" w:eastAsia="Arial" w:hAnsi="Arial"/>
                <w:sz w:val="12"/>
                <w:szCs w:val="12"/>
                <w:b w:val="1"/>
                <w:bCs w:val="1"/>
                <w:color w:val="auto"/>
              </w:rPr>
              <w:t>December 31, 2021</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vMerge w:val="restart"/>
          </w:tcPr>
          <w:p>
            <w:pPr>
              <w:jc w:val="right"/>
              <w:ind w:right="440"/>
              <w:spacing w:after="0"/>
              <w:rPr>
                <w:sz w:val="20"/>
                <w:szCs w:val="20"/>
                <w:color w:val="auto"/>
              </w:rPr>
            </w:pPr>
            <w:r>
              <w:rPr>
                <w:rFonts w:ascii="Arial" w:cs="Arial" w:eastAsia="Arial" w:hAnsi="Arial"/>
                <w:sz w:val="12"/>
                <w:szCs w:val="12"/>
                <w:b w:val="1"/>
                <w:bCs w:val="1"/>
                <w:color w:val="auto"/>
              </w:rPr>
              <w:t>December 31, 2020</w:t>
            </w:r>
          </w:p>
        </w:tc>
        <w:tc>
          <w:tcPr>
            <w:tcW w:w="0" w:type="dxa"/>
            <w:vAlign w:val="bottom"/>
          </w:tcPr>
          <w:p>
            <w:pPr>
              <w:spacing w:after="0"/>
              <w:rPr>
                <w:sz w:val="1"/>
                <w:szCs w:val="1"/>
                <w:color w:val="auto"/>
              </w:rPr>
            </w:pPr>
          </w:p>
        </w:tc>
      </w:tr>
      <w:tr>
        <w:trPr>
          <w:trHeight w:val="153"/>
        </w:trPr>
        <w:tc>
          <w:tcPr>
            <w:tcW w:w="7240" w:type="dxa"/>
            <w:vAlign w:val="bottom"/>
            <w:vMerge w:val="restart"/>
          </w:tcPr>
          <w:p>
            <w:pPr>
              <w:spacing w:after="0"/>
              <w:rPr>
                <w:sz w:val="20"/>
                <w:szCs w:val="20"/>
                <w:color w:val="auto"/>
              </w:rPr>
            </w:pPr>
            <w:r>
              <w:rPr>
                <w:rFonts w:ascii="Arial" w:cs="Arial" w:eastAsia="Arial" w:hAnsi="Arial"/>
                <w:sz w:val="12"/>
                <w:szCs w:val="12"/>
                <w:b w:val="1"/>
                <w:bCs w:val="1"/>
                <w:color w:val="auto"/>
              </w:rPr>
              <w:t>Assets</w:t>
            </w:r>
          </w:p>
        </w:tc>
        <w:tc>
          <w:tcPr>
            <w:tcW w:w="156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240" w:type="dxa"/>
            <w:vAlign w:val="bottom"/>
            <w:vMerge w:val="continue"/>
          </w:tcPr>
          <w:p>
            <w:pPr>
              <w:spacing w:after="0"/>
              <w:rPr>
                <w:sz w:val="11"/>
                <w:szCs w:val="11"/>
                <w:color w:val="auto"/>
              </w:rPr>
            </w:pPr>
          </w:p>
        </w:tc>
        <w:tc>
          <w:tcPr>
            <w:tcW w:w="1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40" w:type="dxa"/>
            <w:vAlign w:val="bottom"/>
          </w:tcPr>
          <w:p>
            <w:pPr>
              <w:spacing w:after="0"/>
              <w:rPr>
                <w:sz w:val="20"/>
                <w:szCs w:val="20"/>
                <w:color w:val="auto"/>
              </w:rPr>
            </w:pPr>
            <w:r>
              <w:rPr>
                <w:rFonts w:ascii="Arial" w:cs="Arial" w:eastAsia="Arial" w:hAnsi="Arial"/>
                <w:sz w:val="12"/>
                <w:szCs w:val="12"/>
                <w:color w:val="auto"/>
              </w:rPr>
              <w:t>Current assets:</w:t>
            </w:r>
          </w:p>
        </w:tc>
        <w:tc>
          <w:tcPr>
            <w:tcW w:w="1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40" w:type="dxa"/>
            <w:vAlign w:val="bottom"/>
          </w:tcPr>
          <w:p>
            <w:pPr>
              <w:ind w:left="80"/>
              <w:spacing w:after="0"/>
              <w:rPr>
                <w:sz w:val="20"/>
                <w:szCs w:val="20"/>
                <w:color w:val="auto"/>
              </w:rPr>
            </w:pPr>
            <w:r>
              <w:rPr>
                <w:rFonts w:ascii="Arial" w:cs="Arial" w:eastAsia="Arial" w:hAnsi="Arial"/>
                <w:sz w:val="12"/>
                <w:szCs w:val="12"/>
                <w:color w:val="auto"/>
              </w:rPr>
              <w:t>Cash and cash equivalents</w:t>
            </w:r>
          </w:p>
        </w:tc>
        <w:tc>
          <w:tcPr>
            <w:tcW w:w="156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20,300</w:t>
            </w:r>
          </w:p>
        </w:tc>
        <w:tc>
          <w:tcPr>
            <w:tcW w:w="10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  9,241</w:t>
            </w:r>
          </w:p>
        </w:tc>
        <w:tc>
          <w:tcPr>
            <w:tcW w:w="0" w:type="dxa"/>
            <w:vAlign w:val="bottom"/>
          </w:tcPr>
          <w:p>
            <w:pPr>
              <w:spacing w:after="0"/>
              <w:rPr>
                <w:sz w:val="1"/>
                <w:szCs w:val="1"/>
                <w:color w:val="auto"/>
              </w:rPr>
            </w:pPr>
          </w:p>
        </w:tc>
      </w:tr>
      <w:tr>
        <w:trPr>
          <w:trHeight w:val="153"/>
        </w:trPr>
        <w:tc>
          <w:tcPr>
            <w:tcW w:w="7240" w:type="dxa"/>
            <w:vAlign w:val="bottom"/>
          </w:tcPr>
          <w:p>
            <w:pPr>
              <w:ind w:left="80"/>
              <w:spacing w:after="0"/>
              <w:rPr>
                <w:sz w:val="20"/>
                <w:szCs w:val="20"/>
                <w:color w:val="auto"/>
              </w:rPr>
            </w:pPr>
            <w:r>
              <w:rPr>
                <w:rFonts w:ascii="Arial" w:cs="Arial" w:eastAsia="Arial" w:hAnsi="Arial"/>
                <w:sz w:val="12"/>
                <w:szCs w:val="12"/>
                <w:color w:val="auto"/>
              </w:rPr>
              <w:t>Restricted cash</w:t>
            </w:r>
          </w:p>
        </w:tc>
        <w:tc>
          <w:tcPr>
            <w:tcW w:w="15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28,859</w:t>
            </w:r>
          </w:p>
        </w:tc>
        <w:tc>
          <w:tcPr>
            <w:tcW w:w="10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78,879</w:t>
            </w:r>
          </w:p>
        </w:tc>
        <w:tc>
          <w:tcPr>
            <w:tcW w:w="0" w:type="dxa"/>
            <w:vAlign w:val="bottom"/>
          </w:tcPr>
          <w:p>
            <w:pPr>
              <w:spacing w:after="0"/>
              <w:rPr>
                <w:sz w:val="1"/>
                <w:szCs w:val="1"/>
                <w:color w:val="auto"/>
              </w:rPr>
            </w:pPr>
          </w:p>
        </w:tc>
      </w:tr>
      <w:tr>
        <w:trPr>
          <w:trHeight w:val="153"/>
        </w:trPr>
        <w:tc>
          <w:tcPr>
            <w:tcW w:w="7240" w:type="dxa"/>
            <w:vAlign w:val="bottom"/>
          </w:tcPr>
          <w:p>
            <w:pPr>
              <w:ind w:left="80"/>
              <w:spacing w:after="0"/>
              <w:rPr>
                <w:sz w:val="20"/>
                <w:szCs w:val="20"/>
                <w:color w:val="auto"/>
              </w:rPr>
            </w:pPr>
            <w:r>
              <w:rPr>
                <w:rFonts w:ascii="Arial" w:cs="Arial" w:eastAsia="Arial" w:hAnsi="Arial"/>
                <w:sz w:val="12"/>
                <w:szCs w:val="12"/>
                <w:color w:val="auto"/>
              </w:rPr>
              <w:t>Accounts receivable, net of allowances</w:t>
            </w:r>
          </w:p>
        </w:tc>
        <w:tc>
          <w:tcPr>
            <w:tcW w:w="15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58,423</w:t>
            </w:r>
          </w:p>
        </w:tc>
        <w:tc>
          <w:tcPr>
            <w:tcW w:w="10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41,321</w:t>
            </w:r>
          </w:p>
        </w:tc>
        <w:tc>
          <w:tcPr>
            <w:tcW w:w="0" w:type="dxa"/>
            <w:vAlign w:val="bottom"/>
          </w:tcPr>
          <w:p>
            <w:pPr>
              <w:spacing w:after="0"/>
              <w:rPr>
                <w:sz w:val="1"/>
                <w:szCs w:val="1"/>
                <w:color w:val="auto"/>
              </w:rPr>
            </w:pPr>
          </w:p>
        </w:tc>
      </w:tr>
      <w:tr>
        <w:trPr>
          <w:trHeight w:val="153"/>
        </w:trPr>
        <w:tc>
          <w:tcPr>
            <w:tcW w:w="7240" w:type="dxa"/>
            <w:vAlign w:val="bottom"/>
          </w:tcPr>
          <w:p>
            <w:pPr>
              <w:ind w:left="80"/>
              <w:spacing w:after="0"/>
              <w:rPr>
                <w:sz w:val="20"/>
                <w:szCs w:val="20"/>
                <w:color w:val="auto"/>
              </w:rPr>
            </w:pPr>
            <w:r>
              <w:rPr>
                <w:rFonts w:ascii="Arial" w:cs="Arial" w:eastAsia="Arial" w:hAnsi="Arial"/>
                <w:sz w:val="12"/>
                <w:szCs w:val="12"/>
                <w:color w:val="auto"/>
              </w:rPr>
              <w:t>Prepaid expenses and other current assets</w:t>
            </w:r>
          </w:p>
        </w:tc>
        <w:tc>
          <w:tcPr>
            <w:tcW w:w="15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15,807</w:t>
            </w:r>
          </w:p>
        </w:tc>
        <w:tc>
          <w:tcPr>
            <w:tcW w:w="10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3,500</w:t>
            </w:r>
          </w:p>
        </w:tc>
        <w:tc>
          <w:tcPr>
            <w:tcW w:w="0" w:type="dxa"/>
            <w:vAlign w:val="bottom"/>
          </w:tcPr>
          <w:p>
            <w:pPr>
              <w:spacing w:after="0"/>
              <w:rPr>
                <w:sz w:val="1"/>
                <w:szCs w:val="1"/>
                <w:color w:val="auto"/>
              </w:rPr>
            </w:pPr>
          </w:p>
        </w:tc>
      </w:tr>
      <w:tr>
        <w:trPr>
          <w:trHeight w:val="153"/>
        </w:trPr>
        <w:tc>
          <w:tcPr>
            <w:tcW w:w="7240" w:type="dxa"/>
            <w:vAlign w:val="bottom"/>
          </w:tcPr>
          <w:p>
            <w:pPr>
              <w:ind w:left="80"/>
              <w:spacing w:after="0"/>
              <w:rPr>
                <w:sz w:val="20"/>
                <w:szCs w:val="20"/>
                <w:color w:val="auto"/>
              </w:rPr>
            </w:pPr>
            <w:r>
              <w:rPr>
                <w:rFonts w:ascii="Arial" w:cs="Arial" w:eastAsia="Arial" w:hAnsi="Arial"/>
                <w:sz w:val="12"/>
                <w:szCs w:val="12"/>
                <w:color w:val="auto"/>
              </w:rPr>
              <w:t>Current portion of notes receivable, net of allowances</w:t>
            </w:r>
          </w:p>
        </w:tc>
        <w:tc>
          <w:tcPr>
            <w:tcW w:w="15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272</w:t>
            </w:r>
          </w:p>
        </w:tc>
        <w:tc>
          <w:tcPr>
            <w:tcW w:w="10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2,190</w:t>
            </w:r>
          </w:p>
        </w:tc>
        <w:tc>
          <w:tcPr>
            <w:tcW w:w="0" w:type="dxa"/>
            <w:vAlign w:val="bottom"/>
          </w:tcPr>
          <w:p>
            <w:pPr>
              <w:spacing w:after="0"/>
              <w:rPr>
                <w:sz w:val="1"/>
                <w:szCs w:val="1"/>
                <w:color w:val="auto"/>
              </w:rPr>
            </w:pPr>
          </w:p>
        </w:tc>
      </w:tr>
      <w:tr>
        <w:trPr>
          <w:trHeight w:val="153"/>
        </w:trPr>
        <w:tc>
          <w:tcPr>
            <w:tcW w:w="7240" w:type="dxa"/>
            <w:vAlign w:val="bottom"/>
          </w:tcPr>
          <w:p>
            <w:pPr>
              <w:ind w:left="80"/>
              <w:spacing w:after="0"/>
              <w:rPr>
                <w:sz w:val="20"/>
                <w:szCs w:val="20"/>
                <w:color w:val="auto"/>
              </w:rPr>
            </w:pPr>
            <w:r>
              <w:rPr>
                <w:rFonts w:ascii="Arial" w:cs="Arial" w:eastAsia="Arial" w:hAnsi="Arial"/>
                <w:sz w:val="12"/>
                <w:szCs w:val="12"/>
                <w:color w:val="auto"/>
              </w:rPr>
              <w:t>Settlement assets and customer account balances</w:t>
            </w:r>
          </w:p>
        </w:tc>
        <w:tc>
          <w:tcPr>
            <w:tcW w:w="15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479,471</w:t>
            </w:r>
          </w:p>
        </w:tc>
        <w:tc>
          <w:tcPr>
            <w:tcW w:w="100" w:type="dxa"/>
            <w:vAlign w:val="bottom"/>
          </w:tcPr>
          <w:p>
            <w:pPr>
              <w:spacing w:after="0"/>
              <w:rPr>
                <w:sz w:val="13"/>
                <w:szCs w:val="13"/>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753</w:t>
            </w:r>
          </w:p>
        </w:tc>
        <w:tc>
          <w:tcPr>
            <w:tcW w:w="0" w:type="dxa"/>
            <w:vAlign w:val="bottom"/>
          </w:tcPr>
          <w:p>
            <w:pPr>
              <w:spacing w:after="0"/>
              <w:rPr>
                <w:sz w:val="1"/>
                <w:szCs w:val="1"/>
                <w:color w:val="auto"/>
              </w:rPr>
            </w:pPr>
          </w:p>
        </w:tc>
      </w:tr>
      <w:tr>
        <w:trPr>
          <w:trHeight w:val="142"/>
        </w:trPr>
        <w:tc>
          <w:tcPr>
            <w:tcW w:w="7240" w:type="dxa"/>
            <w:vAlign w:val="bottom"/>
          </w:tcPr>
          <w:p>
            <w:pPr>
              <w:ind w:left="300"/>
              <w:spacing w:after="0"/>
              <w:rPr>
                <w:sz w:val="20"/>
                <w:szCs w:val="20"/>
                <w:color w:val="auto"/>
              </w:rPr>
            </w:pPr>
            <w:r>
              <w:rPr>
                <w:rFonts w:ascii="Arial" w:cs="Arial" w:eastAsia="Arial" w:hAnsi="Arial"/>
                <w:sz w:val="12"/>
                <w:szCs w:val="12"/>
                <w:color w:val="auto"/>
              </w:rPr>
              <w:t>Total current assets</w:t>
            </w:r>
          </w:p>
        </w:tc>
        <w:tc>
          <w:tcPr>
            <w:tcW w:w="15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2"/>
              </w:rPr>
              <w:t>603,132</w:t>
            </w:r>
          </w:p>
        </w:tc>
        <w:tc>
          <w:tcPr>
            <w:tcW w:w="100" w:type="dxa"/>
            <w:vAlign w:val="bottom"/>
          </w:tcPr>
          <w:p>
            <w:pPr>
              <w:spacing w:after="0"/>
              <w:rPr>
                <w:sz w:val="12"/>
                <w:szCs w:val="12"/>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135,884</w:t>
            </w:r>
          </w:p>
        </w:tc>
        <w:tc>
          <w:tcPr>
            <w:tcW w:w="0" w:type="dxa"/>
            <w:vAlign w:val="bottom"/>
          </w:tcPr>
          <w:p>
            <w:pPr>
              <w:spacing w:after="0"/>
              <w:rPr>
                <w:sz w:val="1"/>
                <w:szCs w:val="1"/>
                <w:color w:val="auto"/>
              </w:rPr>
            </w:pPr>
          </w:p>
        </w:tc>
      </w:tr>
      <w:tr>
        <w:trPr>
          <w:trHeight w:val="153"/>
        </w:trPr>
        <w:tc>
          <w:tcPr>
            <w:tcW w:w="7240" w:type="dxa"/>
            <w:vAlign w:val="bottom"/>
          </w:tcPr>
          <w:p>
            <w:pPr>
              <w:spacing w:after="0"/>
              <w:rPr>
                <w:sz w:val="20"/>
                <w:szCs w:val="20"/>
                <w:color w:val="auto"/>
              </w:rPr>
            </w:pPr>
            <w:r>
              <w:rPr>
                <w:rFonts w:ascii="Arial" w:cs="Arial" w:eastAsia="Arial" w:hAnsi="Arial"/>
                <w:sz w:val="12"/>
                <w:szCs w:val="12"/>
                <w:color w:val="auto"/>
              </w:rPr>
              <w:t>Notes receivable, less current portion</w:t>
            </w:r>
          </w:p>
        </w:tc>
        <w:tc>
          <w:tcPr>
            <w:tcW w:w="15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105</w:t>
            </w:r>
          </w:p>
        </w:tc>
        <w:tc>
          <w:tcPr>
            <w:tcW w:w="10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5,527</w:t>
            </w:r>
          </w:p>
        </w:tc>
        <w:tc>
          <w:tcPr>
            <w:tcW w:w="0" w:type="dxa"/>
            <w:vAlign w:val="bottom"/>
          </w:tcPr>
          <w:p>
            <w:pPr>
              <w:spacing w:after="0"/>
              <w:rPr>
                <w:sz w:val="1"/>
                <w:szCs w:val="1"/>
                <w:color w:val="auto"/>
              </w:rPr>
            </w:pPr>
          </w:p>
        </w:tc>
      </w:tr>
      <w:tr>
        <w:trPr>
          <w:trHeight w:val="153"/>
        </w:trPr>
        <w:tc>
          <w:tcPr>
            <w:tcW w:w="7240" w:type="dxa"/>
            <w:vAlign w:val="bottom"/>
          </w:tcPr>
          <w:p>
            <w:pPr>
              <w:spacing w:after="0"/>
              <w:rPr>
                <w:sz w:val="20"/>
                <w:szCs w:val="20"/>
                <w:color w:val="auto"/>
              </w:rPr>
            </w:pPr>
            <w:r>
              <w:rPr>
                <w:rFonts w:ascii="Arial" w:cs="Arial" w:eastAsia="Arial" w:hAnsi="Arial"/>
                <w:sz w:val="12"/>
                <w:szCs w:val="12"/>
                <w:color w:val="auto"/>
              </w:rPr>
              <w:t>Property, equipment and software, net</w:t>
            </w:r>
          </w:p>
        </w:tc>
        <w:tc>
          <w:tcPr>
            <w:tcW w:w="15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25,233</w:t>
            </w:r>
          </w:p>
        </w:tc>
        <w:tc>
          <w:tcPr>
            <w:tcW w:w="10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22,875</w:t>
            </w:r>
          </w:p>
        </w:tc>
        <w:tc>
          <w:tcPr>
            <w:tcW w:w="0" w:type="dxa"/>
            <w:vAlign w:val="bottom"/>
          </w:tcPr>
          <w:p>
            <w:pPr>
              <w:spacing w:after="0"/>
              <w:rPr>
                <w:sz w:val="1"/>
                <w:szCs w:val="1"/>
                <w:color w:val="auto"/>
              </w:rPr>
            </w:pPr>
          </w:p>
        </w:tc>
      </w:tr>
      <w:tr>
        <w:trPr>
          <w:trHeight w:val="153"/>
        </w:trPr>
        <w:tc>
          <w:tcPr>
            <w:tcW w:w="7240" w:type="dxa"/>
            <w:vAlign w:val="bottom"/>
          </w:tcPr>
          <w:p>
            <w:pPr>
              <w:spacing w:after="0"/>
              <w:rPr>
                <w:sz w:val="20"/>
                <w:szCs w:val="20"/>
                <w:color w:val="auto"/>
              </w:rPr>
            </w:pPr>
            <w:r>
              <w:rPr>
                <w:rFonts w:ascii="Arial" w:cs="Arial" w:eastAsia="Arial" w:hAnsi="Arial"/>
                <w:sz w:val="12"/>
                <w:szCs w:val="12"/>
                <w:color w:val="auto"/>
              </w:rPr>
              <w:t>Goodwill</w:t>
            </w:r>
          </w:p>
        </w:tc>
        <w:tc>
          <w:tcPr>
            <w:tcW w:w="15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2"/>
              </w:rPr>
              <w:t>365,740</w:t>
            </w:r>
          </w:p>
        </w:tc>
        <w:tc>
          <w:tcPr>
            <w:tcW w:w="10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106,832</w:t>
            </w:r>
          </w:p>
        </w:tc>
        <w:tc>
          <w:tcPr>
            <w:tcW w:w="0" w:type="dxa"/>
            <w:vAlign w:val="bottom"/>
          </w:tcPr>
          <w:p>
            <w:pPr>
              <w:spacing w:after="0"/>
              <w:rPr>
                <w:sz w:val="1"/>
                <w:szCs w:val="1"/>
                <w:color w:val="auto"/>
              </w:rPr>
            </w:pPr>
          </w:p>
        </w:tc>
      </w:tr>
      <w:tr>
        <w:trPr>
          <w:trHeight w:val="153"/>
        </w:trPr>
        <w:tc>
          <w:tcPr>
            <w:tcW w:w="7240" w:type="dxa"/>
            <w:vAlign w:val="bottom"/>
          </w:tcPr>
          <w:p>
            <w:pPr>
              <w:spacing w:after="0"/>
              <w:rPr>
                <w:sz w:val="20"/>
                <w:szCs w:val="20"/>
                <w:color w:val="auto"/>
              </w:rPr>
            </w:pPr>
            <w:r>
              <w:rPr>
                <w:rFonts w:ascii="Arial" w:cs="Arial" w:eastAsia="Arial" w:hAnsi="Arial"/>
                <w:sz w:val="12"/>
                <w:szCs w:val="12"/>
                <w:color w:val="auto"/>
              </w:rPr>
              <w:t>Intangible assets, net</w:t>
            </w:r>
          </w:p>
        </w:tc>
        <w:tc>
          <w:tcPr>
            <w:tcW w:w="15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2"/>
              </w:rPr>
              <w:t>340,211</w:t>
            </w:r>
          </w:p>
        </w:tc>
        <w:tc>
          <w:tcPr>
            <w:tcW w:w="10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98,057</w:t>
            </w:r>
          </w:p>
        </w:tc>
        <w:tc>
          <w:tcPr>
            <w:tcW w:w="0" w:type="dxa"/>
            <w:vAlign w:val="bottom"/>
          </w:tcPr>
          <w:p>
            <w:pPr>
              <w:spacing w:after="0"/>
              <w:rPr>
                <w:sz w:val="1"/>
                <w:szCs w:val="1"/>
                <w:color w:val="auto"/>
              </w:rPr>
            </w:pPr>
          </w:p>
        </w:tc>
      </w:tr>
      <w:tr>
        <w:trPr>
          <w:trHeight w:val="153"/>
        </w:trPr>
        <w:tc>
          <w:tcPr>
            <w:tcW w:w="7240" w:type="dxa"/>
            <w:vAlign w:val="bottom"/>
          </w:tcPr>
          <w:p>
            <w:pPr>
              <w:spacing w:after="0"/>
              <w:rPr>
                <w:sz w:val="20"/>
                <w:szCs w:val="20"/>
                <w:color w:val="auto"/>
              </w:rPr>
            </w:pPr>
            <w:r>
              <w:rPr>
                <w:rFonts w:ascii="Arial" w:cs="Arial" w:eastAsia="Arial" w:hAnsi="Arial"/>
                <w:sz w:val="12"/>
                <w:szCs w:val="12"/>
                <w:color w:val="auto"/>
              </w:rPr>
              <w:t>Deferred income taxes, net</w:t>
            </w:r>
          </w:p>
        </w:tc>
        <w:tc>
          <w:tcPr>
            <w:tcW w:w="15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8,265</w:t>
            </w:r>
          </w:p>
        </w:tc>
        <w:tc>
          <w:tcPr>
            <w:tcW w:w="10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46,697</w:t>
            </w:r>
          </w:p>
        </w:tc>
        <w:tc>
          <w:tcPr>
            <w:tcW w:w="0" w:type="dxa"/>
            <w:vAlign w:val="bottom"/>
          </w:tcPr>
          <w:p>
            <w:pPr>
              <w:spacing w:after="0"/>
              <w:rPr>
                <w:sz w:val="1"/>
                <w:szCs w:val="1"/>
                <w:color w:val="auto"/>
              </w:rPr>
            </w:pPr>
          </w:p>
        </w:tc>
      </w:tr>
      <w:tr>
        <w:trPr>
          <w:trHeight w:val="153"/>
        </w:trPr>
        <w:tc>
          <w:tcPr>
            <w:tcW w:w="7240" w:type="dxa"/>
            <w:vAlign w:val="bottom"/>
          </w:tcPr>
          <w:p>
            <w:pPr>
              <w:spacing w:after="0"/>
              <w:rPr>
                <w:sz w:val="20"/>
                <w:szCs w:val="20"/>
                <w:color w:val="auto"/>
              </w:rPr>
            </w:pPr>
            <w:r>
              <w:rPr>
                <w:rFonts w:ascii="Arial" w:cs="Arial" w:eastAsia="Arial" w:hAnsi="Arial"/>
                <w:sz w:val="12"/>
                <w:szCs w:val="12"/>
                <w:color w:val="auto"/>
              </w:rPr>
              <w:t>Other noncurrent assets</w:t>
            </w:r>
          </w:p>
        </w:tc>
        <w:tc>
          <w:tcPr>
            <w:tcW w:w="15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9,256</w:t>
            </w:r>
          </w:p>
        </w:tc>
        <w:tc>
          <w:tcPr>
            <w:tcW w:w="10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2"/>
                <w:szCs w:val="12"/>
                <w:color w:val="auto"/>
              </w:rPr>
              <w:t>1,957</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740" w:type="dxa"/>
            <w:vAlign w:val="bottom"/>
          </w:tcPr>
          <w:p>
            <w:pPr>
              <w:ind w:left="440"/>
              <w:spacing w:after="0"/>
              <w:rPr>
                <w:sz w:val="20"/>
                <w:szCs w:val="20"/>
                <w:color w:val="auto"/>
              </w:rPr>
            </w:pPr>
            <w:r>
              <w:rPr>
                <w:rFonts w:ascii="Arial" w:cs="Arial" w:eastAsia="Arial" w:hAnsi="Arial"/>
                <w:sz w:val="12"/>
                <w:szCs w:val="12"/>
                <w:b w:val="1"/>
                <w:bCs w:val="1"/>
                <w:color w:val="auto"/>
              </w:rPr>
              <w:t>Total assets</w:t>
            </w:r>
          </w:p>
        </w:tc>
        <w:tc>
          <w:tcPr>
            <w:tcW w:w="2500" w:type="dxa"/>
            <w:vAlign w:val="bottom"/>
          </w:tcPr>
          <w:p>
            <w:pPr>
              <w:spacing w:after="0"/>
              <w:rPr>
                <w:sz w:val="12"/>
                <w:szCs w:val="1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1,351,942</w:t>
            </w:r>
          </w:p>
        </w:tc>
        <w:tc>
          <w:tcPr>
            <w:tcW w:w="100" w:type="dxa"/>
            <w:vAlign w:val="bottom"/>
          </w:tcPr>
          <w:p>
            <w:pPr>
              <w:spacing w:after="0"/>
              <w:rPr>
                <w:sz w:val="12"/>
                <w:szCs w:val="12"/>
                <w:color w:val="auto"/>
              </w:rPr>
            </w:pPr>
          </w:p>
        </w:tc>
        <w:tc>
          <w:tcPr>
            <w:tcW w:w="15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92"/>
              </w:rPr>
              <w:t>417,829</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2"/>
                <w:szCs w:val="12"/>
                <w:b w:val="1"/>
                <w:bCs w:val="1"/>
                <w:color w:val="auto"/>
              </w:rPr>
              <w:t>Liabilities, Redeemable Senior Preferred Stock and Stockholders' Deficit</w:t>
            </w:r>
          </w:p>
        </w:tc>
        <w:tc>
          <w:tcPr>
            <w:tcW w:w="25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740" w:type="dxa"/>
            <w:vAlign w:val="bottom"/>
            <w:vMerge w:val="continue"/>
          </w:tcPr>
          <w:p>
            <w:pPr>
              <w:spacing w:after="0"/>
              <w:rPr>
                <w:sz w:val="9"/>
                <w:szCs w:val="9"/>
                <w:color w:val="auto"/>
              </w:rPr>
            </w:pPr>
          </w:p>
        </w:tc>
        <w:tc>
          <w:tcPr>
            <w:tcW w:w="25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Current liabilities:</w:t>
            </w:r>
          </w:p>
        </w:tc>
        <w:tc>
          <w:tcPr>
            <w:tcW w:w="2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Accounts payable and accrued expenses</w:t>
            </w:r>
          </w:p>
        </w:tc>
        <w:tc>
          <w:tcPr>
            <w:tcW w:w="2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  42,523</w:t>
            </w:r>
          </w:p>
        </w:tc>
        <w:tc>
          <w:tcPr>
            <w:tcW w:w="1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29,821</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Accrued residual commissions</w:t>
            </w:r>
          </w:p>
        </w:tc>
        <w:tc>
          <w:tcPr>
            <w:tcW w:w="2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29,532</w:t>
            </w: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23,824</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Customer deposits and advance payments</w:t>
            </w:r>
          </w:p>
        </w:tc>
        <w:tc>
          <w:tcPr>
            <w:tcW w:w="2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5,021</w:t>
            </w: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2,883</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Current portion of long-term debt</w:t>
            </w:r>
          </w:p>
        </w:tc>
        <w:tc>
          <w:tcPr>
            <w:tcW w:w="2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6,200</w:t>
            </w: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19,442</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Settlement and customer account obligations</w:t>
            </w:r>
          </w:p>
        </w:tc>
        <w:tc>
          <w:tcPr>
            <w:tcW w:w="250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500,291</w:t>
            </w:r>
          </w:p>
        </w:tc>
        <w:tc>
          <w:tcPr>
            <w:tcW w:w="100" w:type="dxa"/>
            <w:vAlign w:val="bottom"/>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72,878</w:t>
            </w:r>
          </w:p>
        </w:tc>
        <w:tc>
          <w:tcPr>
            <w:tcW w:w="0" w:type="dxa"/>
            <w:vAlign w:val="bottom"/>
          </w:tcPr>
          <w:p>
            <w:pPr>
              <w:spacing w:after="0"/>
              <w:rPr>
                <w:sz w:val="1"/>
                <w:szCs w:val="1"/>
                <w:color w:val="auto"/>
              </w:rPr>
            </w:pPr>
          </w:p>
        </w:tc>
      </w:tr>
      <w:tr>
        <w:trPr>
          <w:trHeight w:val="142"/>
        </w:trPr>
        <w:tc>
          <w:tcPr>
            <w:tcW w:w="4740" w:type="dxa"/>
            <w:vAlign w:val="bottom"/>
          </w:tcPr>
          <w:p>
            <w:pPr>
              <w:ind w:left="300"/>
              <w:spacing w:after="0"/>
              <w:rPr>
                <w:sz w:val="20"/>
                <w:szCs w:val="20"/>
                <w:color w:val="auto"/>
              </w:rPr>
            </w:pPr>
            <w:r>
              <w:rPr>
                <w:rFonts w:ascii="Arial" w:cs="Arial" w:eastAsia="Arial" w:hAnsi="Arial"/>
                <w:sz w:val="12"/>
                <w:szCs w:val="12"/>
                <w:color w:val="auto"/>
              </w:rPr>
              <w:t>Total current liabilities</w:t>
            </w:r>
          </w:p>
        </w:tc>
        <w:tc>
          <w:tcPr>
            <w:tcW w:w="250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583,567</w:t>
            </w:r>
          </w:p>
        </w:tc>
        <w:tc>
          <w:tcPr>
            <w:tcW w:w="100" w:type="dxa"/>
            <w:vAlign w:val="bottom"/>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148,848</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20"/>
                <w:szCs w:val="20"/>
                <w:color w:val="auto"/>
              </w:rPr>
            </w:pPr>
            <w:r>
              <w:rPr>
                <w:rFonts w:ascii="Arial" w:cs="Arial" w:eastAsia="Arial" w:hAnsi="Arial"/>
                <w:sz w:val="12"/>
                <w:szCs w:val="12"/>
                <w:color w:val="auto"/>
              </w:rPr>
              <w:t>Long-term debt, net of current portion, discounts and debt issuance costs</w:t>
            </w:r>
          </w:p>
        </w:tc>
        <w:tc>
          <w:tcPr>
            <w:tcW w:w="2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604,105</w:t>
            </w: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2"/>
              </w:rPr>
              <w:t>357,873</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Other noncurrent liabilities</w:t>
            </w:r>
          </w:p>
        </w:tc>
        <w:tc>
          <w:tcPr>
            <w:tcW w:w="250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18,349</w:t>
            </w:r>
          </w:p>
        </w:tc>
        <w:tc>
          <w:tcPr>
            <w:tcW w:w="100" w:type="dxa"/>
            <w:vAlign w:val="bottom"/>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9,672</w:t>
            </w:r>
          </w:p>
        </w:tc>
        <w:tc>
          <w:tcPr>
            <w:tcW w:w="0" w:type="dxa"/>
            <w:vAlign w:val="bottom"/>
          </w:tcPr>
          <w:p>
            <w:pPr>
              <w:spacing w:after="0"/>
              <w:rPr>
                <w:sz w:val="1"/>
                <w:szCs w:val="1"/>
                <w:color w:val="auto"/>
              </w:rPr>
            </w:pPr>
          </w:p>
        </w:tc>
      </w:tr>
      <w:tr>
        <w:trPr>
          <w:trHeight w:val="142"/>
        </w:trPr>
        <w:tc>
          <w:tcPr>
            <w:tcW w:w="4740" w:type="dxa"/>
            <w:vAlign w:val="bottom"/>
          </w:tcPr>
          <w:p>
            <w:pPr>
              <w:ind w:left="300"/>
              <w:spacing w:after="0"/>
              <w:rPr>
                <w:sz w:val="20"/>
                <w:szCs w:val="20"/>
                <w:color w:val="auto"/>
              </w:rPr>
            </w:pPr>
            <w:r>
              <w:rPr>
                <w:rFonts w:ascii="Arial" w:cs="Arial" w:eastAsia="Arial" w:hAnsi="Arial"/>
                <w:sz w:val="12"/>
                <w:szCs w:val="12"/>
                <w:color w:val="auto"/>
              </w:rPr>
              <w:t>Total noncurrent liabilities</w:t>
            </w:r>
          </w:p>
        </w:tc>
        <w:tc>
          <w:tcPr>
            <w:tcW w:w="250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622,454</w:t>
            </w:r>
          </w:p>
        </w:tc>
        <w:tc>
          <w:tcPr>
            <w:tcW w:w="100" w:type="dxa"/>
            <w:vAlign w:val="bottom"/>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367,545</w:t>
            </w:r>
          </w:p>
        </w:tc>
        <w:tc>
          <w:tcPr>
            <w:tcW w:w="0" w:type="dxa"/>
            <w:vAlign w:val="bottom"/>
          </w:tcPr>
          <w:p>
            <w:pPr>
              <w:spacing w:after="0"/>
              <w:rPr>
                <w:sz w:val="1"/>
                <w:szCs w:val="1"/>
                <w:color w:val="auto"/>
              </w:rPr>
            </w:pPr>
          </w:p>
        </w:tc>
      </w:tr>
      <w:tr>
        <w:trPr>
          <w:trHeight w:val="142"/>
        </w:trPr>
        <w:tc>
          <w:tcPr>
            <w:tcW w:w="4740" w:type="dxa"/>
            <w:vAlign w:val="bottom"/>
          </w:tcPr>
          <w:p>
            <w:pPr>
              <w:ind w:left="440"/>
              <w:spacing w:after="0"/>
              <w:rPr>
                <w:sz w:val="20"/>
                <w:szCs w:val="20"/>
                <w:color w:val="auto"/>
              </w:rPr>
            </w:pPr>
            <w:r>
              <w:rPr>
                <w:rFonts w:ascii="Arial" w:cs="Arial" w:eastAsia="Arial" w:hAnsi="Arial"/>
                <w:sz w:val="12"/>
                <w:szCs w:val="12"/>
                <w:b w:val="1"/>
                <w:bCs w:val="1"/>
                <w:color w:val="auto"/>
              </w:rPr>
              <w:t>Total liabilities</w:t>
            </w:r>
          </w:p>
        </w:tc>
        <w:tc>
          <w:tcPr>
            <w:tcW w:w="250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1,206,021</w:t>
            </w:r>
          </w:p>
        </w:tc>
        <w:tc>
          <w:tcPr>
            <w:tcW w:w="100" w:type="dxa"/>
            <w:vAlign w:val="bottom"/>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516,393</w:t>
            </w:r>
          </w:p>
        </w:tc>
        <w:tc>
          <w:tcPr>
            <w:tcW w:w="0" w:type="dxa"/>
            <w:vAlign w:val="bottom"/>
          </w:tcPr>
          <w:p>
            <w:pPr>
              <w:spacing w:after="0"/>
              <w:rPr>
                <w:sz w:val="1"/>
                <w:szCs w:val="1"/>
                <w:color w:val="auto"/>
              </w:rPr>
            </w:pPr>
          </w:p>
        </w:tc>
      </w:tr>
      <w:tr>
        <w:trPr>
          <w:trHeight w:val="142"/>
        </w:trPr>
        <w:tc>
          <w:tcPr>
            <w:tcW w:w="4740" w:type="dxa"/>
            <w:vAlign w:val="bottom"/>
          </w:tcPr>
          <w:p>
            <w:pPr>
              <w:spacing w:after="0" w:line="133" w:lineRule="exact"/>
              <w:rPr>
                <w:sz w:val="20"/>
                <w:szCs w:val="20"/>
                <w:color w:val="auto"/>
              </w:rPr>
            </w:pPr>
            <w:r>
              <w:rPr>
                <w:rFonts w:ascii="Arial" w:cs="Arial" w:eastAsia="Arial" w:hAnsi="Arial"/>
                <w:sz w:val="12"/>
                <w:szCs w:val="12"/>
                <w:color w:val="auto"/>
              </w:rPr>
              <w:t>Redeemable senior preferred stock</w:t>
            </w:r>
          </w:p>
        </w:tc>
        <w:tc>
          <w:tcPr>
            <w:tcW w:w="2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210,158</w:t>
            </w: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Stockholders' deficit:</w:t>
            </w:r>
          </w:p>
        </w:tc>
        <w:tc>
          <w:tcPr>
            <w:tcW w:w="2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Preferred stock</w:t>
            </w:r>
          </w:p>
        </w:tc>
        <w:tc>
          <w:tcPr>
            <w:tcW w:w="2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5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Common stock</w:t>
            </w:r>
          </w:p>
        </w:tc>
        <w:tc>
          <w:tcPr>
            <w:tcW w:w="2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77</w:t>
            </w: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Treasury stock, at cost</w:t>
            </w:r>
          </w:p>
        </w:tc>
        <w:tc>
          <w:tcPr>
            <w:tcW w:w="2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(4,091)</w:t>
            </w: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(2,388)</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Additional paid-in capital</w:t>
            </w:r>
          </w:p>
        </w:tc>
        <w:tc>
          <w:tcPr>
            <w:tcW w:w="2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39,835</w:t>
            </w: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5,769</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Accumulated deficit</w:t>
            </w:r>
          </w:p>
        </w:tc>
        <w:tc>
          <w:tcPr>
            <w:tcW w:w="250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(100,058)</w:t>
            </w:r>
          </w:p>
        </w:tc>
        <w:tc>
          <w:tcPr>
            <w:tcW w:w="100" w:type="dxa"/>
            <w:vAlign w:val="bottom"/>
          </w:tcPr>
          <w:p>
            <w:pPr>
              <w:spacing w:after="0"/>
              <w:rPr>
                <w:sz w:val="13"/>
                <w:szCs w:val="13"/>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(102,013)</w:t>
            </w:r>
          </w:p>
        </w:tc>
        <w:tc>
          <w:tcPr>
            <w:tcW w:w="0" w:type="dxa"/>
            <w:vAlign w:val="bottom"/>
          </w:tcPr>
          <w:p>
            <w:pPr>
              <w:spacing w:after="0"/>
              <w:rPr>
                <w:sz w:val="1"/>
                <w:szCs w:val="1"/>
                <w:color w:val="auto"/>
              </w:rPr>
            </w:pPr>
          </w:p>
        </w:tc>
      </w:tr>
      <w:tr>
        <w:trPr>
          <w:trHeight w:val="142"/>
        </w:trPr>
        <w:tc>
          <w:tcPr>
            <w:tcW w:w="4740" w:type="dxa"/>
            <w:vAlign w:val="bottom"/>
          </w:tcPr>
          <w:p>
            <w:pPr>
              <w:ind w:left="360"/>
              <w:spacing w:after="0"/>
              <w:rPr>
                <w:sz w:val="20"/>
                <w:szCs w:val="20"/>
                <w:color w:val="auto"/>
              </w:rPr>
            </w:pPr>
            <w:r>
              <w:rPr>
                <w:rFonts w:ascii="Arial" w:cs="Arial" w:eastAsia="Arial" w:hAnsi="Arial"/>
                <w:sz w:val="12"/>
                <w:szCs w:val="12"/>
                <w:b w:val="1"/>
                <w:bCs w:val="1"/>
                <w:color w:val="auto"/>
              </w:rPr>
              <w:t>Total stockholders' deficit</w:t>
            </w:r>
          </w:p>
        </w:tc>
        <w:tc>
          <w:tcPr>
            <w:tcW w:w="250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(64,237)</w:t>
            </w:r>
          </w:p>
        </w:tc>
        <w:tc>
          <w:tcPr>
            <w:tcW w:w="100" w:type="dxa"/>
            <w:vAlign w:val="bottom"/>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(98,564)</w:t>
            </w:r>
          </w:p>
        </w:tc>
        <w:tc>
          <w:tcPr>
            <w:tcW w:w="0" w:type="dxa"/>
            <w:vAlign w:val="bottom"/>
          </w:tcPr>
          <w:p>
            <w:pPr>
              <w:spacing w:after="0"/>
              <w:rPr>
                <w:sz w:val="1"/>
                <w:szCs w:val="1"/>
                <w:color w:val="auto"/>
              </w:rPr>
            </w:pPr>
          </w:p>
        </w:tc>
      </w:tr>
      <w:tr>
        <w:trPr>
          <w:trHeight w:val="142"/>
        </w:trPr>
        <w:tc>
          <w:tcPr>
            <w:tcW w:w="4740" w:type="dxa"/>
            <w:vAlign w:val="bottom"/>
          </w:tcPr>
          <w:p>
            <w:pPr>
              <w:ind w:left="20"/>
              <w:spacing w:after="0"/>
              <w:rPr>
                <w:sz w:val="20"/>
                <w:szCs w:val="20"/>
                <w:color w:val="auto"/>
              </w:rPr>
            </w:pPr>
            <w:r>
              <w:rPr>
                <w:rFonts w:ascii="Arial" w:cs="Arial" w:eastAsia="Arial" w:hAnsi="Arial"/>
                <w:sz w:val="12"/>
                <w:szCs w:val="12"/>
                <w:b w:val="1"/>
                <w:bCs w:val="1"/>
                <w:color w:val="auto"/>
              </w:rPr>
              <w:t>Total liabilities, redeemable senior preferred stock and stockholders' deficit</w:t>
            </w:r>
          </w:p>
        </w:tc>
        <w:tc>
          <w:tcPr>
            <w:tcW w:w="2500" w:type="dxa"/>
            <w:vAlign w:val="bottom"/>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1,351,942</w:t>
            </w:r>
          </w:p>
        </w:tc>
        <w:tc>
          <w:tcPr>
            <w:tcW w:w="100" w:type="dxa"/>
            <w:vAlign w:val="bottom"/>
          </w:tcPr>
          <w:p>
            <w:pPr>
              <w:spacing w:after="0"/>
              <w:rPr>
                <w:sz w:val="12"/>
                <w:szCs w:val="12"/>
                <w:color w:val="auto"/>
              </w:rPr>
            </w:pPr>
          </w:p>
        </w:tc>
        <w:tc>
          <w:tcPr>
            <w:tcW w:w="15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2"/>
              </w:rPr>
              <w:t>417,829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500" w:type="dxa"/>
            <w:vAlign w:val="bottom"/>
            <w:vMerge w:val="restart"/>
          </w:tcPr>
          <w:p>
            <w:pPr>
              <w:jc w:val="right"/>
              <w:ind w:right="1500"/>
              <w:spacing w:after="0"/>
              <w:rPr>
                <w:sz w:val="20"/>
                <w:szCs w:val="20"/>
                <w:color w:val="auto"/>
              </w:rPr>
            </w:pPr>
            <w:r>
              <w:rPr>
                <w:rFonts w:ascii="Arial" w:cs="Arial" w:eastAsia="Arial" w:hAnsi="Arial"/>
                <w:sz w:val="12"/>
                <w:szCs w:val="12"/>
                <w:color w:val="auto"/>
              </w:rPr>
              <w:t>8</w:t>
            </w: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47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568"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2"/>
          <w:szCs w:val="12"/>
          <w:b w:val="1"/>
          <w:bCs w:val="1"/>
          <w:color w:val="auto"/>
        </w:rPr>
        <w:t>Priority Technology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Consolidated Statements of Cash Flows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9019"/>
          </w:cols>
          <w:pgMar w:left="1440" w:top="649"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57"/>
        </w:trPr>
        <w:tc>
          <w:tcPr>
            <w:tcW w:w="516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3140" w:type="dxa"/>
            <w:vAlign w:val="bottom"/>
          </w:tcPr>
          <w:p>
            <w:pPr>
              <w:spacing w:after="0"/>
              <w:rPr>
                <w:sz w:val="13"/>
                <w:szCs w:val="13"/>
                <w:color w:val="auto"/>
              </w:rPr>
            </w:pPr>
          </w:p>
        </w:tc>
        <w:tc>
          <w:tcPr>
            <w:tcW w:w="25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2"/>
                <w:szCs w:val="12"/>
                <w:b w:val="1"/>
                <w:bCs w:val="1"/>
                <w:color w:val="auto"/>
              </w:rPr>
              <w:t>Years Ended December 31,</w:t>
            </w: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60" w:type="dxa"/>
            <w:vAlign w:val="bottom"/>
            <w:vMerge w:val="restart"/>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3140" w:type="dxa"/>
            <w:vAlign w:val="bottom"/>
          </w:tcPr>
          <w:p>
            <w:pPr>
              <w:spacing w:after="0"/>
              <w:rPr>
                <w:sz w:val="12"/>
                <w:szCs w:val="12"/>
                <w:color w:val="auto"/>
              </w:rPr>
            </w:pP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2021</w:t>
            </w:r>
          </w:p>
        </w:tc>
        <w:tc>
          <w:tcPr>
            <w:tcW w:w="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2020</w:t>
            </w:r>
          </w:p>
        </w:tc>
        <w:tc>
          <w:tcPr>
            <w:tcW w:w="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160" w:type="dxa"/>
            <w:vAlign w:val="bottom"/>
            <w:vMerge w:val="continue"/>
          </w:tcPr>
          <w:p>
            <w:pPr>
              <w:spacing w:after="0"/>
              <w:rPr>
                <w:sz w:val="11"/>
                <w:szCs w:val="11"/>
                <w:color w:val="auto"/>
              </w:rPr>
            </w:pPr>
          </w:p>
        </w:tc>
        <w:tc>
          <w:tcPr>
            <w:tcW w:w="3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160" w:type="dxa"/>
            <w:vAlign w:val="bottom"/>
          </w:tcPr>
          <w:p>
            <w:pPr>
              <w:ind w:left="80"/>
              <w:spacing w:after="0"/>
              <w:rPr>
                <w:sz w:val="20"/>
                <w:szCs w:val="20"/>
                <w:color w:val="auto"/>
              </w:rPr>
            </w:pPr>
            <w:r>
              <w:rPr>
                <w:rFonts w:ascii="Arial" w:cs="Arial" w:eastAsia="Arial" w:hAnsi="Arial"/>
                <w:sz w:val="12"/>
                <w:szCs w:val="12"/>
                <w:color w:val="auto"/>
              </w:rPr>
              <w:t>Net income (loss)</w:t>
            </w:r>
          </w:p>
        </w:tc>
        <w:tc>
          <w:tcPr>
            <w:tcW w:w="4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1,389</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71,059</w:t>
            </w:r>
          </w:p>
        </w:tc>
        <w:tc>
          <w:tcPr>
            <w:tcW w:w="0" w:type="dxa"/>
            <w:vAlign w:val="bottom"/>
          </w:tcPr>
          <w:p>
            <w:pPr>
              <w:spacing w:after="0"/>
              <w:rPr>
                <w:sz w:val="1"/>
                <w:szCs w:val="1"/>
                <w:color w:val="auto"/>
              </w:rPr>
            </w:pPr>
          </w:p>
        </w:tc>
      </w:tr>
      <w:tr>
        <w:trPr>
          <w:trHeight w:val="153"/>
        </w:trPr>
        <w:tc>
          <w:tcPr>
            <w:tcW w:w="5160" w:type="dxa"/>
            <w:vAlign w:val="bottom"/>
          </w:tcPr>
          <w:p>
            <w:pPr>
              <w:ind w:left="80"/>
              <w:spacing w:after="0"/>
              <w:rPr>
                <w:sz w:val="20"/>
                <w:szCs w:val="20"/>
                <w:color w:val="auto"/>
              </w:rPr>
            </w:pPr>
            <w:r>
              <w:rPr>
                <w:rFonts w:ascii="Arial" w:cs="Arial" w:eastAsia="Arial" w:hAnsi="Arial"/>
                <w:sz w:val="12"/>
                <w:szCs w:val="12"/>
                <w:color w:val="auto"/>
              </w:rPr>
              <w:t>Adjustments to reconcile net income (loss) to net cash provided by operating activities:</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60" w:type="dxa"/>
            <w:vAlign w:val="bottom"/>
          </w:tcPr>
          <w:p>
            <w:pPr>
              <w:ind w:left="140"/>
              <w:spacing w:after="0"/>
              <w:rPr>
                <w:sz w:val="20"/>
                <w:szCs w:val="20"/>
                <w:color w:val="auto"/>
              </w:rPr>
            </w:pPr>
            <w:r>
              <w:rPr>
                <w:rFonts w:ascii="Arial" w:cs="Arial" w:eastAsia="Arial" w:hAnsi="Arial"/>
                <w:sz w:val="12"/>
                <w:szCs w:val="12"/>
                <w:color w:val="auto"/>
              </w:rPr>
              <w:t>Gain and transaction costs recognized on sale of business and investment</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4"/>
              </w:rPr>
              <w:t>(7,643)</w:t>
            </w:r>
          </w:p>
        </w:tc>
        <w:tc>
          <w:tcPr>
            <w:tcW w:w="120" w:type="dxa"/>
            <w:vAlign w:val="bottom"/>
          </w:tcPr>
          <w:p>
            <w:pPr>
              <w:spacing w:after="0"/>
              <w:rPr>
                <w:sz w:val="13"/>
                <w:szCs w:val="13"/>
                <w:color w:val="auto"/>
              </w:rPr>
            </w:pPr>
          </w:p>
        </w:tc>
        <w:tc>
          <w:tcPr>
            <w:tcW w:w="1440" w:type="dxa"/>
            <w:vAlign w:val="bottom"/>
            <w:gridSpan w:val="2"/>
          </w:tcPr>
          <w:p>
            <w:pPr>
              <w:jc w:val="right"/>
              <w:spacing w:after="0"/>
              <w:rPr>
                <w:sz w:val="20"/>
                <w:szCs w:val="20"/>
                <w:color w:val="auto"/>
              </w:rPr>
            </w:pPr>
            <w:r>
              <w:rPr>
                <w:rFonts w:ascii="Arial" w:cs="Arial" w:eastAsia="Arial" w:hAnsi="Arial"/>
                <w:sz w:val="12"/>
                <w:szCs w:val="12"/>
                <w:color w:val="auto"/>
              </w:rPr>
              <w:t>(112,622)</w:t>
            </w:r>
          </w:p>
        </w:tc>
        <w:tc>
          <w:tcPr>
            <w:tcW w:w="0" w:type="dxa"/>
            <w:vAlign w:val="bottom"/>
          </w:tcPr>
          <w:p>
            <w:pPr>
              <w:spacing w:after="0"/>
              <w:rPr>
                <w:sz w:val="1"/>
                <w:szCs w:val="1"/>
                <w:color w:val="auto"/>
              </w:rPr>
            </w:pPr>
          </w:p>
        </w:tc>
      </w:tr>
      <w:tr>
        <w:trPr>
          <w:trHeight w:val="153"/>
        </w:trPr>
        <w:tc>
          <w:tcPr>
            <w:tcW w:w="5160" w:type="dxa"/>
            <w:vAlign w:val="bottom"/>
          </w:tcPr>
          <w:p>
            <w:pPr>
              <w:ind w:left="140"/>
              <w:spacing w:after="0"/>
              <w:rPr>
                <w:sz w:val="20"/>
                <w:szCs w:val="20"/>
                <w:color w:val="auto"/>
              </w:rPr>
            </w:pPr>
            <w:r>
              <w:rPr>
                <w:rFonts w:ascii="Arial" w:cs="Arial" w:eastAsia="Arial" w:hAnsi="Arial"/>
                <w:sz w:val="12"/>
                <w:szCs w:val="12"/>
                <w:color w:val="auto"/>
              </w:rPr>
              <w:t>Depreciation and amortization of assets</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7"/>
              </w:rPr>
              <w:t>49,697</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40,775</w:t>
            </w:r>
          </w:p>
        </w:tc>
        <w:tc>
          <w:tcPr>
            <w:tcW w:w="0" w:type="dxa"/>
            <w:vAlign w:val="bottom"/>
          </w:tcPr>
          <w:p>
            <w:pPr>
              <w:spacing w:after="0"/>
              <w:rPr>
                <w:sz w:val="1"/>
                <w:szCs w:val="1"/>
                <w:color w:val="auto"/>
              </w:rPr>
            </w:pPr>
          </w:p>
        </w:tc>
      </w:tr>
      <w:tr>
        <w:trPr>
          <w:trHeight w:val="153"/>
        </w:trPr>
        <w:tc>
          <w:tcPr>
            <w:tcW w:w="5160" w:type="dxa"/>
            <w:vAlign w:val="bottom"/>
          </w:tcPr>
          <w:p>
            <w:pPr>
              <w:ind w:left="140"/>
              <w:spacing w:after="0"/>
              <w:rPr>
                <w:sz w:val="20"/>
                <w:szCs w:val="20"/>
                <w:color w:val="auto"/>
              </w:rPr>
            </w:pPr>
            <w:r>
              <w:rPr>
                <w:rFonts w:ascii="Arial" w:cs="Arial" w:eastAsia="Arial" w:hAnsi="Arial"/>
                <w:sz w:val="12"/>
                <w:szCs w:val="12"/>
                <w:color w:val="auto"/>
              </w:rPr>
              <w:t>Stock-based compensation</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3,213</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2,430</w:t>
            </w:r>
          </w:p>
        </w:tc>
        <w:tc>
          <w:tcPr>
            <w:tcW w:w="0" w:type="dxa"/>
            <w:vAlign w:val="bottom"/>
          </w:tcPr>
          <w:p>
            <w:pPr>
              <w:spacing w:after="0"/>
              <w:rPr>
                <w:sz w:val="1"/>
                <w:szCs w:val="1"/>
                <w:color w:val="auto"/>
              </w:rPr>
            </w:pPr>
          </w:p>
        </w:tc>
      </w:tr>
      <w:tr>
        <w:trPr>
          <w:trHeight w:val="153"/>
        </w:trPr>
        <w:tc>
          <w:tcPr>
            <w:tcW w:w="5160" w:type="dxa"/>
            <w:vAlign w:val="bottom"/>
          </w:tcPr>
          <w:p>
            <w:pPr>
              <w:ind w:left="140"/>
              <w:spacing w:after="0"/>
              <w:rPr>
                <w:sz w:val="20"/>
                <w:szCs w:val="20"/>
                <w:color w:val="auto"/>
              </w:rPr>
            </w:pPr>
            <w:r>
              <w:rPr>
                <w:rFonts w:ascii="Arial" w:cs="Arial" w:eastAsia="Arial" w:hAnsi="Arial"/>
                <w:sz w:val="12"/>
                <w:szCs w:val="12"/>
                <w:color w:val="auto"/>
              </w:rPr>
              <w:t>Amortization of debt issuance costs and discounts</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2,305</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2,396</w:t>
            </w:r>
          </w:p>
        </w:tc>
        <w:tc>
          <w:tcPr>
            <w:tcW w:w="0" w:type="dxa"/>
            <w:vAlign w:val="bottom"/>
          </w:tcPr>
          <w:p>
            <w:pPr>
              <w:spacing w:after="0"/>
              <w:rPr>
                <w:sz w:val="1"/>
                <w:szCs w:val="1"/>
                <w:color w:val="auto"/>
              </w:rPr>
            </w:pPr>
          </w:p>
        </w:tc>
      </w:tr>
      <w:tr>
        <w:trPr>
          <w:trHeight w:val="153"/>
        </w:trPr>
        <w:tc>
          <w:tcPr>
            <w:tcW w:w="5160" w:type="dxa"/>
            <w:vAlign w:val="bottom"/>
          </w:tcPr>
          <w:p>
            <w:pPr>
              <w:ind w:left="140"/>
              <w:spacing w:after="0"/>
              <w:rPr>
                <w:sz w:val="20"/>
                <w:szCs w:val="20"/>
                <w:color w:val="auto"/>
              </w:rPr>
            </w:pPr>
            <w:r>
              <w:rPr>
                <w:rFonts w:ascii="Arial" w:cs="Arial" w:eastAsia="Arial" w:hAnsi="Arial"/>
                <w:sz w:val="12"/>
                <w:szCs w:val="12"/>
                <w:color w:val="auto"/>
              </w:rPr>
              <w:t>Write-off of deferred loan costs and discount</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2,580</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1,523</w:t>
            </w:r>
          </w:p>
        </w:tc>
        <w:tc>
          <w:tcPr>
            <w:tcW w:w="0" w:type="dxa"/>
            <w:vAlign w:val="bottom"/>
          </w:tcPr>
          <w:p>
            <w:pPr>
              <w:spacing w:after="0"/>
              <w:rPr>
                <w:sz w:val="1"/>
                <w:szCs w:val="1"/>
                <w:color w:val="auto"/>
              </w:rPr>
            </w:pPr>
          </w:p>
        </w:tc>
      </w:tr>
      <w:tr>
        <w:trPr>
          <w:trHeight w:val="153"/>
        </w:trPr>
        <w:tc>
          <w:tcPr>
            <w:tcW w:w="5160" w:type="dxa"/>
            <w:vAlign w:val="bottom"/>
          </w:tcPr>
          <w:p>
            <w:pPr>
              <w:ind w:left="140"/>
              <w:spacing w:after="0"/>
              <w:rPr>
                <w:sz w:val="20"/>
                <w:szCs w:val="20"/>
                <w:color w:val="auto"/>
              </w:rPr>
            </w:pPr>
            <w:r>
              <w:rPr>
                <w:rFonts w:ascii="Arial" w:cs="Arial" w:eastAsia="Arial" w:hAnsi="Arial"/>
                <w:sz w:val="12"/>
                <w:szCs w:val="12"/>
                <w:color w:val="auto"/>
              </w:rPr>
              <w:t>Deferred income tax (benefit) provision</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4"/>
              </w:rPr>
              <w:t>(2,559)</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2,960</w:t>
            </w:r>
          </w:p>
        </w:tc>
        <w:tc>
          <w:tcPr>
            <w:tcW w:w="0" w:type="dxa"/>
            <w:vAlign w:val="bottom"/>
          </w:tcPr>
          <w:p>
            <w:pPr>
              <w:spacing w:after="0"/>
              <w:rPr>
                <w:sz w:val="1"/>
                <w:szCs w:val="1"/>
                <w:color w:val="auto"/>
              </w:rPr>
            </w:pPr>
          </w:p>
        </w:tc>
      </w:tr>
      <w:tr>
        <w:trPr>
          <w:trHeight w:val="153"/>
        </w:trPr>
        <w:tc>
          <w:tcPr>
            <w:tcW w:w="5160" w:type="dxa"/>
            <w:vAlign w:val="bottom"/>
          </w:tcPr>
          <w:p>
            <w:pPr>
              <w:ind w:left="140"/>
              <w:spacing w:after="0"/>
              <w:rPr>
                <w:sz w:val="20"/>
                <w:szCs w:val="20"/>
                <w:color w:val="auto"/>
              </w:rPr>
            </w:pPr>
            <w:r>
              <w:rPr>
                <w:rFonts w:ascii="Arial" w:cs="Arial" w:eastAsia="Arial" w:hAnsi="Arial"/>
                <w:sz w:val="12"/>
                <w:szCs w:val="12"/>
                <w:color w:val="auto"/>
              </w:rPr>
              <w:t>Change in fair value of contingent consideration</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(360)</w:t>
            </w:r>
          </w:p>
        </w:tc>
        <w:tc>
          <w:tcPr>
            <w:tcW w:w="0" w:type="dxa"/>
            <w:vAlign w:val="bottom"/>
          </w:tcPr>
          <w:p>
            <w:pPr>
              <w:spacing w:after="0"/>
              <w:rPr>
                <w:sz w:val="1"/>
                <w:szCs w:val="1"/>
                <w:color w:val="auto"/>
              </w:rPr>
            </w:pPr>
          </w:p>
        </w:tc>
      </w:tr>
      <w:tr>
        <w:trPr>
          <w:trHeight w:val="153"/>
        </w:trPr>
        <w:tc>
          <w:tcPr>
            <w:tcW w:w="5160" w:type="dxa"/>
            <w:vAlign w:val="bottom"/>
          </w:tcPr>
          <w:p>
            <w:pPr>
              <w:ind w:left="140"/>
              <w:spacing w:after="0"/>
              <w:rPr>
                <w:sz w:val="20"/>
                <w:szCs w:val="20"/>
                <w:color w:val="auto"/>
              </w:rPr>
            </w:pPr>
            <w:r>
              <w:rPr>
                <w:rFonts w:ascii="Arial" w:cs="Arial" w:eastAsia="Arial" w:hAnsi="Arial"/>
                <w:sz w:val="12"/>
                <w:szCs w:val="12"/>
                <w:color w:val="auto"/>
              </w:rPr>
              <w:t>Payment-in-kind interest</w:t>
            </w:r>
          </w:p>
        </w:tc>
        <w:tc>
          <w:tcPr>
            <w:tcW w:w="4580" w:type="dxa"/>
            <w:vAlign w:val="bottom"/>
            <w:gridSpan w:val="3"/>
          </w:tcPr>
          <w:p>
            <w:pPr>
              <w:jc w:val="right"/>
              <w:spacing w:after="0"/>
              <w:rPr>
                <w:sz w:val="20"/>
                <w:szCs w:val="20"/>
                <w:color w:val="auto"/>
              </w:rPr>
            </w:pPr>
            <w:r>
              <w:rPr>
                <w:rFonts w:ascii="Arial" w:cs="Arial" w:eastAsia="Arial" w:hAnsi="Arial"/>
                <w:sz w:val="12"/>
                <w:szCs w:val="12"/>
                <w:color w:val="auto"/>
              </w:rPr>
              <w:t>(23,715)</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8,573</w:t>
            </w:r>
          </w:p>
        </w:tc>
        <w:tc>
          <w:tcPr>
            <w:tcW w:w="0" w:type="dxa"/>
            <w:vAlign w:val="bottom"/>
          </w:tcPr>
          <w:p>
            <w:pPr>
              <w:spacing w:after="0"/>
              <w:rPr>
                <w:sz w:val="1"/>
                <w:szCs w:val="1"/>
                <w:color w:val="auto"/>
              </w:rPr>
            </w:pPr>
          </w:p>
        </w:tc>
      </w:tr>
      <w:tr>
        <w:trPr>
          <w:trHeight w:val="153"/>
        </w:trPr>
        <w:tc>
          <w:tcPr>
            <w:tcW w:w="5160" w:type="dxa"/>
            <w:vAlign w:val="bottom"/>
          </w:tcPr>
          <w:p>
            <w:pPr>
              <w:ind w:left="140"/>
              <w:spacing w:after="0"/>
              <w:rPr>
                <w:sz w:val="20"/>
                <w:szCs w:val="20"/>
                <w:color w:val="auto"/>
              </w:rPr>
            </w:pPr>
            <w:r>
              <w:rPr>
                <w:rFonts w:ascii="Arial" w:cs="Arial" w:eastAsia="Arial" w:hAnsi="Arial"/>
                <w:sz w:val="12"/>
                <w:szCs w:val="12"/>
                <w:color w:val="auto"/>
              </w:rPr>
              <w:t>Impairment charges for intangible asset</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1,753</w:t>
            </w:r>
          </w:p>
        </w:tc>
        <w:tc>
          <w:tcPr>
            <w:tcW w:w="0" w:type="dxa"/>
            <w:vAlign w:val="bottom"/>
          </w:tcPr>
          <w:p>
            <w:pPr>
              <w:spacing w:after="0"/>
              <w:rPr>
                <w:sz w:val="1"/>
                <w:szCs w:val="1"/>
                <w:color w:val="auto"/>
              </w:rPr>
            </w:pPr>
          </w:p>
        </w:tc>
      </w:tr>
      <w:tr>
        <w:trPr>
          <w:trHeight w:val="153"/>
        </w:trPr>
        <w:tc>
          <w:tcPr>
            <w:tcW w:w="5160" w:type="dxa"/>
            <w:vAlign w:val="bottom"/>
          </w:tcPr>
          <w:p>
            <w:pPr>
              <w:ind w:left="160"/>
              <w:spacing w:after="0"/>
              <w:rPr>
                <w:sz w:val="20"/>
                <w:szCs w:val="20"/>
                <w:color w:val="auto"/>
              </w:rPr>
            </w:pPr>
            <w:r>
              <w:rPr>
                <w:rFonts w:ascii="Arial" w:cs="Arial" w:eastAsia="Arial" w:hAnsi="Arial"/>
                <w:sz w:val="12"/>
                <w:szCs w:val="12"/>
                <w:color w:val="auto"/>
              </w:rPr>
              <w:t>Other non-cash items, net</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462</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444</w:t>
            </w:r>
          </w:p>
        </w:tc>
        <w:tc>
          <w:tcPr>
            <w:tcW w:w="0" w:type="dxa"/>
            <w:vAlign w:val="bottom"/>
          </w:tcPr>
          <w:p>
            <w:pPr>
              <w:spacing w:after="0"/>
              <w:rPr>
                <w:sz w:val="1"/>
                <w:szCs w:val="1"/>
                <w:color w:val="auto"/>
              </w:rPr>
            </w:pPr>
          </w:p>
        </w:tc>
      </w:tr>
      <w:tr>
        <w:trPr>
          <w:trHeight w:val="153"/>
        </w:trPr>
        <w:tc>
          <w:tcPr>
            <w:tcW w:w="5160" w:type="dxa"/>
            <w:vAlign w:val="bottom"/>
          </w:tcPr>
          <w:p>
            <w:pPr>
              <w:spacing w:after="0"/>
              <w:rPr>
                <w:sz w:val="20"/>
                <w:szCs w:val="20"/>
                <w:color w:val="auto"/>
              </w:rPr>
            </w:pPr>
            <w:r>
              <w:rPr>
                <w:rFonts w:ascii="Arial" w:cs="Arial" w:eastAsia="Arial" w:hAnsi="Arial"/>
                <w:sz w:val="12"/>
                <w:szCs w:val="12"/>
                <w:color w:val="auto"/>
                <w:w w:val="97"/>
              </w:rPr>
              <w:t>Change in operating assets and liabilities (net of acquisitions and sale of business and investment):</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60" w:type="dxa"/>
            <w:vAlign w:val="bottom"/>
          </w:tcPr>
          <w:p>
            <w:pPr>
              <w:ind w:left="140"/>
              <w:spacing w:after="0"/>
              <w:rPr>
                <w:sz w:val="20"/>
                <w:szCs w:val="20"/>
                <w:color w:val="auto"/>
              </w:rPr>
            </w:pPr>
            <w:r>
              <w:rPr>
                <w:rFonts w:ascii="Arial" w:cs="Arial" w:eastAsia="Arial" w:hAnsi="Arial"/>
                <w:sz w:val="12"/>
                <w:szCs w:val="12"/>
                <w:color w:val="auto"/>
              </w:rPr>
              <w:t>Accounts receivable</w:t>
            </w:r>
          </w:p>
        </w:tc>
        <w:tc>
          <w:tcPr>
            <w:tcW w:w="4580" w:type="dxa"/>
            <w:vAlign w:val="bottom"/>
            <w:gridSpan w:val="3"/>
          </w:tcPr>
          <w:p>
            <w:pPr>
              <w:jc w:val="right"/>
              <w:spacing w:after="0"/>
              <w:rPr>
                <w:sz w:val="20"/>
                <w:szCs w:val="20"/>
                <w:color w:val="auto"/>
              </w:rPr>
            </w:pPr>
            <w:r>
              <w:rPr>
                <w:rFonts w:ascii="Arial" w:cs="Arial" w:eastAsia="Arial" w:hAnsi="Arial"/>
                <w:sz w:val="12"/>
                <w:szCs w:val="12"/>
                <w:color w:val="auto"/>
              </w:rPr>
              <w:t>(16,694)</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(5,160)</w:t>
            </w:r>
          </w:p>
        </w:tc>
        <w:tc>
          <w:tcPr>
            <w:tcW w:w="0" w:type="dxa"/>
            <w:vAlign w:val="bottom"/>
          </w:tcPr>
          <w:p>
            <w:pPr>
              <w:spacing w:after="0"/>
              <w:rPr>
                <w:sz w:val="1"/>
                <w:szCs w:val="1"/>
                <w:color w:val="auto"/>
              </w:rPr>
            </w:pPr>
          </w:p>
        </w:tc>
      </w:tr>
      <w:tr>
        <w:trPr>
          <w:trHeight w:val="153"/>
        </w:trPr>
        <w:tc>
          <w:tcPr>
            <w:tcW w:w="5160" w:type="dxa"/>
            <w:vAlign w:val="bottom"/>
          </w:tcPr>
          <w:p>
            <w:pPr>
              <w:ind w:left="140"/>
              <w:spacing w:after="0"/>
              <w:rPr>
                <w:sz w:val="20"/>
                <w:szCs w:val="20"/>
                <w:color w:val="auto"/>
              </w:rPr>
            </w:pPr>
            <w:r>
              <w:rPr>
                <w:rFonts w:ascii="Arial" w:cs="Arial" w:eastAsia="Arial" w:hAnsi="Arial"/>
                <w:sz w:val="12"/>
                <w:szCs w:val="12"/>
                <w:color w:val="auto"/>
              </w:rPr>
              <w:t>Prepaid expenses and other current assets</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4"/>
              </w:rPr>
              <w:t>(1,597)</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303</w:t>
            </w:r>
          </w:p>
        </w:tc>
        <w:tc>
          <w:tcPr>
            <w:tcW w:w="0" w:type="dxa"/>
            <w:vAlign w:val="bottom"/>
          </w:tcPr>
          <w:p>
            <w:pPr>
              <w:spacing w:after="0"/>
              <w:rPr>
                <w:sz w:val="1"/>
                <w:szCs w:val="1"/>
                <w:color w:val="auto"/>
              </w:rPr>
            </w:pPr>
          </w:p>
        </w:tc>
      </w:tr>
      <w:tr>
        <w:trPr>
          <w:trHeight w:val="153"/>
        </w:trPr>
        <w:tc>
          <w:tcPr>
            <w:tcW w:w="5160" w:type="dxa"/>
            <w:vAlign w:val="bottom"/>
          </w:tcPr>
          <w:p>
            <w:pPr>
              <w:ind w:left="140"/>
              <w:spacing w:after="0"/>
              <w:rPr>
                <w:sz w:val="20"/>
                <w:szCs w:val="20"/>
                <w:color w:val="auto"/>
              </w:rPr>
            </w:pPr>
            <w:r>
              <w:rPr>
                <w:rFonts w:ascii="Arial" w:cs="Arial" w:eastAsia="Arial" w:hAnsi="Arial"/>
                <w:sz w:val="12"/>
                <w:szCs w:val="12"/>
                <w:color w:val="auto"/>
              </w:rPr>
              <w:t>Income taxes (receivable) payable</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4"/>
              </w:rPr>
              <w:t>(5,107)</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(238)</w:t>
            </w:r>
          </w:p>
        </w:tc>
        <w:tc>
          <w:tcPr>
            <w:tcW w:w="0" w:type="dxa"/>
            <w:vAlign w:val="bottom"/>
          </w:tcPr>
          <w:p>
            <w:pPr>
              <w:spacing w:after="0"/>
              <w:rPr>
                <w:sz w:val="1"/>
                <w:szCs w:val="1"/>
                <w:color w:val="auto"/>
              </w:rPr>
            </w:pPr>
          </w:p>
        </w:tc>
      </w:tr>
      <w:tr>
        <w:trPr>
          <w:trHeight w:val="153"/>
        </w:trPr>
        <w:tc>
          <w:tcPr>
            <w:tcW w:w="5160" w:type="dxa"/>
            <w:vAlign w:val="bottom"/>
          </w:tcPr>
          <w:p>
            <w:pPr>
              <w:ind w:left="140"/>
              <w:spacing w:after="0"/>
              <w:rPr>
                <w:sz w:val="20"/>
                <w:szCs w:val="20"/>
                <w:color w:val="auto"/>
              </w:rPr>
            </w:pPr>
            <w:r>
              <w:rPr>
                <w:rFonts w:ascii="Arial" w:cs="Arial" w:eastAsia="Arial" w:hAnsi="Arial"/>
                <w:sz w:val="12"/>
                <w:szCs w:val="12"/>
                <w:color w:val="auto"/>
              </w:rPr>
              <w:t>Notes receivable</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333</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(2,230)</w:t>
            </w:r>
          </w:p>
        </w:tc>
        <w:tc>
          <w:tcPr>
            <w:tcW w:w="0" w:type="dxa"/>
            <w:vAlign w:val="bottom"/>
          </w:tcPr>
          <w:p>
            <w:pPr>
              <w:spacing w:after="0"/>
              <w:rPr>
                <w:sz w:val="1"/>
                <w:szCs w:val="1"/>
                <w:color w:val="auto"/>
              </w:rPr>
            </w:pPr>
          </w:p>
        </w:tc>
      </w:tr>
      <w:tr>
        <w:trPr>
          <w:trHeight w:val="153"/>
        </w:trPr>
        <w:tc>
          <w:tcPr>
            <w:tcW w:w="5160" w:type="dxa"/>
            <w:vAlign w:val="bottom"/>
          </w:tcPr>
          <w:p>
            <w:pPr>
              <w:ind w:left="140"/>
              <w:spacing w:after="0"/>
              <w:rPr>
                <w:sz w:val="20"/>
                <w:szCs w:val="20"/>
                <w:color w:val="auto"/>
              </w:rPr>
            </w:pPr>
            <w:r>
              <w:rPr>
                <w:rFonts w:ascii="Arial" w:cs="Arial" w:eastAsia="Arial" w:hAnsi="Arial"/>
                <w:sz w:val="12"/>
                <w:szCs w:val="12"/>
                <w:color w:val="auto"/>
              </w:rPr>
              <w:t>Accounts payable and other accrued liabilities</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7,018</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1,343</w:t>
            </w:r>
          </w:p>
        </w:tc>
        <w:tc>
          <w:tcPr>
            <w:tcW w:w="0" w:type="dxa"/>
            <w:vAlign w:val="bottom"/>
          </w:tcPr>
          <w:p>
            <w:pPr>
              <w:spacing w:after="0"/>
              <w:rPr>
                <w:sz w:val="1"/>
                <w:szCs w:val="1"/>
                <w:color w:val="auto"/>
              </w:rPr>
            </w:pPr>
          </w:p>
        </w:tc>
      </w:tr>
      <w:tr>
        <w:trPr>
          <w:trHeight w:val="153"/>
        </w:trPr>
        <w:tc>
          <w:tcPr>
            <w:tcW w:w="5160" w:type="dxa"/>
            <w:vAlign w:val="bottom"/>
          </w:tcPr>
          <w:p>
            <w:pPr>
              <w:ind w:left="140"/>
              <w:spacing w:after="0"/>
              <w:rPr>
                <w:sz w:val="20"/>
                <w:szCs w:val="20"/>
                <w:color w:val="auto"/>
              </w:rPr>
            </w:pPr>
            <w:r>
              <w:rPr>
                <w:rFonts w:ascii="Arial" w:cs="Arial" w:eastAsia="Arial" w:hAnsi="Arial"/>
                <w:sz w:val="12"/>
                <w:szCs w:val="12"/>
                <w:color w:val="auto"/>
              </w:rPr>
              <w:t>Customer deposits and advance payments</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2,138</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(2,045)</w:t>
            </w:r>
          </w:p>
        </w:tc>
        <w:tc>
          <w:tcPr>
            <w:tcW w:w="0" w:type="dxa"/>
            <w:vAlign w:val="bottom"/>
          </w:tcPr>
          <w:p>
            <w:pPr>
              <w:spacing w:after="0"/>
              <w:rPr>
                <w:sz w:val="1"/>
                <w:szCs w:val="1"/>
                <w:color w:val="auto"/>
              </w:rPr>
            </w:pPr>
          </w:p>
        </w:tc>
      </w:tr>
      <w:tr>
        <w:trPr>
          <w:trHeight w:val="153"/>
        </w:trPr>
        <w:tc>
          <w:tcPr>
            <w:tcW w:w="5160" w:type="dxa"/>
            <w:vAlign w:val="bottom"/>
          </w:tcPr>
          <w:p>
            <w:pPr>
              <w:ind w:left="140"/>
              <w:spacing w:after="0"/>
              <w:rPr>
                <w:sz w:val="20"/>
                <w:szCs w:val="20"/>
                <w:color w:val="auto"/>
              </w:rPr>
            </w:pPr>
            <w:r>
              <w:rPr>
                <w:rFonts w:ascii="Arial" w:cs="Arial" w:eastAsia="Arial" w:hAnsi="Arial"/>
                <w:sz w:val="12"/>
                <w:szCs w:val="12"/>
                <w:color w:val="auto"/>
              </w:rPr>
              <w:t>Other assets and liabilities, net</w:t>
            </w:r>
          </w:p>
        </w:tc>
        <w:tc>
          <w:tcPr>
            <w:tcW w:w="31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4"/>
              </w:rPr>
              <w:t>(2,443)</w:t>
            </w:r>
          </w:p>
        </w:tc>
        <w:tc>
          <w:tcPr>
            <w:tcW w:w="1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1,298</w:t>
            </w:r>
          </w:p>
        </w:tc>
        <w:tc>
          <w:tcPr>
            <w:tcW w:w="0" w:type="dxa"/>
            <w:vAlign w:val="bottom"/>
          </w:tcPr>
          <w:p>
            <w:pPr>
              <w:spacing w:after="0"/>
              <w:rPr>
                <w:sz w:val="1"/>
                <w:szCs w:val="1"/>
                <w:color w:val="auto"/>
              </w:rPr>
            </w:pPr>
          </w:p>
        </w:tc>
      </w:tr>
      <w:tr>
        <w:trPr>
          <w:trHeight w:val="142"/>
        </w:trPr>
        <w:tc>
          <w:tcPr>
            <w:tcW w:w="5160" w:type="dxa"/>
            <w:vAlign w:val="bottom"/>
          </w:tcPr>
          <w:p>
            <w:pPr>
              <w:ind w:left="220"/>
              <w:spacing w:after="0"/>
              <w:rPr>
                <w:sz w:val="20"/>
                <w:szCs w:val="20"/>
                <w:color w:val="auto"/>
              </w:rPr>
            </w:pPr>
            <w:r>
              <w:rPr>
                <w:rFonts w:ascii="Arial" w:cs="Arial" w:eastAsia="Arial" w:hAnsi="Arial"/>
                <w:sz w:val="12"/>
                <w:szCs w:val="12"/>
                <w:b w:val="1"/>
                <w:bCs w:val="1"/>
                <w:color w:val="auto"/>
              </w:rPr>
              <w:t>Net cash provided by operating activities</w:t>
            </w:r>
          </w:p>
        </w:tc>
        <w:tc>
          <w:tcPr>
            <w:tcW w:w="314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9,377</w:t>
            </w:r>
          </w:p>
        </w:tc>
        <w:tc>
          <w:tcPr>
            <w:tcW w:w="1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12,202</w:t>
            </w:r>
          </w:p>
        </w:tc>
        <w:tc>
          <w:tcPr>
            <w:tcW w:w="0" w:type="dxa"/>
            <w:vAlign w:val="bottom"/>
          </w:tcPr>
          <w:p>
            <w:pPr>
              <w:spacing w:after="0"/>
              <w:rPr>
                <w:sz w:val="1"/>
                <w:szCs w:val="1"/>
                <w:color w:val="auto"/>
              </w:rPr>
            </w:pPr>
          </w:p>
        </w:tc>
      </w:tr>
      <w:tr>
        <w:trPr>
          <w:trHeight w:val="133"/>
        </w:trPr>
        <w:tc>
          <w:tcPr>
            <w:tcW w:w="5160" w:type="dxa"/>
            <w:vAlign w:val="bottom"/>
          </w:tcPr>
          <w:p>
            <w:pPr>
              <w:spacing w:after="0" w:line="133" w:lineRule="exact"/>
              <w:rPr>
                <w:sz w:val="20"/>
                <w:szCs w:val="20"/>
                <w:color w:val="auto"/>
              </w:rPr>
            </w:pPr>
            <w:r>
              <w:rPr>
                <w:rFonts w:ascii="Arial" w:cs="Arial" w:eastAsia="Arial" w:hAnsi="Arial"/>
                <w:sz w:val="12"/>
                <w:szCs w:val="12"/>
                <w:b w:val="1"/>
                <w:bCs w:val="1"/>
                <w:color w:val="auto"/>
              </w:rPr>
              <w:t>Cash flows from investing activities:</w:t>
            </w:r>
          </w:p>
        </w:tc>
        <w:tc>
          <w:tcPr>
            <w:tcW w:w="3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160" w:type="dxa"/>
            <w:vAlign w:val="bottom"/>
          </w:tcPr>
          <w:p>
            <w:pPr>
              <w:ind w:left="80"/>
              <w:spacing w:after="0"/>
              <w:rPr>
                <w:sz w:val="20"/>
                <w:szCs w:val="20"/>
                <w:color w:val="auto"/>
              </w:rPr>
            </w:pPr>
            <w:r>
              <w:rPr>
                <w:rFonts w:ascii="Arial" w:cs="Arial" w:eastAsia="Arial" w:hAnsi="Arial"/>
                <w:sz w:val="12"/>
                <w:szCs w:val="12"/>
                <w:color w:val="auto"/>
              </w:rPr>
              <w:t>Acquisitions of businesses, net of cash acquired</w:t>
            </w:r>
          </w:p>
        </w:tc>
        <w:tc>
          <w:tcPr>
            <w:tcW w:w="4580" w:type="dxa"/>
            <w:vAlign w:val="bottom"/>
            <w:gridSpan w:val="3"/>
          </w:tcPr>
          <w:p>
            <w:pPr>
              <w:jc w:val="right"/>
              <w:spacing w:after="0"/>
              <w:rPr>
                <w:sz w:val="20"/>
                <w:szCs w:val="20"/>
                <w:color w:val="auto"/>
              </w:rPr>
            </w:pPr>
            <w:r>
              <w:rPr>
                <w:rFonts w:ascii="Arial" w:cs="Arial" w:eastAsia="Arial" w:hAnsi="Arial"/>
                <w:sz w:val="12"/>
                <w:szCs w:val="12"/>
                <w:color w:val="auto"/>
              </w:rPr>
              <w:t>(407,129)</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160" w:type="dxa"/>
            <w:vAlign w:val="bottom"/>
          </w:tcPr>
          <w:p>
            <w:pPr>
              <w:ind w:left="80"/>
              <w:spacing w:after="0"/>
              <w:rPr>
                <w:sz w:val="20"/>
                <w:szCs w:val="20"/>
                <w:color w:val="auto"/>
              </w:rPr>
            </w:pPr>
            <w:r>
              <w:rPr>
                <w:rFonts w:ascii="Arial" w:cs="Arial" w:eastAsia="Arial" w:hAnsi="Arial"/>
                <w:sz w:val="12"/>
                <w:szCs w:val="12"/>
                <w:color w:val="auto"/>
              </w:rPr>
              <w:t>Proceeds from sale of business and investment</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7"/>
              </w:rPr>
              <w:t>15,278</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2"/>
              </w:rPr>
              <w:t>179,416</w:t>
            </w:r>
          </w:p>
        </w:tc>
        <w:tc>
          <w:tcPr>
            <w:tcW w:w="0" w:type="dxa"/>
            <w:vAlign w:val="bottom"/>
          </w:tcPr>
          <w:p>
            <w:pPr>
              <w:spacing w:after="0"/>
              <w:rPr>
                <w:sz w:val="1"/>
                <w:szCs w:val="1"/>
                <w:color w:val="auto"/>
              </w:rPr>
            </w:pPr>
          </w:p>
        </w:tc>
      </w:tr>
      <w:tr>
        <w:trPr>
          <w:trHeight w:val="153"/>
        </w:trPr>
        <w:tc>
          <w:tcPr>
            <w:tcW w:w="5160" w:type="dxa"/>
            <w:vAlign w:val="bottom"/>
          </w:tcPr>
          <w:p>
            <w:pPr>
              <w:ind w:left="80"/>
              <w:spacing w:after="0"/>
              <w:rPr>
                <w:sz w:val="20"/>
                <w:szCs w:val="20"/>
                <w:color w:val="auto"/>
              </w:rPr>
            </w:pPr>
            <w:r>
              <w:rPr>
                <w:rFonts w:ascii="Arial" w:cs="Arial" w:eastAsia="Arial" w:hAnsi="Arial"/>
                <w:sz w:val="12"/>
                <w:szCs w:val="12"/>
                <w:color w:val="auto"/>
              </w:rPr>
              <w:t>Additions to property, equipment and software</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4"/>
              </w:rPr>
              <w:t>(9,719)</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(7,461)</w:t>
            </w:r>
          </w:p>
        </w:tc>
        <w:tc>
          <w:tcPr>
            <w:tcW w:w="0" w:type="dxa"/>
            <w:vAlign w:val="bottom"/>
          </w:tcPr>
          <w:p>
            <w:pPr>
              <w:spacing w:after="0"/>
              <w:rPr>
                <w:sz w:val="1"/>
                <w:szCs w:val="1"/>
                <w:color w:val="auto"/>
              </w:rPr>
            </w:pPr>
          </w:p>
        </w:tc>
      </w:tr>
      <w:tr>
        <w:trPr>
          <w:trHeight w:val="153"/>
        </w:trPr>
        <w:tc>
          <w:tcPr>
            <w:tcW w:w="5160" w:type="dxa"/>
            <w:vAlign w:val="bottom"/>
          </w:tcPr>
          <w:p>
            <w:pPr>
              <w:ind w:left="80"/>
              <w:spacing w:after="0"/>
              <w:rPr>
                <w:sz w:val="20"/>
                <w:szCs w:val="20"/>
                <w:color w:val="auto"/>
              </w:rPr>
            </w:pPr>
            <w:r>
              <w:rPr>
                <w:rFonts w:ascii="Arial" w:cs="Arial" w:eastAsia="Arial" w:hAnsi="Arial"/>
                <w:sz w:val="12"/>
                <w:szCs w:val="12"/>
                <w:color w:val="auto"/>
              </w:rPr>
              <w:t>Notes receivable loan funding</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160" w:type="dxa"/>
            <w:vAlign w:val="bottom"/>
          </w:tcPr>
          <w:p>
            <w:pPr>
              <w:ind w:left="80"/>
              <w:spacing w:after="0"/>
              <w:rPr>
                <w:sz w:val="20"/>
                <w:szCs w:val="20"/>
                <w:color w:val="auto"/>
              </w:rPr>
            </w:pPr>
            <w:r>
              <w:rPr>
                <w:rFonts w:ascii="Arial" w:cs="Arial" w:eastAsia="Arial" w:hAnsi="Arial"/>
                <w:sz w:val="12"/>
                <w:szCs w:val="12"/>
                <w:color w:val="auto"/>
              </w:rPr>
              <w:t>Acquisitions of intangible assets</w:t>
            </w:r>
          </w:p>
        </w:tc>
        <w:tc>
          <w:tcPr>
            <w:tcW w:w="4580" w:type="dxa"/>
            <w:vAlign w:val="bottom"/>
            <w:gridSpan w:val="3"/>
          </w:tcPr>
          <w:p>
            <w:pPr>
              <w:jc w:val="right"/>
              <w:spacing w:after="0"/>
              <w:rPr>
                <w:sz w:val="20"/>
                <w:szCs w:val="20"/>
                <w:color w:val="auto"/>
              </w:rPr>
            </w:pPr>
            <w:r>
              <w:rPr>
                <w:rFonts w:ascii="Arial" w:cs="Arial" w:eastAsia="Arial" w:hAnsi="Arial"/>
                <w:sz w:val="12"/>
                <w:szCs w:val="12"/>
                <w:color w:val="auto"/>
              </w:rPr>
              <w:t>(49,463)</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(5,559)</w:t>
            </w:r>
          </w:p>
        </w:tc>
        <w:tc>
          <w:tcPr>
            <w:tcW w:w="0" w:type="dxa"/>
            <w:vAlign w:val="bottom"/>
          </w:tcPr>
          <w:p>
            <w:pPr>
              <w:spacing w:after="0"/>
              <w:rPr>
                <w:sz w:val="1"/>
                <w:szCs w:val="1"/>
                <w:color w:val="auto"/>
              </w:rPr>
            </w:pPr>
          </w:p>
        </w:tc>
      </w:tr>
      <w:tr>
        <w:trPr>
          <w:trHeight w:val="142"/>
        </w:trPr>
        <w:tc>
          <w:tcPr>
            <w:tcW w:w="5160" w:type="dxa"/>
            <w:vAlign w:val="bottom"/>
          </w:tcPr>
          <w:p>
            <w:pPr>
              <w:ind w:left="220"/>
              <w:spacing w:after="0"/>
              <w:rPr>
                <w:sz w:val="20"/>
                <w:szCs w:val="20"/>
                <w:color w:val="auto"/>
              </w:rPr>
            </w:pPr>
            <w:r>
              <w:rPr>
                <w:rFonts w:ascii="Arial" w:cs="Arial" w:eastAsia="Arial" w:hAnsi="Arial"/>
                <w:sz w:val="12"/>
                <w:szCs w:val="12"/>
                <w:b w:val="1"/>
                <w:bCs w:val="1"/>
                <w:color w:val="auto"/>
              </w:rPr>
              <w:t>Net cash (used in) provided by investing activities</w:t>
            </w:r>
          </w:p>
        </w:tc>
        <w:tc>
          <w:tcPr>
            <w:tcW w:w="3140" w:type="dxa"/>
            <w:vAlign w:val="bottom"/>
          </w:tcPr>
          <w:p>
            <w:pPr>
              <w:spacing w:after="0"/>
              <w:rPr>
                <w:sz w:val="12"/>
                <w:szCs w:val="12"/>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(451,033)</w:t>
            </w:r>
          </w:p>
        </w:tc>
        <w:tc>
          <w:tcPr>
            <w:tcW w:w="120" w:type="dxa"/>
            <w:vAlign w:val="bottom"/>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92"/>
              </w:rPr>
              <w:t>166,396</w:t>
            </w:r>
          </w:p>
        </w:tc>
        <w:tc>
          <w:tcPr>
            <w:tcW w:w="0" w:type="dxa"/>
            <w:vAlign w:val="bottom"/>
          </w:tcPr>
          <w:p>
            <w:pPr>
              <w:spacing w:after="0"/>
              <w:rPr>
                <w:sz w:val="1"/>
                <w:szCs w:val="1"/>
                <w:color w:val="auto"/>
              </w:rPr>
            </w:pPr>
          </w:p>
        </w:tc>
      </w:tr>
      <w:tr>
        <w:trPr>
          <w:trHeight w:val="133"/>
        </w:trPr>
        <w:tc>
          <w:tcPr>
            <w:tcW w:w="5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Cash flows from financing activities:</w:t>
            </w:r>
          </w:p>
        </w:tc>
        <w:tc>
          <w:tcPr>
            <w:tcW w:w="3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160" w:type="dxa"/>
            <w:vAlign w:val="bottom"/>
          </w:tcPr>
          <w:p>
            <w:pPr>
              <w:ind w:left="80"/>
              <w:spacing w:after="0"/>
              <w:rPr>
                <w:sz w:val="20"/>
                <w:szCs w:val="20"/>
                <w:color w:val="auto"/>
              </w:rPr>
            </w:pPr>
            <w:r>
              <w:rPr>
                <w:rFonts w:ascii="Arial" w:cs="Arial" w:eastAsia="Arial" w:hAnsi="Arial"/>
                <w:sz w:val="12"/>
                <w:szCs w:val="12"/>
                <w:color w:val="auto"/>
              </w:rPr>
              <w:t>Proceeds from issuance of long-term debt, net of issue discount</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82"/>
              </w:rPr>
              <w:t>607,318</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160" w:type="dxa"/>
            <w:vAlign w:val="bottom"/>
          </w:tcPr>
          <w:p>
            <w:pPr>
              <w:ind w:left="80"/>
              <w:spacing w:after="0"/>
              <w:rPr>
                <w:sz w:val="20"/>
                <w:szCs w:val="20"/>
                <w:color w:val="auto"/>
              </w:rPr>
            </w:pPr>
            <w:r>
              <w:rPr>
                <w:rFonts w:ascii="Arial" w:cs="Arial" w:eastAsia="Arial" w:hAnsi="Arial"/>
                <w:sz w:val="12"/>
                <w:szCs w:val="12"/>
                <w:color w:val="auto"/>
              </w:rPr>
              <w:t>Debt issuance and modification costs paid</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4"/>
              </w:rPr>
              <w:t>(9,073)</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(2,749)</w:t>
            </w:r>
          </w:p>
        </w:tc>
        <w:tc>
          <w:tcPr>
            <w:tcW w:w="0" w:type="dxa"/>
            <w:vAlign w:val="bottom"/>
          </w:tcPr>
          <w:p>
            <w:pPr>
              <w:spacing w:after="0"/>
              <w:rPr>
                <w:sz w:val="1"/>
                <w:szCs w:val="1"/>
                <w:color w:val="auto"/>
              </w:rPr>
            </w:pPr>
          </w:p>
        </w:tc>
      </w:tr>
      <w:tr>
        <w:trPr>
          <w:trHeight w:val="153"/>
        </w:trPr>
        <w:tc>
          <w:tcPr>
            <w:tcW w:w="5160" w:type="dxa"/>
            <w:vAlign w:val="bottom"/>
          </w:tcPr>
          <w:p>
            <w:pPr>
              <w:ind w:left="80"/>
              <w:spacing w:after="0"/>
              <w:rPr>
                <w:sz w:val="20"/>
                <w:szCs w:val="20"/>
                <w:color w:val="auto"/>
              </w:rPr>
            </w:pPr>
            <w:r>
              <w:rPr>
                <w:rFonts w:ascii="Arial" w:cs="Arial" w:eastAsia="Arial" w:hAnsi="Arial"/>
                <w:sz w:val="12"/>
                <w:szCs w:val="12"/>
                <w:color w:val="auto"/>
              </w:rPr>
              <w:t>Repayments of long-term debt</w:t>
            </w:r>
          </w:p>
        </w:tc>
        <w:tc>
          <w:tcPr>
            <w:tcW w:w="4580" w:type="dxa"/>
            <w:vAlign w:val="bottom"/>
            <w:gridSpan w:val="3"/>
          </w:tcPr>
          <w:p>
            <w:pPr>
              <w:jc w:val="right"/>
              <w:spacing w:after="0"/>
              <w:rPr>
                <w:sz w:val="20"/>
                <w:szCs w:val="20"/>
                <w:color w:val="auto"/>
              </w:rPr>
            </w:pPr>
            <w:r>
              <w:rPr>
                <w:rFonts w:ascii="Arial" w:cs="Arial" w:eastAsia="Arial" w:hAnsi="Arial"/>
                <w:sz w:val="12"/>
                <w:szCs w:val="12"/>
                <w:color w:val="auto"/>
              </w:rPr>
              <w:t>(361,425)</w:t>
            </w:r>
          </w:p>
        </w:tc>
        <w:tc>
          <w:tcPr>
            <w:tcW w:w="120" w:type="dxa"/>
            <w:vAlign w:val="bottom"/>
          </w:tcPr>
          <w:p>
            <w:pPr>
              <w:spacing w:after="0"/>
              <w:rPr>
                <w:sz w:val="13"/>
                <w:szCs w:val="13"/>
                <w:color w:val="auto"/>
              </w:rPr>
            </w:pPr>
          </w:p>
        </w:tc>
        <w:tc>
          <w:tcPr>
            <w:tcW w:w="1440" w:type="dxa"/>
            <w:vAlign w:val="bottom"/>
            <w:gridSpan w:val="2"/>
          </w:tcPr>
          <w:p>
            <w:pPr>
              <w:jc w:val="right"/>
              <w:spacing w:after="0"/>
              <w:rPr>
                <w:sz w:val="20"/>
                <w:szCs w:val="20"/>
                <w:color w:val="auto"/>
              </w:rPr>
            </w:pPr>
            <w:r>
              <w:rPr>
                <w:rFonts w:ascii="Arial" w:cs="Arial" w:eastAsia="Arial" w:hAnsi="Arial"/>
                <w:sz w:val="12"/>
                <w:szCs w:val="12"/>
                <w:color w:val="auto"/>
              </w:rPr>
              <w:t>(110,507)</w:t>
            </w:r>
          </w:p>
        </w:tc>
        <w:tc>
          <w:tcPr>
            <w:tcW w:w="0" w:type="dxa"/>
            <w:vAlign w:val="bottom"/>
          </w:tcPr>
          <w:p>
            <w:pPr>
              <w:spacing w:after="0"/>
              <w:rPr>
                <w:sz w:val="1"/>
                <w:szCs w:val="1"/>
                <w:color w:val="auto"/>
              </w:rPr>
            </w:pPr>
          </w:p>
        </w:tc>
      </w:tr>
      <w:tr>
        <w:trPr>
          <w:trHeight w:val="153"/>
        </w:trPr>
        <w:tc>
          <w:tcPr>
            <w:tcW w:w="5160" w:type="dxa"/>
            <w:vAlign w:val="bottom"/>
          </w:tcPr>
          <w:p>
            <w:pPr>
              <w:ind w:left="80"/>
              <w:spacing w:after="0"/>
              <w:rPr>
                <w:sz w:val="20"/>
                <w:szCs w:val="20"/>
                <w:color w:val="auto"/>
              </w:rPr>
            </w:pPr>
            <w:r>
              <w:rPr>
                <w:rFonts w:ascii="Arial" w:cs="Arial" w:eastAsia="Arial" w:hAnsi="Arial"/>
                <w:sz w:val="12"/>
                <w:szCs w:val="12"/>
                <w:color w:val="auto"/>
              </w:rPr>
              <w:t>Borrowings under revolving credit facility</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7"/>
              </w:rPr>
              <w:t>30,000</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7,000</w:t>
            </w:r>
          </w:p>
        </w:tc>
        <w:tc>
          <w:tcPr>
            <w:tcW w:w="0" w:type="dxa"/>
            <w:vAlign w:val="bottom"/>
          </w:tcPr>
          <w:p>
            <w:pPr>
              <w:spacing w:after="0"/>
              <w:rPr>
                <w:sz w:val="1"/>
                <w:szCs w:val="1"/>
                <w:color w:val="auto"/>
              </w:rPr>
            </w:pPr>
          </w:p>
        </w:tc>
      </w:tr>
      <w:tr>
        <w:trPr>
          <w:trHeight w:val="153"/>
        </w:trPr>
        <w:tc>
          <w:tcPr>
            <w:tcW w:w="5160" w:type="dxa"/>
            <w:vAlign w:val="bottom"/>
          </w:tcPr>
          <w:p>
            <w:pPr>
              <w:ind w:left="80"/>
              <w:spacing w:after="0"/>
              <w:rPr>
                <w:sz w:val="20"/>
                <w:szCs w:val="20"/>
                <w:color w:val="auto"/>
              </w:rPr>
            </w:pPr>
            <w:r>
              <w:rPr>
                <w:rFonts w:ascii="Arial" w:cs="Arial" w:eastAsia="Arial" w:hAnsi="Arial"/>
                <w:sz w:val="12"/>
                <w:szCs w:val="12"/>
                <w:color w:val="auto"/>
              </w:rPr>
              <w:t>Repayments of borrowings under revolving credit facility</w:t>
            </w:r>
          </w:p>
        </w:tc>
        <w:tc>
          <w:tcPr>
            <w:tcW w:w="4580" w:type="dxa"/>
            <w:vAlign w:val="bottom"/>
            <w:gridSpan w:val="3"/>
          </w:tcPr>
          <w:p>
            <w:pPr>
              <w:jc w:val="right"/>
              <w:spacing w:after="0"/>
              <w:rPr>
                <w:sz w:val="20"/>
                <w:szCs w:val="20"/>
                <w:color w:val="auto"/>
              </w:rPr>
            </w:pPr>
            <w:r>
              <w:rPr>
                <w:rFonts w:ascii="Arial" w:cs="Arial" w:eastAsia="Arial" w:hAnsi="Arial"/>
                <w:sz w:val="12"/>
                <w:szCs w:val="12"/>
                <w:color w:val="auto"/>
              </w:rPr>
              <w:t>(15,000)</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89"/>
              </w:rPr>
              <w:t>(18,505)</w:t>
            </w:r>
          </w:p>
        </w:tc>
        <w:tc>
          <w:tcPr>
            <w:tcW w:w="0" w:type="dxa"/>
            <w:vAlign w:val="bottom"/>
          </w:tcPr>
          <w:p>
            <w:pPr>
              <w:spacing w:after="0"/>
              <w:rPr>
                <w:sz w:val="1"/>
                <w:szCs w:val="1"/>
                <w:color w:val="auto"/>
              </w:rPr>
            </w:pPr>
          </w:p>
        </w:tc>
      </w:tr>
      <w:tr>
        <w:trPr>
          <w:trHeight w:val="153"/>
        </w:trPr>
        <w:tc>
          <w:tcPr>
            <w:tcW w:w="5160" w:type="dxa"/>
            <w:vAlign w:val="bottom"/>
          </w:tcPr>
          <w:p>
            <w:pPr>
              <w:ind w:left="80"/>
              <w:spacing w:after="0"/>
              <w:rPr>
                <w:sz w:val="20"/>
                <w:szCs w:val="20"/>
                <w:color w:val="auto"/>
              </w:rPr>
            </w:pPr>
            <w:r>
              <w:rPr>
                <w:rFonts w:ascii="Arial" w:cs="Arial" w:eastAsia="Arial" w:hAnsi="Arial"/>
                <w:sz w:val="12"/>
                <w:szCs w:val="12"/>
                <w:color w:val="auto"/>
              </w:rPr>
              <w:t>Proceeds from the issuance of redeemable senior preferred stock, net of discount</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82"/>
              </w:rPr>
              <w:t>219,062</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160" w:type="dxa"/>
            <w:vAlign w:val="bottom"/>
          </w:tcPr>
          <w:p>
            <w:pPr>
              <w:ind w:left="80"/>
              <w:spacing w:after="0"/>
              <w:rPr>
                <w:sz w:val="20"/>
                <w:szCs w:val="20"/>
                <w:color w:val="auto"/>
              </w:rPr>
            </w:pPr>
            <w:r>
              <w:rPr>
                <w:rFonts w:ascii="Arial" w:cs="Arial" w:eastAsia="Arial" w:hAnsi="Arial"/>
                <w:sz w:val="12"/>
                <w:szCs w:val="12"/>
                <w:color w:val="auto"/>
              </w:rPr>
              <w:t>Redeemable senior preferred stock issuance fees and costs</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4"/>
              </w:rPr>
              <w:t>(8,098)</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160" w:type="dxa"/>
            <w:vAlign w:val="bottom"/>
          </w:tcPr>
          <w:p>
            <w:pPr>
              <w:ind w:left="80"/>
              <w:spacing w:after="0"/>
              <w:rPr>
                <w:sz w:val="20"/>
                <w:szCs w:val="20"/>
                <w:color w:val="auto"/>
              </w:rPr>
            </w:pPr>
            <w:r>
              <w:rPr>
                <w:rFonts w:ascii="Arial" w:cs="Arial" w:eastAsia="Arial" w:hAnsi="Arial"/>
                <w:sz w:val="12"/>
                <w:szCs w:val="12"/>
                <w:color w:val="auto"/>
              </w:rPr>
              <w:t>Redemption of redeemable NCI in subsidiary</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(5,654)</w:t>
            </w:r>
          </w:p>
        </w:tc>
        <w:tc>
          <w:tcPr>
            <w:tcW w:w="0" w:type="dxa"/>
            <w:vAlign w:val="bottom"/>
          </w:tcPr>
          <w:p>
            <w:pPr>
              <w:spacing w:after="0"/>
              <w:rPr>
                <w:sz w:val="1"/>
                <w:szCs w:val="1"/>
                <w:color w:val="auto"/>
              </w:rPr>
            </w:pPr>
          </w:p>
        </w:tc>
      </w:tr>
      <w:tr>
        <w:trPr>
          <w:trHeight w:val="153"/>
        </w:trPr>
        <w:tc>
          <w:tcPr>
            <w:tcW w:w="5160" w:type="dxa"/>
            <w:vAlign w:val="bottom"/>
          </w:tcPr>
          <w:p>
            <w:pPr>
              <w:ind w:left="80"/>
              <w:spacing w:after="0"/>
              <w:rPr>
                <w:sz w:val="20"/>
                <w:szCs w:val="20"/>
                <w:color w:val="auto"/>
              </w:rPr>
            </w:pPr>
            <w:r>
              <w:rPr>
                <w:rFonts w:ascii="Arial" w:cs="Arial" w:eastAsia="Arial" w:hAnsi="Arial"/>
                <w:sz w:val="12"/>
                <w:szCs w:val="12"/>
                <w:color w:val="auto"/>
              </w:rPr>
              <w:t>Repurchases of common stock and shares withheld for taxes</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4"/>
              </w:rPr>
              <w:t>(1,703)</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160" w:type="dxa"/>
            <w:vAlign w:val="bottom"/>
          </w:tcPr>
          <w:p>
            <w:pPr>
              <w:ind w:left="80"/>
              <w:spacing w:after="0"/>
              <w:rPr>
                <w:sz w:val="20"/>
                <w:szCs w:val="20"/>
                <w:color w:val="auto"/>
              </w:rPr>
            </w:pPr>
            <w:r>
              <w:rPr>
                <w:rFonts w:ascii="Arial" w:cs="Arial" w:eastAsia="Arial" w:hAnsi="Arial"/>
                <w:sz w:val="12"/>
                <w:szCs w:val="12"/>
                <w:color w:val="auto"/>
              </w:rPr>
              <w:t>Dividends paid to redeemable senior preferred stockholders</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4"/>
              </w:rPr>
              <w:t>(7,460)</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160" w:type="dxa"/>
            <w:vAlign w:val="bottom"/>
          </w:tcPr>
          <w:p>
            <w:pPr>
              <w:ind w:left="80"/>
              <w:spacing w:after="0"/>
              <w:rPr>
                <w:sz w:val="20"/>
                <w:szCs w:val="20"/>
                <w:color w:val="auto"/>
              </w:rPr>
            </w:pPr>
            <w:r>
              <w:rPr>
                <w:rFonts w:ascii="Arial" w:cs="Arial" w:eastAsia="Arial" w:hAnsi="Arial"/>
                <w:sz w:val="12"/>
                <w:szCs w:val="12"/>
                <w:color w:val="auto"/>
              </w:rPr>
              <w:t>Profit distributions to redeemable non-controlling interests of subsidiaries</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(815)</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89"/>
              </w:rPr>
              <w:t>(45,398)</w:t>
            </w:r>
          </w:p>
        </w:tc>
        <w:tc>
          <w:tcPr>
            <w:tcW w:w="0" w:type="dxa"/>
            <w:vAlign w:val="bottom"/>
          </w:tcPr>
          <w:p>
            <w:pPr>
              <w:spacing w:after="0"/>
              <w:rPr>
                <w:sz w:val="1"/>
                <w:szCs w:val="1"/>
                <w:color w:val="auto"/>
              </w:rPr>
            </w:pPr>
          </w:p>
        </w:tc>
      </w:tr>
      <w:tr>
        <w:trPr>
          <w:trHeight w:val="153"/>
        </w:trPr>
        <w:tc>
          <w:tcPr>
            <w:tcW w:w="5160" w:type="dxa"/>
            <w:vAlign w:val="bottom"/>
          </w:tcPr>
          <w:p>
            <w:pPr>
              <w:ind w:left="80"/>
              <w:spacing w:after="0"/>
              <w:rPr>
                <w:sz w:val="20"/>
                <w:szCs w:val="20"/>
                <w:color w:val="auto"/>
              </w:rPr>
            </w:pPr>
            <w:r>
              <w:rPr>
                <w:rFonts w:ascii="Arial" w:cs="Arial" w:eastAsia="Arial" w:hAnsi="Arial"/>
                <w:sz w:val="12"/>
                <w:szCs w:val="12"/>
                <w:color w:val="auto"/>
              </w:rPr>
              <w:t>Proceeds from exercise of stock options</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1,196</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160" w:type="dxa"/>
            <w:vAlign w:val="bottom"/>
          </w:tcPr>
          <w:p>
            <w:pPr>
              <w:ind w:left="80"/>
              <w:spacing w:after="0"/>
              <w:rPr>
                <w:sz w:val="20"/>
                <w:szCs w:val="20"/>
                <w:color w:val="auto"/>
              </w:rPr>
            </w:pPr>
            <w:r>
              <w:rPr>
                <w:rFonts w:ascii="Arial" w:cs="Arial" w:eastAsia="Arial" w:hAnsi="Arial"/>
                <w:sz w:val="12"/>
                <w:szCs w:val="12"/>
                <w:color w:val="auto"/>
              </w:rPr>
              <w:t>Settlement and customer accounts obligations, net</w:t>
            </w:r>
          </w:p>
        </w:tc>
        <w:tc>
          <w:tcPr>
            <w:tcW w:w="31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2"/>
              </w:rPr>
              <w:t>417,627</w:t>
            </w:r>
          </w:p>
        </w:tc>
        <w:tc>
          <w:tcPr>
            <w:tcW w:w="1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34,870</w:t>
            </w:r>
          </w:p>
        </w:tc>
        <w:tc>
          <w:tcPr>
            <w:tcW w:w="0" w:type="dxa"/>
            <w:vAlign w:val="bottom"/>
          </w:tcPr>
          <w:p>
            <w:pPr>
              <w:spacing w:after="0"/>
              <w:rPr>
                <w:sz w:val="1"/>
                <w:szCs w:val="1"/>
                <w:color w:val="auto"/>
              </w:rPr>
            </w:pPr>
          </w:p>
        </w:tc>
      </w:tr>
      <w:tr>
        <w:trPr>
          <w:trHeight w:val="138"/>
        </w:trPr>
        <w:tc>
          <w:tcPr>
            <w:tcW w:w="5160" w:type="dxa"/>
            <w:vAlign w:val="bottom"/>
          </w:tcPr>
          <w:p>
            <w:pPr>
              <w:ind w:left="220"/>
              <w:spacing w:after="0"/>
              <w:rPr>
                <w:sz w:val="20"/>
                <w:szCs w:val="20"/>
                <w:color w:val="auto"/>
              </w:rPr>
            </w:pPr>
            <w:r>
              <w:rPr>
                <w:rFonts w:ascii="Arial" w:cs="Arial" w:eastAsia="Arial" w:hAnsi="Arial"/>
                <w:sz w:val="12"/>
                <w:szCs w:val="12"/>
                <w:b w:val="1"/>
                <w:bCs w:val="1"/>
                <w:color w:val="auto"/>
              </w:rPr>
              <w:t>Net cash provided by (used in) financing activities</w:t>
            </w:r>
          </w:p>
        </w:tc>
        <w:tc>
          <w:tcPr>
            <w:tcW w:w="3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auto"/>
                <w:w w:val="82"/>
              </w:rPr>
              <w:t>871,629</w:t>
            </w:r>
          </w:p>
        </w:tc>
        <w:tc>
          <w:tcPr>
            <w:tcW w:w="120" w:type="dxa"/>
            <w:vAlign w:val="bottom"/>
          </w:tcPr>
          <w:p>
            <w:pPr>
              <w:spacing w:after="0"/>
              <w:rPr>
                <w:sz w:val="12"/>
                <w:szCs w:val="12"/>
                <w:color w:val="auto"/>
              </w:rPr>
            </w:pPr>
          </w:p>
        </w:tc>
        <w:tc>
          <w:tcPr>
            <w:tcW w:w="1440" w:type="dxa"/>
            <w:vAlign w:val="bottom"/>
            <w:gridSpan w:val="2"/>
          </w:tcPr>
          <w:p>
            <w:pPr>
              <w:jc w:val="right"/>
              <w:spacing w:after="0"/>
              <w:rPr>
                <w:sz w:val="20"/>
                <w:szCs w:val="20"/>
                <w:color w:val="auto"/>
              </w:rPr>
            </w:pPr>
            <w:r>
              <w:rPr>
                <w:rFonts w:ascii="Arial" w:cs="Arial" w:eastAsia="Arial" w:hAnsi="Arial"/>
                <w:sz w:val="12"/>
                <w:szCs w:val="12"/>
                <w:b w:val="1"/>
                <w:bCs w:val="1"/>
                <w:color w:val="auto"/>
              </w:rPr>
              <w:t>(140,943)</w:t>
            </w:r>
          </w:p>
        </w:tc>
        <w:tc>
          <w:tcPr>
            <w:tcW w:w="0" w:type="dxa"/>
            <w:vAlign w:val="bottom"/>
          </w:tcPr>
          <w:p>
            <w:pPr>
              <w:spacing w:after="0"/>
              <w:rPr>
                <w:sz w:val="1"/>
                <w:szCs w:val="1"/>
                <w:color w:val="auto"/>
              </w:rPr>
            </w:pPr>
          </w:p>
        </w:tc>
      </w:tr>
      <w:tr>
        <w:trPr>
          <w:trHeight w:val="157"/>
        </w:trPr>
        <w:tc>
          <w:tcPr>
            <w:tcW w:w="5160" w:type="dxa"/>
            <w:vAlign w:val="bottom"/>
          </w:tcPr>
          <w:p>
            <w:pPr>
              <w:ind w:left="20"/>
              <w:spacing w:after="0"/>
              <w:rPr>
                <w:sz w:val="20"/>
                <w:szCs w:val="20"/>
                <w:color w:val="auto"/>
              </w:rPr>
            </w:pPr>
            <w:r>
              <w:rPr>
                <w:rFonts w:ascii="Arial" w:cs="Arial" w:eastAsia="Arial" w:hAnsi="Arial"/>
                <w:sz w:val="12"/>
                <w:szCs w:val="12"/>
                <w:b w:val="1"/>
                <w:bCs w:val="1"/>
                <w:color w:val="auto"/>
              </w:rPr>
              <w:t>Net change in cash and cash equivalents, and restricted cash:</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60" w:type="dxa"/>
            <w:vAlign w:val="bottom"/>
          </w:tcPr>
          <w:p>
            <w:pPr>
              <w:ind w:left="80"/>
              <w:spacing w:after="0"/>
              <w:rPr>
                <w:sz w:val="20"/>
                <w:szCs w:val="20"/>
                <w:color w:val="auto"/>
              </w:rPr>
            </w:pPr>
            <w:r>
              <w:rPr>
                <w:rFonts w:ascii="Arial" w:cs="Arial" w:eastAsia="Arial" w:hAnsi="Arial"/>
                <w:sz w:val="12"/>
                <w:szCs w:val="12"/>
                <w:color w:val="auto"/>
              </w:rPr>
              <w:t>Net increase in cash and cash equivalents, and restricted cash</w:t>
            </w:r>
          </w:p>
        </w:tc>
        <w:tc>
          <w:tcPr>
            <w:tcW w:w="3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82"/>
              </w:rPr>
              <w:t>429,973</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37,655</w:t>
            </w:r>
          </w:p>
        </w:tc>
        <w:tc>
          <w:tcPr>
            <w:tcW w:w="0" w:type="dxa"/>
            <w:vAlign w:val="bottom"/>
          </w:tcPr>
          <w:p>
            <w:pPr>
              <w:spacing w:after="0"/>
              <w:rPr>
                <w:sz w:val="1"/>
                <w:szCs w:val="1"/>
                <w:color w:val="auto"/>
              </w:rPr>
            </w:pPr>
          </w:p>
        </w:tc>
      </w:tr>
      <w:tr>
        <w:trPr>
          <w:trHeight w:val="153"/>
        </w:trPr>
        <w:tc>
          <w:tcPr>
            <w:tcW w:w="5160" w:type="dxa"/>
            <w:vAlign w:val="bottom"/>
          </w:tcPr>
          <w:p>
            <w:pPr>
              <w:ind w:left="80"/>
              <w:spacing w:after="0"/>
              <w:rPr>
                <w:sz w:val="20"/>
                <w:szCs w:val="20"/>
                <w:color w:val="auto"/>
              </w:rPr>
            </w:pPr>
            <w:r>
              <w:rPr>
                <w:rFonts w:ascii="Arial" w:cs="Arial" w:eastAsia="Arial" w:hAnsi="Arial"/>
                <w:sz w:val="12"/>
                <w:szCs w:val="12"/>
                <w:color w:val="auto"/>
              </w:rPr>
              <w:t>Cash and cash equivalents, and restricted cash at beginning of period</w:t>
            </w:r>
          </w:p>
        </w:tc>
        <w:tc>
          <w:tcPr>
            <w:tcW w:w="31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88,120</w:t>
            </w:r>
          </w:p>
        </w:tc>
        <w:tc>
          <w:tcPr>
            <w:tcW w:w="1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50,465</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20"/>
                <w:szCs w:val="20"/>
                <w:color w:val="auto"/>
              </w:rPr>
            </w:pPr>
            <w:r>
              <w:rPr>
                <w:rFonts w:ascii="Arial" w:cs="Arial" w:eastAsia="Arial" w:hAnsi="Arial"/>
                <w:sz w:val="12"/>
                <w:szCs w:val="12"/>
                <w:b w:val="1"/>
                <w:bCs w:val="1"/>
                <w:color w:val="auto"/>
              </w:rPr>
              <w:t>Cash and cash equivalents, and restricted cash equivalents at end of period</w:t>
            </w:r>
          </w:p>
        </w:tc>
        <w:tc>
          <w:tcPr>
            <w:tcW w:w="3140" w:type="dxa"/>
            <w:vAlign w:val="bottom"/>
          </w:tcPr>
          <w:p>
            <w:pPr>
              <w:spacing w:after="0"/>
              <w:rPr>
                <w:sz w:val="12"/>
                <w:szCs w:val="12"/>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2"/>
              </w:rPr>
              <w:t>518,093</w:t>
            </w: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88,120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140" w:type="dxa"/>
            <w:vAlign w:val="bottom"/>
            <w:vMerge w:val="restart"/>
          </w:tcPr>
          <w:p>
            <w:pPr>
              <w:jc w:val="right"/>
              <w:ind w:right="2540"/>
              <w:spacing w:after="0"/>
              <w:rPr>
                <w:sz w:val="20"/>
                <w:szCs w:val="20"/>
                <w:color w:val="auto"/>
              </w:rPr>
            </w:pPr>
            <w:r>
              <w:rPr>
                <w:rFonts w:ascii="Arial" w:cs="Arial" w:eastAsia="Arial" w:hAnsi="Arial"/>
                <w:sz w:val="12"/>
                <w:szCs w:val="12"/>
                <w:color w:val="auto"/>
              </w:rPr>
              <w:t>10</w:t>
            </w: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16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67" w:right="29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4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2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2"/>
                <w:szCs w:val="12"/>
                <w:b w:val="1"/>
                <w:bCs w:val="1"/>
                <w:color w:val="auto"/>
              </w:rPr>
              <w:t>Years Ended December 31,</w:t>
            </w: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40" w:type="dxa"/>
            <w:vAlign w:val="bottom"/>
            <w:vMerge w:val="restart"/>
          </w:tcPr>
          <w:p>
            <w:pPr>
              <w:spacing w:after="0"/>
              <w:rPr>
                <w:sz w:val="20"/>
                <w:szCs w:val="20"/>
                <w:color w:val="auto"/>
              </w:rPr>
            </w:pPr>
            <w:r>
              <w:rPr>
                <w:rFonts w:ascii="Arial" w:cs="Arial" w:eastAsia="Arial" w:hAnsi="Arial"/>
                <w:sz w:val="12"/>
                <w:szCs w:val="12"/>
                <w:b w:val="1"/>
                <w:bCs w:val="1"/>
                <w:color w:val="auto"/>
              </w:rPr>
              <w:t>Reconciliation of cash and cash equivalents, and restricted cash:</w:t>
            </w:r>
          </w:p>
        </w:tc>
        <w:tc>
          <w:tcPr>
            <w:tcW w:w="40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1460" w:type="dxa"/>
            <w:vAlign w:val="bottom"/>
            <w:gridSpan w:val="3"/>
          </w:tcPr>
          <w:p>
            <w:pPr>
              <w:jc w:val="right"/>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440" w:type="dxa"/>
            <w:vAlign w:val="bottom"/>
            <w:vMerge w:val="continue"/>
          </w:tcPr>
          <w:p>
            <w:pPr>
              <w:spacing w:after="0"/>
              <w:rPr>
                <w:sz w:val="11"/>
                <w:szCs w:val="11"/>
                <w:color w:val="auto"/>
              </w:rPr>
            </w:pPr>
          </w:p>
        </w:tc>
        <w:tc>
          <w:tcPr>
            <w:tcW w:w="40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40" w:type="dxa"/>
            <w:vAlign w:val="bottom"/>
          </w:tcPr>
          <w:p>
            <w:pPr>
              <w:ind w:left="80"/>
              <w:spacing w:after="0"/>
              <w:rPr>
                <w:sz w:val="20"/>
                <w:szCs w:val="20"/>
                <w:color w:val="auto"/>
              </w:rPr>
            </w:pPr>
            <w:r>
              <w:rPr>
                <w:rFonts w:ascii="Arial" w:cs="Arial" w:eastAsia="Arial" w:hAnsi="Arial"/>
                <w:sz w:val="12"/>
                <w:szCs w:val="12"/>
                <w:color w:val="auto"/>
              </w:rPr>
              <w:t>Cash and cash equivalents</w:t>
            </w:r>
          </w:p>
        </w:tc>
        <w:tc>
          <w:tcPr>
            <w:tcW w:w="4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w w:val="95"/>
              </w:rPr>
              <w:t>$  20,300</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9,241</w:t>
            </w:r>
          </w:p>
        </w:tc>
        <w:tc>
          <w:tcPr>
            <w:tcW w:w="0" w:type="dxa"/>
            <w:vAlign w:val="bottom"/>
          </w:tcPr>
          <w:p>
            <w:pPr>
              <w:spacing w:after="0"/>
              <w:rPr>
                <w:sz w:val="1"/>
                <w:szCs w:val="1"/>
                <w:color w:val="auto"/>
              </w:rPr>
            </w:pPr>
          </w:p>
        </w:tc>
      </w:tr>
      <w:tr>
        <w:trPr>
          <w:trHeight w:val="153"/>
        </w:trPr>
        <w:tc>
          <w:tcPr>
            <w:tcW w:w="4440" w:type="dxa"/>
            <w:vAlign w:val="bottom"/>
          </w:tcPr>
          <w:p>
            <w:pPr>
              <w:ind w:left="80"/>
              <w:spacing w:after="0"/>
              <w:rPr>
                <w:sz w:val="20"/>
                <w:szCs w:val="20"/>
                <w:color w:val="auto"/>
              </w:rPr>
            </w:pPr>
            <w:r>
              <w:rPr>
                <w:rFonts w:ascii="Arial" w:cs="Arial" w:eastAsia="Arial" w:hAnsi="Arial"/>
                <w:sz w:val="12"/>
                <w:szCs w:val="12"/>
                <w:color w:val="auto"/>
              </w:rPr>
              <w:t>Restricted cash</w:t>
            </w:r>
          </w:p>
        </w:tc>
        <w:tc>
          <w:tcPr>
            <w:tcW w:w="4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28,859</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2"/>
              </w:rPr>
              <w:t>78,879</w:t>
            </w:r>
          </w:p>
        </w:tc>
        <w:tc>
          <w:tcPr>
            <w:tcW w:w="0" w:type="dxa"/>
            <w:vAlign w:val="bottom"/>
          </w:tcPr>
          <w:p>
            <w:pPr>
              <w:spacing w:after="0"/>
              <w:rPr>
                <w:sz w:val="1"/>
                <w:szCs w:val="1"/>
                <w:color w:val="auto"/>
              </w:rPr>
            </w:pPr>
          </w:p>
        </w:tc>
      </w:tr>
      <w:tr>
        <w:trPr>
          <w:trHeight w:val="153"/>
        </w:trPr>
        <w:tc>
          <w:tcPr>
            <w:tcW w:w="4440" w:type="dxa"/>
            <w:vAlign w:val="bottom"/>
          </w:tcPr>
          <w:p>
            <w:pPr>
              <w:ind w:left="80"/>
              <w:spacing w:after="0"/>
              <w:rPr>
                <w:sz w:val="20"/>
                <w:szCs w:val="20"/>
                <w:color w:val="auto"/>
              </w:rPr>
            </w:pPr>
            <w:r>
              <w:rPr>
                <w:rFonts w:ascii="Arial" w:cs="Arial" w:eastAsia="Arial" w:hAnsi="Arial"/>
                <w:sz w:val="12"/>
                <w:szCs w:val="12"/>
                <w:color w:val="auto"/>
              </w:rPr>
              <w:t>Cash and cash equivalents included in customer account balances</w:t>
            </w:r>
          </w:p>
        </w:tc>
        <w:tc>
          <w:tcPr>
            <w:tcW w:w="404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468,934</w:t>
            </w:r>
          </w:p>
        </w:tc>
        <w:tc>
          <w:tcPr>
            <w:tcW w:w="1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20"/>
                <w:szCs w:val="20"/>
                <w:color w:val="auto"/>
              </w:rPr>
            </w:pPr>
            <w:r>
              <w:rPr>
                <w:rFonts w:ascii="Arial" w:cs="Arial" w:eastAsia="Arial" w:hAnsi="Arial"/>
                <w:sz w:val="12"/>
                <w:szCs w:val="12"/>
                <w:b w:val="1"/>
                <w:bCs w:val="1"/>
                <w:color w:val="auto"/>
              </w:rPr>
              <w:t>Total cash and cash equivalents, and restricted cash</w:t>
            </w:r>
          </w:p>
        </w:tc>
        <w:tc>
          <w:tcPr>
            <w:tcW w:w="4040" w:type="dxa"/>
            <w:vAlign w:val="bottom"/>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518,093</w:t>
            </w:r>
          </w:p>
        </w:tc>
        <w:tc>
          <w:tcPr>
            <w:tcW w:w="16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2"/>
              </w:rPr>
              <w:t>88,120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040" w:type="dxa"/>
            <w:vAlign w:val="bottom"/>
            <w:vMerge w:val="restart"/>
          </w:tcPr>
          <w:p>
            <w:pPr>
              <w:jc w:val="right"/>
              <w:ind w:right="2720"/>
              <w:spacing w:after="0"/>
              <w:rPr>
                <w:sz w:val="20"/>
                <w:szCs w:val="20"/>
                <w:color w:val="auto"/>
              </w:rPr>
            </w:pPr>
            <w:r>
              <w:rPr>
                <w:rFonts w:ascii="Arial" w:cs="Arial" w:eastAsia="Arial" w:hAnsi="Arial"/>
                <w:sz w:val="12"/>
                <w:szCs w:val="12"/>
                <w:color w:val="auto"/>
              </w:rPr>
              <w:t>11</w:t>
            </w: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44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829" w:right="29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2"/>
          <w:szCs w:val="12"/>
          <w:b w:val="1"/>
          <w:bCs w:val="1"/>
          <w:color w:val="auto"/>
        </w:rPr>
        <w:t>Priority Technology Holdings,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Reportable Segments' Results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60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2860" w:type="dxa"/>
            <w:vAlign w:val="bottom"/>
            <w:tcBorders>
              <w:bottom w:val="single" w:sz="8" w:color="auto"/>
            </w:tcBorders>
            <w:gridSpan w:val="6"/>
          </w:tcPr>
          <w:p>
            <w:pPr>
              <w:ind w:left="840"/>
              <w:spacing w:after="0"/>
              <w:rPr>
                <w:sz w:val="20"/>
                <w:szCs w:val="20"/>
                <w:color w:val="auto"/>
              </w:rPr>
            </w:pPr>
            <w:r>
              <w:rPr>
                <w:rFonts w:ascii="Arial" w:cs="Arial" w:eastAsia="Arial" w:hAnsi="Arial"/>
                <w:sz w:val="12"/>
                <w:szCs w:val="12"/>
                <w:b w:val="1"/>
                <w:bCs w:val="1"/>
                <w:color w:val="auto"/>
                <w:w w:val="99"/>
              </w:rPr>
              <w:t>Three Months Ended December 31,</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2"/>
                <w:szCs w:val="12"/>
                <w:b w:val="1"/>
                <w:bCs w:val="1"/>
                <w:color w:val="auto"/>
                <w:w w:val="88"/>
              </w:rPr>
              <w:t>Years Ended December 31,</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120" w:type="dxa"/>
            <w:vAlign w:val="bottom"/>
            <w:tcBorders>
              <w:bottom w:val="single" w:sz="8" w:color="auto"/>
            </w:tcBorders>
          </w:tcPr>
          <w:p>
            <w:pPr>
              <w:ind w:left="740"/>
              <w:spacing w:after="0"/>
              <w:rPr>
                <w:sz w:val="20"/>
                <w:szCs w:val="20"/>
                <w:color w:val="auto"/>
              </w:rPr>
            </w:pPr>
            <w:r>
              <w:rPr>
                <w:rFonts w:ascii="Arial" w:cs="Arial" w:eastAsia="Arial" w:hAnsi="Arial"/>
                <w:sz w:val="12"/>
                <w:szCs w:val="12"/>
                <w:b w:val="1"/>
                <w:bCs w:val="1"/>
                <w:color w:val="auto"/>
              </w:rPr>
              <w:t>2021</w:t>
            </w: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2021</w:t>
            </w: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20"/>
                <w:szCs w:val="20"/>
                <w:color w:val="auto"/>
              </w:rPr>
            </w:pPr>
            <w:r>
              <w:rPr>
                <w:rFonts w:ascii="Arial" w:cs="Arial" w:eastAsia="Arial" w:hAnsi="Arial"/>
                <w:sz w:val="12"/>
                <w:szCs w:val="12"/>
                <w:b w:val="1"/>
                <w:bCs w:val="1"/>
                <w:color w:val="auto"/>
              </w:rPr>
              <w:t>SMB Payments:</w:t>
            </w: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00" w:type="dxa"/>
            <w:vAlign w:val="bottom"/>
          </w:tcPr>
          <w:p>
            <w:pPr>
              <w:ind w:left="80"/>
              <w:spacing w:after="0"/>
              <w:rPr>
                <w:sz w:val="20"/>
                <w:szCs w:val="20"/>
                <w:color w:val="auto"/>
              </w:rPr>
            </w:pPr>
            <w:r>
              <w:rPr>
                <w:rFonts w:ascii="Arial" w:cs="Arial" w:eastAsia="Arial" w:hAnsi="Arial"/>
                <w:sz w:val="12"/>
                <w:szCs w:val="12"/>
                <w:color w:val="auto"/>
              </w:rPr>
              <w:t>Revenue</w:t>
            </w:r>
          </w:p>
        </w:tc>
        <w:tc>
          <w:tcPr>
            <w:tcW w:w="1120" w:type="dxa"/>
            <w:vAlign w:val="bottom"/>
          </w:tcPr>
          <w:p>
            <w:pPr>
              <w:spacing w:after="0"/>
              <w:rPr>
                <w:sz w:val="13"/>
                <w:szCs w:val="13"/>
                <w:color w:val="auto"/>
              </w:rPr>
            </w:pPr>
          </w:p>
        </w:tc>
        <w:tc>
          <w:tcPr>
            <w:tcW w:w="180" w:type="dxa"/>
            <w:vAlign w:val="bottom"/>
          </w:tcPr>
          <w:p>
            <w:pPr>
              <w:jc w:val="right"/>
              <w:ind w:right="61"/>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82"/>
              </w:rPr>
              <w:t>121,482</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ind w:left="6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82"/>
              </w:rPr>
              <w:t>101,483</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87"/>
              </w:rPr>
              <w:t>475,630</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82"/>
              </w:rPr>
              <w:t>370,521</w:t>
            </w:r>
          </w:p>
        </w:tc>
        <w:tc>
          <w:tcPr>
            <w:tcW w:w="0" w:type="dxa"/>
            <w:vAlign w:val="bottom"/>
          </w:tcPr>
          <w:p>
            <w:pPr>
              <w:spacing w:after="0"/>
              <w:rPr>
                <w:sz w:val="1"/>
                <w:szCs w:val="1"/>
                <w:color w:val="auto"/>
              </w:rPr>
            </w:pPr>
          </w:p>
        </w:tc>
      </w:tr>
      <w:tr>
        <w:trPr>
          <w:trHeight w:val="153"/>
        </w:trPr>
        <w:tc>
          <w:tcPr>
            <w:tcW w:w="4600" w:type="dxa"/>
            <w:vAlign w:val="bottom"/>
          </w:tcPr>
          <w:p>
            <w:pPr>
              <w:ind w:left="80"/>
              <w:spacing w:after="0"/>
              <w:rPr>
                <w:sz w:val="20"/>
                <w:szCs w:val="20"/>
                <w:color w:val="auto"/>
              </w:rPr>
            </w:pPr>
            <w:r>
              <w:rPr>
                <w:rFonts w:ascii="Arial" w:cs="Arial" w:eastAsia="Arial" w:hAnsi="Arial"/>
                <w:sz w:val="12"/>
                <w:szCs w:val="12"/>
                <w:color w:val="auto"/>
              </w:rPr>
              <w:t>Operating expenses</w:t>
            </w:r>
          </w:p>
        </w:tc>
        <w:tc>
          <w:tcPr>
            <w:tcW w:w="1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82"/>
              </w:rPr>
              <w:t>110,978</w:t>
            </w:r>
          </w:p>
        </w:tc>
        <w:tc>
          <w:tcPr>
            <w:tcW w:w="10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97"/>
              </w:rPr>
              <w:t>88,855</w:t>
            </w:r>
          </w:p>
        </w:tc>
        <w:tc>
          <w:tcPr>
            <w:tcW w:w="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87"/>
              </w:rPr>
              <w:t>422,746</w:t>
            </w:r>
          </w:p>
        </w:tc>
        <w:tc>
          <w:tcPr>
            <w:tcW w:w="1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82"/>
              </w:rPr>
              <w:t>332,624</w:t>
            </w:r>
          </w:p>
        </w:tc>
        <w:tc>
          <w:tcPr>
            <w:tcW w:w="0" w:type="dxa"/>
            <w:vAlign w:val="bottom"/>
          </w:tcPr>
          <w:p>
            <w:pPr>
              <w:spacing w:after="0"/>
              <w:rPr>
                <w:sz w:val="1"/>
                <w:szCs w:val="1"/>
                <w:color w:val="auto"/>
              </w:rPr>
            </w:pPr>
          </w:p>
        </w:tc>
      </w:tr>
      <w:tr>
        <w:trPr>
          <w:trHeight w:val="142"/>
        </w:trPr>
        <w:tc>
          <w:tcPr>
            <w:tcW w:w="4600" w:type="dxa"/>
            <w:vAlign w:val="bottom"/>
          </w:tcPr>
          <w:p>
            <w:pPr>
              <w:ind w:left="80"/>
              <w:spacing w:after="0"/>
              <w:rPr>
                <w:sz w:val="20"/>
                <w:szCs w:val="20"/>
                <w:color w:val="auto"/>
              </w:rPr>
            </w:pPr>
            <w:r>
              <w:rPr>
                <w:rFonts w:ascii="Arial" w:cs="Arial" w:eastAsia="Arial" w:hAnsi="Arial"/>
                <w:sz w:val="12"/>
                <w:szCs w:val="12"/>
                <w:b w:val="1"/>
                <w:bCs w:val="1"/>
                <w:color w:val="auto"/>
              </w:rPr>
              <w:t>Operating Income</w:t>
            </w:r>
          </w:p>
        </w:tc>
        <w:tc>
          <w:tcPr>
            <w:tcW w:w="1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7"/>
              </w:rPr>
              <w:t>10,504</w:t>
            </w:r>
          </w:p>
        </w:tc>
        <w:tc>
          <w:tcPr>
            <w:tcW w:w="10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7"/>
              </w:rPr>
              <w:t>12,628</w:t>
            </w:r>
          </w:p>
        </w:tc>
        <w:tc>
          <w:tcPr>
            <w:tcW w:w="8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52,884</w:t>
            </w:r>
          </w:p>
        </w:tc>
        <w:tc>
          <w:tcPr>
            <w:tcW w:w="1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7"/>
              </w:rPr>
              <w:t>37,897</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80"/>
              <w:spacing w:after="0"/>
              <w:rPr>
                <w:sz w:val="20"/>
                <w:szCs w:val="20"/>
                <w:color w:val="auto"/>
              </w:rPr>
            </w:pPr>
            <w:r>
              <w:rPr>
                <w:rFonts w:ascii="Arial" w:cs="Arial" w:eastAsia="Arial" w:hAnsi="Arial"/>
                <w:sz w:val="12"/>
                <w:szCs w:val="12"/>
                <w:color w:val="auto"/>
              </w:rPr>
              <w:t>Operating margin</w:t>
            </w: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jc w:val="right"/>
              <w:spacing w:after="0" w:line="129" w:lineRule="exact"/>
              <w:rPr>
                <w:sz w:val="20"/>
                <w:szCs w:val="20"/>
                <w:color w:val="auto"/>
              </w:rPr>
            </w:pPr>
            <w:r>
              <w:rPr>
                <w:rFonts w:ascii="Arial" w:cs="Arial" w:eastAsia="Arial" w:hAnsi="Arial"/>
                <w:sz w:val="12"/>
                <w:szCs w:val="12"/>
                <w:color w:val="auto"/>
                <w:w w:val="83"/>
              </w:rPr>
              <w:t>8.6</w:t>
            </w:r>
          </w:p>
        </w:tc>
        <w:tc>
          <w:tcPr>
            <w:tcW w:w="2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gridSpan w:val="2"/>
          </w:tcPr>
          <w:p>
            <w:pPr>
              <w:jc w:val="center"/>
              <w:ind w:left="123"/>
              <w:spacing w:after="0" w:line="129" w:lineRule="exact"/>
              <w:rPr>
                <w:sz w:val="20"/>
                <w:szCs w:val="20"/>
                <w:color w:val="auto"/>
              </w:rPr>
            </w:pPr>
            <w:r>
              <w:rPr>
                <w:rFonts w:ascii="Arial" w:cs="Arial" w:eastAsia="Arial" w:hAnsi="Arial"/>
                <w:sz w:val="12"/>
                <w:szCs w:val="12"/>
                <w:color w:val="auto"/>
                <w:w w:val="85"/>
              </w:rPr>
              <w:t>12.4</w:t>
            </w:r>
          </w:p>
        </w:tc>
        <w:tc>
          <w:tcPr>
            <w:tcW w:w="2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11.1</w:t>
            </w:r>
          </w:p>
        </w:tc>
        <w:tc>
          <w:tcPr>
            <w:tcW w:w="20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10.2</w:t>
            </w:r>
          </w:p>
        </w:tc>
        <w:tc>
          <w:tcPr>
            <w:tcW w:w="2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60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1120" w:type="dxa"/>
            <w:vAlign w:val="bottom"/>
          </w:tcPr>
          <w:p>
            <w:pPr>
              <w:spacing w:after="0"/>
              <w:rPr>
                <w:sz w:val="13"/>
                <w:szCs w:val="13"/>
                <w:color w:val="auto"/>
              </w:rPr>
            </w:pPr>
          </w:p>
        </w:tc>
        <w:tc>
          <w:tcPr>
            <w:tcW w:w="1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97"/>
              </w:rPr>
              <w:t>11,014</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ind w:left="180"/>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9,532</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41,144</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97"/>
              </w:rPr>
              <w:t>35,627</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Arial" w:cs="Arial" w:eastAsia="Arial" w:hAnsi="Arial"/>
                <w:sz w:val="12"/>
                <w:szCs w:val="12"/>
                <w:color w:val="auto"/>
              </w:rPr>
              <w:t>Key indicators:</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00" w:type="dxa"/>
            <w:vAlign w:val="bottom"/>
          </w:tcPr>
          <w:p>
            <w:pPr>
              <w:ind w:left="80"/>
              <w:spacing w:after="0"/>
              <w:rPr>
                <w:sz w:val="20"/>
                <w:szCs w:val="20"/>
                <w:color w:val="auto"/>
              </w:rPr>
            </w:pPr>
            <w:r>
              <w:rPr>
                <w:rFonts w:ascii="Arial" w:cs="Arial" w:eastAsia="Arial" w:hAnsi="Arial"/>
                <w:sz w:val="12"/>
                <w:szCs w:val="12"/>
                <w:color w:val="auto"/>
              </w:rPr>
              <w:t>Merchant bankcard processing dollar value</w:t>
            </w:r>
          </w:p>
        </w:tc>
        <w:tc>
          <w:tcPr>
            <w:tcW w:w="1120" w:type="dxa"/>
            <w:vAlign w:val="bottom"/>
          </w:tcPr>
          <w:p>
            <w:pPr>
              <w:ind w:left="96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spacing w:after="0"/>
              <w:rPr>
                <w:sz w:val="20"/>
                <w:szCs w:val="20"/>
                <w:color w:val="auto"/>
              </w:rPr>
            </w:pPr>
            <w:r>
              <w:rPr>
                <w:rFonts w:ascii="Arial" w:cs="Arial" w:eastAsia="Arial" w:hAnsi="Arial"/>
                <w:sz w:val="12"/>
                <w:szCs w:val="12"/>
                <w:color w:val="auto"/>
                <w:w w:val="89"/>
              </w:rPr>
              <w:t>13,847,825</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spacing w:after="0"/>
              <w:rPr>
                <w:sz w:val="20"/>
                <w:szCs w:val="20"/>
                <w:color w:val="auto"/>
              </w:rPr>
            </w:pPr>
            <w:r>
              <w:rPr>
                <w:rFonts w:ascii="Arial" w:cs="Arial" w:eastAsia="Arial" w:hAnsi="Arial"/>
                <w:sz w:val="12"/>
                <w:szCs w:val="12"/>
                <w:color w:val="auto"/>
                <w:w w:val="99"/>
              </w:rPr>
              <w:t>11,070,839</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spacing w:after="0"/>
              <w:rPr>
                <w:sz w:val="20"/>
                <w:szCs w:val="20"/>
                <w:color w:val="auto"/>
              </w:rPr>
            </w:pPr>
            <w:r>
              <w:rPr>
                <w:rFonts w:ascii="Arial" w:cs="Arial" w:eastAsia="Arial" w:hAnsi="Arial"/>
                <w:sz w:val="12"/>
                <w:szCs w:val="12"/>
                <w:color w:val="auto"/>
              </w:rPr>
              <w:t>53,411,622</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spacing w:after="0"/>
              <w:rPr>
                <w:sz w:val="20"/>
                <w:szCs w:val="20"/>
                <w:color w:val="auto"/>
              </w:rPr>
            </w:pPr>
            <w:r>
              <w:rPr>
                <w:rFonts w:ascii="Arial" w:cs="Arial" w:eastAsia="Arial" w:hAnsi="Arial"/>
                <w:sz w:val="12"/>
                <w:szCs w:val="12"/>
                <w:color w:val="auto"/>
                <w:w w:val="96"/>
              </w:rPr>
              <w:t>42,020,429</w:t>
            </w:r>
          </w:p>
        </w:tc>
        <w:tc>
          <w:tcPr>
            <w:tcW w:w="0" w:type="dxa"/>
            <w:vAlign w:val="bottom"/>
          </w:tcPr>
          <w:p>
            <w:pPr>
              <w:spacing w:after="0"/>
              <w:rPr>
                <w:sz w:val="1"/>
                <w:szCs w:val="1"/>
                <w:color w:val="auto"/>
              </w:rPr>
            </w:pPr>
          </w:p>
        </w:tc>
      </w:tr>
      <w:tr>
        <w:trPr>
          <w:trHeight w:val="149"/>
        </w:trPr>
        <w:tc>
          <w:tcPr>
            <w:tcW w:w="4600" w:type="dxa"/>
            <w:vAlign w:val="bottom"/>
          </w:tcPr>
          <w:p>
            <w:pPr>
              <w:ind w:left="80"/>
              <w:spacing w:after="0"/>
              <w:rPr>
                <w:sz w:val="20"/>
                <w:szCs w:val="20"/>
                <w:color w:val="auto"/>
              </w:rPr>
            </w:pPr>
            <w:r>
              <w:rPr>
                <w:rFonts w:ascii="Arial" w:cs="Arial" w:eastAsia="Arial" w:hAnsi="Arial"/>
                <w:sz w:val="12"/>
                <w:szCs w:val="12"/>
                <w:color w:val="auto"/>
              </w:rPr>
              <w:t>Merchant bankcard transaction volume</w:t>
            </w: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82"/>
              </w:rPr>
              <w:t>147,138</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82"/>
              </w:rPr>
              <w:t>120,340</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87"/>
              </w:rPr>
              <w:t>578,102</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82"/>
              </w:rPr>
              <w:t>456,066</w:t>
            </w: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2"/>
                <w:szCs w:val="12"/>
                <w:b w:val="1"/>
                <w:bCs w:val="1"/>
                <w:color w:val="auto"/>
              </w:rPr>
              <w:t>B2B Payments:</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00" w:type="dxa"/>
            <w:vAlign w:val="bottom"/>
          </w:tcPr>
          <w:p>
            <w:pPr>
              <w:ind w:left="80"/>
              <w:spacing w:after="0"/>
              <w:rPr>
                <w:sz w:val="20"/>
                <w:szCs w:val="20"/>
                <w:color w:val="auto"/>
              </w:rPr>
            </w:pPr>
            <w:r>
              <w:rPr>
                <w:rFonts w:ascii="Arial" w:cs="Arial" w:eastAsia="Arial" w:hAnsi="Arial"/>
                <w:sz w:val="12"/>
                <w:szCs w:val="12"/>
                <w:color w:val="auto"/>
              </w:rPr>
              <w:t>Revenue</w:t>
            </w:r>
          </w:p>
        </w:tc>
        <w:tc>
          <w:tcPr>
            <w:tcW w:w="11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5,416</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ind w:left="180"/>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3,905</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17,138</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97"/>
              </w:rPr>
              <w:t>20,922</w:t>
            </w:r>
          </w:p>
        </w:tc>
        <w:tc>
          <w:tcPr>
            <w:tcW w:w="0" w:type="dxa"/>
            <w:vAlign w:val="bottom"/>
          </w:tcPr>
          <w:p>
            <w:pPr>
              <w:spacing w:after="0"/>
              <w:rPr>
                <w:sz w:val="1"/>
                <w:szCs w:val="1"/>
                <w:color w:val="auto"/>
              </w:rPr>
            </w:pPr>
          </w:p>
        </w:tc>
      </w:tr>
      <w:tr>
        <w:trPr>
          <w:trHeight w:val="153"/>
        </w:trPr>
        <w:tc>
          <w:tcPr>
            <w:tcW w:w="4600" w:type="dxa"/>
            <w:vAlign w:val="bottom"/>
          </w:tcPr>
          <w:p>
            <w:pPr>
              <w:ind w:left="80"/>
              <w:spacing w:after="0"/>
              <w:rPr>
                <w:sz w:val="20"/>
                <w:szCs w:val="20"/>
                <w:color w:val="auto"/>
              </w:rPr>
            </w:pPr>
            <w:r>
              <w:rPr>
                <w:rFonts w:ascii="Arial" w:cs="Arial" w:eastAsia="Arial" w:hAnsi="Arial"/>
                <w:sz w:val="12"/>
                <w:szCs w:val="12"/>
                <w:color w:val="auto"/>
              </w:rPr>
              <w:t>Operating expenses</w:t>
            </w:r>
          </w:p>
        </w:tc>
        <w:tc>
          <w:tcPr>
            <w:tcW w:w="1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4,865</w:t>
            </w:r>
          </w:p>
        </w:tc>
        <w:tc>
          <w:tcPr>
            <w:tcW w:w="10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4,390</w:t>
            </w:r>
          </w:p>
        </w:tc>
        <w:tc>
          <w:tcPr>
            <w:tcW w:w="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17,003</w:t>
            </w:r>
          </w:p>
        </w:tc>
        <w:tc>
          <w:tcPr>
            <w:tcW w:w="1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97"/>
              </w:rPr>
              <w:t>19,999</w:t>
            </w:r>
          </w:p>
        </w:tc>
        <w:tc>
          <w:tcPr>
            <w:tcW w:w="0" w:type="dxa"/>
            <w:vAlign w:val="bottom"/>
          </w:tcPr>
          <w:p>
            <w:pPr>
              <w:spacing w:after="0"/>
              <w:rPr>
                <w:sz w:val="1"/>
                <w:szCs w:val="1"/>
                <w:color w:val="auto"/>
              </w:rPr>
            </w:pPr>
          </w:p>
        </w:tc>
      </w:tr>
      <w:tr>
        <w:trPr>
          <w:trHeight w:val="142"/>
        </w:trPr>
        <w:tc>
          <w:tcPr>
            <w:tcW w:w="4600" w:type="dxa"/>
            <w:vAlign w:val="bottom"/>
          </w:tcPr>
          <w:p>
            <w:pPr>
              <w:ind w:left="80"/>
              <w:spacing w:after="0"/>
              <w:rPr>
                <w:sz w:val="20"/>
                <w:szCs w:val="20"/>
                <w:color w:val="auto"/>
              </w:rPr>
            </w:pPr>
            <w:r>
              <w:rPr>
                <w:rFonts w:ascii="Arial" w:cs="Arial" w:eastAsia="Arial" w:hAnsi="Arial"/>
                <w:sz w:val="12"/>
                <w:szCs w:val="12"/>
                <w:b w:val="1"/>
                <w:bCs w:val="1"/>
                <w:color w:val="auto"/>
              </w:rPr>
              <w:t>Operating income (loss)</w:t>
            </w:r>
          </w:p>
        </w:tc>
        <w:tc>
          <w:tcPr>
            <w:tcW w:w="1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8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551</w:t>
            </w:r>
          </w:p>
        </w:tc>
        <w:tc>
          <w:tcPr>
            <w:tcW w:w="10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  (485)</w:t>
            </w:r>
          </w:p>
        </w:tc>
        <w:tc>
          <w:tcPr>
            <w:tcW w:w="8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135</w:t>
            </w:r>
          </w:p>
        </w:tc>
        <w:tc>
          <w:tcPr>
            <w:tcW w:w="1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8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923</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80"/>
              <w:spacing w:after="0"/>
              <w:rPr>
                <w:sz w:val="20"/>
                <w:szCs w:val="20"/>
                <w:color w:val="auto"/>
              </w:rPr>
            </w:pPr>
            <w:r>
              <w:rPr>
                <w:rFonts w:ascii="Arial" w:cs="Arial" w:eastAsia="Arial" w:hAnsi="Arial"/>
                <w:sz w:val="12"/>
                <w:szCs w:val="12"/>
                <w:color w:val="auto"/>
              </w:rPr>
              <w:t>Operating margin</w:t>
            </w: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36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10.2</w:t>
            </w:r>
          </w:p>
        </w:tc>
        <w:tc>
          <w:tcPr>
            <w:tcW w:w="2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gridSpan w:val="2"/>
          </w:tcPr>
          <w:p>
            <w:pPr>
              <w:ind w:left="120"/>
              <w:spacing w:after="0" w:line="129" w:lineRule="exact"/>
              <w:rPr>
                <w:sz w:val="20"/>
                <w:szCs w:val="20"/>
                <w:color w:val="auto"/>
              </w:rPr>
            </w:pPr>
            <w:r>
              <w:rPr>
                <w:rFonts w:ascii="Arial" w:cs="Arial" w:eastAsia="Arial" w:hAnsi="Arial"/>
                <w:sz w:val="12"/>
                <w:szCs w:val="12"/>
                <w:color w:val="auto"/>
                <w:w w:val="89"/>
              </w:rPr>
              <w:t>(12.4)</w:t>
            </w:r>
          </w:p>
        </w:tc>
        <w:tc>
          <w:tcPr>
            <w:tcW w:w="2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jc w:val="right"/>
              <w:spacing w:after="0" w:line="129" w:lineRule="exact"/>
              <w:rPr>
                <w:sz w:val="20"/>
                <w:szCs w:val="20"/>
                <w:color w:val="auto"/>
              </w:rPr>
            </w:pPr>
            <w:r>
              <w:rPr>
                <w:rFonts w:ascii="Arial" w:cs="Arial" w:eastAsia="Arial" w:hAnsi="Arial"/>
                <w:sz w:val="12"/>
                <w:szCs w:val="12"/>
                <w:color w:val="auto"/>
                <w:w w:val="95"/>
              </w:rPr>
              <w:t>0.8</w:t>
            </w:r>
          </w:p>
        </w:tc>
        <w:tc>
          <w:tcPr>
            <w:tcW w:w="20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jc w:val="right"/>
              <w:spacing w:after="0" w:line="129" w:lineRule="exact"/>
              <w:rPr>
                <w:sz w:val="20"/>
                <w:szCs w:val="20"/>
                <w:color w:val="auto"/>
              </w:rPr>
            </w:pPr>
            <w:r>
              <w:rPr>
                <w:rFonts w:ascii="Arial" w:cs="Arial" w:eastAsia="Arial" w:hAnsi="Arial"/>
                <w:sz w:val="12"/>
                <w:szCs w:val="12"/>
                <w:color w:val="auto"/>
                <w:w w:val="83"/>
              </w:rPr>
              <w:t>4.4</w:t>
            </w:r>
          </w:p>
        </w:tc>
        <w:tc>
          <w:tcPr>
            <w:tcW w:w="2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60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74</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76</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w w:val="89"/>
              </w:rPr>
              <w:t>294</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220" w:type="dxa"/>
            <w:vAlign w:val="bottom"/>
          </w:tcPr>
          <w:p>
            <w:pPr>
              <w:jc w:val="right"/>
              <w:spacing w:after="0"/>
              <w:rPr>
                <w:sz w:val="20"/>
                <w:szCs w:val="20"/>
                <w:color w:val="auto"/>
              </w:rPr>
            </w:pPr>
            <w:r>
              <w:rPr>
                <w:rFonts w:ascii="Arial" w:cs="Arial" w:eastAsia="Arial" w:hAnsi="Arial"/>
                <w:sz w:val="12"/>
                <w:szCs w:val="12"/>
                <w:color w:val="auto"/>
                <w:w w:val="89"/>
              </w:rPr>
              <w:t>306</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Arial" w:cs="Arial" w:eastAsia="Arial" w:hAnsi="Arial"/>
                <w:sz w:val="12"/>
                <w:szCs w:val="12"/>
                <w:color w:val="auto"/>
              </w:rPr>
              <w:t>Key indicators:</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00" w:type="dxa"/>
            <w:vAlign w:val="bottom"/>
          </w:tcPr>
          <w:p>
            <w:pPr>
              <w:ind w:left="80"/>
              <w:spacing w:after="0"/>
              <w:rPr>
                <w:sz w:val="20"/>
                <w:szCs w:val="20"/>
                <w:color w:val="auto"/>
              </w:rPr>
            </w:pPr>
            <w:r>
              <w:rPr>
                <w:rFonts w:ascii="Arial" w:cs="Arial" w:eastAsia="Arial" w:hAnsi="Arial"/>
                <w:sz w:val="12"/>
                <w:szCs w:val="12"/>
                <w:color w:val="auto"/>
              </w:rPr>
              <w:t>Merchant bankcard processing dollar value</w:t>
            </w:r>
          </w:p>
        </w:tc>
        <w:tc>
          <w:tcPr>
            <w:tcW w:w="1120" w:type="dxa"/>
            <w:vAlign w:val="bottom"/>
          </w:tcPr>
          <w:p>
            <w:pPr>
              <w:spacing w:after="0"/>
              <w:rPr>
                <w:sz w:val="13"/>
                <w:szCs w:val="13"/>
                <w:color w:val="auto"/>
              </w:rPr>
            </w:pPr>
          </w:p>
        </w:tc>
        <w:tc>
          <w:tcPr>
            <w:tcW w:w="1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97"/>
              </w:rPr>
              <w:t>97,447</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ind w:left="12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97"/>
              </w:rPr>
              <w:t>53,984</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87"/>
              </w:rPr>
              <w:t>323,502</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82"/>
              </w:rPr>
              <w:t>249,779</w:t>
            </w:r>
          </w:p>
        </w:tc>
        <w:tc>
          <w:tcPr>
            <w:tcW w:w="0" w:type="dxa"/>
            <w:vAlign w:val="bottom"/>
          </w:tcPr>
          <w:p>
            <w:pPr>
              <w:spacing w:after="0"/>
              <w:rPr>
                <w:sz w:val="1"/>
                <w:szCs w:val="1"/>
                <w:color w:val="auto"/>
              </w:rPr>
            </w:pPr>
          </w:p>
        </w:tc>
      </w:tr>
      <w:tr>
        <w:trPr>
          <w:trHeight w:val="149"/>
        </w:trPr>
        <w:tc>
          <w:tcPr>
            <w:tcW w:w="4600" w:type="dxa"/>
            <w:vAlign w:val="bottom"/>
          </w:tcPr>
          <w:p>
            <w:pPr>
              <w:ind w:left="80"/>
              <w:spacing w:after="0"/>
              <w:rPr>
                <w:sz w:val="20"/>
                <w:szCs w:val="20"/>
                <w:color w:val="auto"/>
              </w:rPr>
            </w:pPr>
            <w:r>
              <w:rPr>
                <w:rFonts w:ascii="Arial" w:cs="Arial" w:eastAsia="Arial" w:hAnsi="Arial"/>
                <w:sz w:val="12"/>
                <w:szCs w:val="12"/>
                <w:color w:val="auto"/>
              </w:rPr>
              <w:t>Merchant bankcard transaction volume</w:t>
            </w: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77</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30</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w w:val="89"/>
              </w:rPr>
              <w:t>220</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w w:val="89"/>
              </w:rPr>
              <w:t>102</w:t>
            </w: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2"/>
                <w:szCs w:val="12"/>
                <w:b w:val="1"/>
                <w:bCs w:val="1"/>
                <w:color w:val="auto"/>
              </w:rPr>
              <w:t>Enterprise Payments:</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00" w:type="dxa"/>
            <w:vAlign w:val="bottom"/>
          </w:tcPr>
          <w:p>
            <w:pPr>
              <w:ind w:left="80"/>
              <w:spacing w:after="0"/>
              <w:rPr>
                <w:sz w:val="20"/>
                <w:szCs w:val="20"/>
                <w:color w:val="auto"/>
              </w:rPr>
            </w:pPr>
            <w:r>
              <w:rPr>
                <w:rFonts w:ascii="Arial" w:cs="Arial" w:eastAsia="Arial" w:hAnsi="Arial"/>
                <w:sz w:val="12"/>
                <w:szCs w:val="12"/>
                <w:color w:val="auto"/>
              </w:rPr>
              <w:t>Revenue</w:t>
            </w:r>
          </w:p>
        </w:tc>
        <w:tc>
          <w:tcPr>
            <w:tcW w:w="1120" w:type="dxa"/>
            <w:vAlign w:val="bottom"/>
          </w:tcPr>
          <w:p>
            <w:pPr>
              <w:spacing w:after="0"/>
              <w:rPr>
                <w:sz w:val="13"/>
                <w:szCs w:val="13"/>
                <w:color w:val="auto"/>
              </w:rPr>
            </w:pPr>
          </w:p>
        </w:tc>
        <w:tc>
          <w:tcPr>
            <w:tcW w:w="1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97"/>
              </w:rPr>
              <w:t>17,150</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jc w:val="center"/>
              <w:ind w:right="20"/>
              <w:spacing w:after="0"/>
              <w:rPr>
                <w:sz w:val="20"/>
                <w:szCs w:val="20"/>
                <w:color w:val="auto"/>
              </w:rPr>
            </w:pPr>
            <w:r>
              <w:rPr>
                <w:rFonts w:ascii="Arial" w:cs="Arial" w:eastAsia="Arial" w:hAnsi="Arial"/>
                <w:sz w:val="12"/>
                <w:szCs w:val="12"/>
                <w:color w:val="auto"/>
                <w:w w:val="89"/>
              </w:rPr>
              <w:t>$</w:t>
            </w:r>
          </w:p>
        </w:tc>
        <w:tc>
          <w:tcPr>
            <w:tcW w:w="220" w:type="dxa"/>
            <w:vAlign w:val="bottom"/>
          </w:tcPr>
          <w:p>
            <w:pPr>
              <w:jc w:val="right"/>
              <w:spacing w:after="0"/>
              <w:rPr>
                <w:sz w:val="20"/>
                <w:szCs w:val="20"/>
                <w:color w:val="auto"/>
              </w:rPr>
            </w:pPr>
            <w:r>
              <w:rPr>
                <w:rFonts w:ascii="Arial" w:cs="Arial" w:eastAsia="Arial" w:hAnsi="Arial"/>
                <w:sz w:val="12"/>
                <w:szCs w:val="12"/>
                <w:color w:val="auto"/>
                <w:w w:val="89"/>
              </w:rPr>
              <w:t>703</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22,133</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97"/>
              </w:rPr>
              <w:t>12,899</w:t>
            </w:r>
          </w:p>
        </w:tc>
        <w:tc>
          <w:tcPr>
            <w:tcW w:w="0" w:type="dxa"/>
            <w:vAlign w:val="bottom"/>
          </w:tcPr>
          <w:p>
            <w:pPr>
              <w:spacing w:after="0"/>
              <w:rPr>
                <w:sz w:val="1"/>
                <w:szCs w:val="1"/>
                <w:color w:val="auto"/>
              </w:rPr>
            </w:pPr>
          </w:p>
        </w:tc>
      </w:tr>
      <w:tr>
        <w:trPr>
          <w:trHeight w:val="153"/>
        </w:trPr>
        <w:tc>
          <w:tcPr>
            <w:tcW w:w="4600" w:type="dxa"/>
            <w:vAlign w:val="bottom"/>
          </w:tcPr>
          <w:p>
            <w:pPr>
              <w:ind w:left="80"/>
              <w:spacing w:after="0"/>
              <w:rPr>
                <w:sz w:val="20"/>
                <w:szCs w:val="20"/>
                <w:color w:val="auto"/>
              </w:rPr>
            </w:pPr>
            <w:r>
              <w:rPr>
                <w:rFonts w:ascii="Arial" w:cs="Arial" w:eastAsia="Arial" w:hAnsi="Arial"/>
                <w:sz w:val="12"/>
                <w:szCs w:val="12"/>
                <w:color w:val="auto"/>
              </w:rPr>
              <w:t>Operating expenses</w:t>
            </w:r>
          </w:p>
        </w:tc>
        <w:tc>
          <w:tcPr>
            <w:tcW w:w="1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97"/>
              </w:rPr>
              <w:t>11,952</w:t>
            </w:r>
          </w:p>
        </w:tc>
        <w:tc>
          <w:tcPr>
            <w:tcW w:w="10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color w:val="auto"/>
                <w:w w:val="8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523</w:t>
            </w:r>
          </w:p>
        </w:tc>
        <w:tc>
          <w:tcPr>
            <w:tcW w:w="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15,370</w:t>
            </w:r>
          </w:p>
        </w:tc>
        <w:tc>
          <w:tcPr>
            <w:tcW w:w="1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97"/>
              </w:rPr>
              <w:t>11,000</w:t>
            </w:r>
          </w:p>
        </w:tc>
        <w:tc>
          <w:tcPr>
            <w:tcW w:w="0" w:type="dxa"/>
            <w:vAlign w:val="bottom"/>
          </w:tcPr>
          <w:p>
            <w:pPr>
              <w:spacing w:after="0"/>
              <w:rPr>
                <w:sz w:val="1"/>
                <w:szCs w:val="1"/>
                <w:color w:val="auto"/>
              </w:rPr>
            </w:pPr>
          </w:p>
        </w:tc>
      </w:tr>
      <w:tr>
        <w:trPr>
          <w:trHeight w:val="142"/>
        </w:trPr>
        <w:tc>
          <w:tcPr>
            <w:tcW w:w="4600" w:type="dxa"/>
            <w:vAlign w:val="bottom"/>
          </w:tcPr>
          <w:p>
            <w:pPr>
              <w:ind w:left="80"/>
              <w:spacing w:after="0"/>
              <w:rPr>
                <w:sz w:val="20"/>
                <w:szCs w:val="20"/>
                <w:color w:val="auto"/>
              </w:rPr>
            </w:pPr>
            <w:r>
              <w:rPr>
                <w:rFonts w:ascii="Arial" w:cs="Arial" w:eastAsia="Arial" w:hAnsi="Arial"/>
                <w:sz w:val="12"/>
                <w:szCs w:val="12"/>
                <w:b w:val="1"/>
                <w:bCs w:val="1"/>
                <w:color w:val="auto"/>
              </w:rPr>
              <w:t>Operating Income</w:t>
            </w:r>
          </w:p>
        </w:tc>
        <w:tc>
          <w:tcPr>
            <w:tcW w:w="1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5,198</w:t>
            </w:r>
          </w:p>
        </w:tc>
        <w:tc>
          <w:tcPr>
            <w:tcW w:w="10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8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180</w:t>
            </w:r>
          </w:p>
        </w:tc>
        <w:tc>
          <w:tcPr>
            <w:tcW w:w="8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6,763</w:t>
            </w:r>
          </w:p>
        </w:tc>
        <w:tc>
          <w:tcPr>
            <w:tcW w:w="1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1,899</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80"/>
              <w:spacing w:after="0"/>
              <w:rPr>
                <w:sz w:val="20"/>
                <w:szCs w:val="20"/>
                <w:color w:val="auto"/>
              </w:rPr>
            </w:pPr>
            <w:r>
              <w:rPr>
                <w:rFonts w:ascii="Arial" w:cs="Arial" w:eastAsia="Arial" w:hAnsi="Arial"/>
                <w:sz w:val="12"/>
                <w:szCs w:val="12"/>
                <w:color w:val="auto"/>
              </w:rPr>
              <w:t>Operating margin</w:t>
            </w: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36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30.3</w:t>
            </w:r>
          </w:p>
        </w:tc>
        <w:tc>
          <w:tcPr>
            <w:tcW w:w="2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gridSpan w:val="2"/>
          </w:tcPr>
          <w:p>
            <w:pPr>
              <w:jc w:val="center"/>
              <w:ind w:left="123"/>
              <w:spacing w:after="0" w:line="129" w:lineRule="exact"/>
              <w:rPr>
                <w:sz w:val="20"/>
                <w:szCs w:val="20"/>
                <w:color w:val="auto"/>
              </w:rPr>
            </w:pPr>
            <w:r>
              <w:rPr>
                <w:rFonts w:ascii="Arial" w:cs="Arial" w:eastAsia="Arial" w:hAnsi="Arial"/>
                <w:sz w:val="12"/>
                <w:szCs w:val="12"/>
                <w:color w:val="auto"/>
                <w:w w:val="85"/>
              </w:rPr>
              <w:t>25.6</w:t>
            </w:r>
          </w:p>
        </w:tc>
        <w:tc>
          <w:tcPr>
            <w:tcW w:w="2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30.6</w:t>
            </w:r>
          </w:p>
        </w:tc>
        <w:tc>
          <w:tcPr>
            <w:tcW w:w="20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14.7</w:t>
            </w:r>
          </w:p>
        </w:tc>
        <w:tc>
          <w:tcPr>
            <w:tcW w:w="2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60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11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6,219</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7,158</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3,674</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Arial" w:cs="Arial" w:eastAsia="Arial" w:hAnsi="Arial"/>
                <w:sz w:val="12"/>
                <w:szCs w:val="12"/>
                <w:color w:val="auto"/>
              </w:rPr>
              <w:t>Key indicators:</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00" w:type="dxa"/>
            <w:vAlign w:val="bottom"/>
          </w:tcPr>
          <w:p>
            <w:pPr>
              <w:ind w:left="80"/>
              <w:spacing w:after="0"/>
              <w:rPr>
                <w:sz w:val="20"/>
                <w:szCs w:val="20"/>
                <w:color w:val="auto"/>
              </w:rPr>
            </w:pPr>
            <w:r>
              <w:rPr>
                <w:rFonts w:ascii="Arial" w:cs="Arial" w:eastAsia="Arial" w:hAnsi="Arial"/>
                <w:sz w:val="12"/>
                <w:szCs w:val="12"/>
                <w:color w:val="auto"/>
              </w:rPr>
              <w:t>Merchant bankcard processing dollar value</w:t>
            </w:r>
          </w:p>
        </w:tc>
        <w:tc>
          <w:tcPr>
            <w:tcW w:w="1120" w:type="dxa"/>
            <w:vAlign w:val="bottom"/>
          </w:tcPr>
          <w:p>
            <w:pPr>
              <w:spacing w:after="0"/>
              <w:rPr>
                <w:sz w:val="13"/>
                <w:szCs w:val="13"/>
                <w:color w:val="auto"/>
              </w:rPr>
            </w:pPr>
          </w:p>
        </w:tc>
        <w:tc>
          <w:tcPr>
            <w:tcW w:w="1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97"/>
              </w:rPr>
              <w:t>13,573</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ind w:left="12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97"/>
              </w:rPr>
              <w:t>11,857</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52,376</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97"/>
              </w:rPr>
              <w:t>46,542</w:t>
            </w:r>
          </w:p>
        </w:tc>
        <w:tc>
          <w:tcPr>
            <w:tcW w:w="0" w:type="dxa"/>
            <w:vAlign w:val="bottom"/>
          </w:tcPr>
          <w:p>
            <w:pPr>
              <w:spacing w:after="0"/>
              <w:rPr>
                <w:sz w:val="1"/>
                <w:szCs w:val="1"/>
                <w:color w:val="auto"/>
              </w:rPr>
            </w:pPr>
          </w:p>
        </w:tc>
      </w:tr>
      <w:tr>
        <w:trPr>
          <w:trHeight w:val="153"/>
        </w:trPr>
        <w:tc>
          <w:tcPr>
            <w:tcW w:w="4600" w:type="dxa"/>
            <w:vAlign w:val="bottom"/>
          </w:tcPr>
          <w:p>
            <w:pPr>
              <w:ind w:left="80"/>
              <w:spacing w:after="0"/>
              <w:rPr>
                <w:sz w:val="20"/>
                <w:szCs w:val="20"/>
                <w:color w:val="auto"/>
              </w:rPr>
            </w:pPr>
            <w:r>
              <w:rPr>
                <w:rFonts w:ascii="Arial" w:cs="Arial" w:eastAsia="Arial" w:hAnsi="Arial"/>
                <w:sz w:val="12"/>
                <w:szCs w:val="12"/>
                <w:color w:val="auto"/>
              </w:rPr>
              <w:t>Merchant bankcard transaction volume</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w w:val="89"/>
              </w:rPr>
              <w:t>144</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w w:val="89"/>
              </w:rPr>
              <w:t>113</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w w:val="89"/>
              </w:rPr>
              <w:t>549</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w w:val="89"/>
              </w:rPr>
              <w:t>487</w:t>
            </w:r>
          </w:p>
        </w:tc>
        <w:tc>
          <w:tcPr>
            <w:tcW w:w="0" w:type="dxa"/>
            <w:vAlign w:val="bottom"/>
          </w:tcPr>
          <w:p>
            <w:pPr>
              <w:spacing w:after="0"/>
              <w:rPr>
                <w:sz w:val="1"/>
                <w:szCs w:val="1"/>
                <w:color w:val="auto"/>
              </w:rPr>
            </w:pPr>
          </w:p>
        </w:tc>
      </w:tr>
      <w:tr>
        <w:trPr>
          <w:trHeight w:val="324"/>
        </w:trPr>
        <w:tc>
          <w:tcPr>
            <w:tcW w:w="4600" w:type="dxa"/>
            <w:vAlign w:val="bottom"/>
          </w:tcPr>
          <w:p>
            <w:pPr>
              <w:spacing w:after="0"/>
              <w:rPr>
                <w:sz w:val="20"/>
                <w:szCs w:val="20"/>
                <w:color w:val="auto"/>
              </w:rPr>
            </w:pPr>
            <w:r>
              <w:rPr>
                <w:rFonts w:ascii="Arial" w:cs="Arial" w:eastAsia="Arial" w:hAnsi="Arial"/>
                <w:sz w:val="12"/>
                <w:szCs w:val="12"/>
                <w:b w:val="1"/>
                <w:bCs w:val="1"/>
                <w:color w:val="auto"/>
              </w:rPr>
              <w:t>Operating income of reportable segments</w:t>
            </w:r>
          </w:p>
        </w:tc>
        <w:tc>
          <w:tcPr>
            <w:tcW w:w="1120" w:type="dxa"/>
            <w:vAlign w:val="bottom"/>
          </w:tcPr>
          <w:p>
            <w:pPr>
              <w:spacing w:after="0"/>
              <w:rPr>
                <w:sz w:val="24"/>
                <w:szCs w:val="24"/>
                <w:color w:val="auto"/>
              </w:rPr>
            </w:pPr>
          </w:p>
        </w:tc>
        <w:tc>
          <w:tcPr>
            <w:tcW w:w="1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97"/>
              </w:rPr>
              <w:t>16,253</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ind w:left="12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97"/>
              </w:rPr>
              <w:t>12,323</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59,782</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97"/>
              </w:rPr>
              <w:t>40,719</w:t>
            </w:r>
          </w:p>
        </w:tc>
        <w:tc>
          <w:tcPr>
            <w:tcW w:w="0" w:type="dxa"/>
            <w:vAlign w:val="bottom"/>
          </w:tcPr>
          <w:p>
            <w:pPr>
              <w:spacing w:after="0"/>
              <w:rPr>
                <w:sz w:val="1"/>
                <w:szCs w:val="1"/>
                <w:color w:val="auto"/>
              </w:rPr>
            </w:pPr>
          </w:p>
        </w:tc>
      </w:tr>
      <w:tr>
        <w:trPr>
          <w:trHeight w:val="153"/>
        </w:trPr>
        <w:tc>
          <w:tcPr>
            <w:tcW w:w="4600" w:type="dxa"/>
            <w:vAlign w:val="bottom"/>
          </w:tcPr>
          <w:p>
            <w:pPr>
              <w:ind w:left="80"/>
              <w:spacing w:after="0"/>
              <w:rPr>
                <w:sz w:val="20"/>
                <w:szCs w:val="20"/>
                <w:color w:val="auto"/>
              </w:rPr>
            </w:pPr>
            <w:r>
              <w:rPr>
                <w:rFonts w:ascii="Arial" w:cs="Arial" w:eastAsia="Arial" w:hAnsi="Arial"/>
                <w:sz w:val="12"/>
                <w:szCs w:val="12"/>
                <w:color w:val="auto"/>
              </w:rPr>
              <w:t>Less: Corporate expense</w:t>
            </w:r>
          </w:p>
        </w:tc>
        <w:tc>
          <w:tcPr>
            <w:tcW w:w="1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94"/>
              </w:rPr>
              <w:t>(3,342)</w:t>
            </w:r>
          </w:p>
        </w:tc>
        <w:tc>
          <w:tcPr>
            <w:tcW w:w="10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94"/>
              </w:rPr>
              <w:t>(6,094)</w:t>
            </w:r>
          </w:p>
        </w:tc>
        <w:tc>
          <w:tcPr>
            <w:tcW w:w="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(26,689)</w:t>
            </w:r>
          </w:p>
        </w:tc>
        <w:tc>
          <w:tcPr>
            <w:tcW w:w="1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(19,858)</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20"/>
                <w:szCs w:val="20"/>
                <w:color w:val="auto"/>
              </w:rPr>
            </w:pPr>
            <w:r>
              <w:rPr>
                <w:rFonts w:ascii="Arial" w:cs="Arial" w:eastAsia="Arial" w:hAnsi="Arial"/>
                <w:sz w:val="12"/>
                <w:szCs w:val="12"/>
                <w:b w:val="1"/>
                <w:bCs w:val="1"/>
                <w:color w:val="auto"/>
              </w:rPr>
              <w:t>Consolidated operating income</w:t>
            </w:r>
          </w:p>
        </w:tc>
        <w:tc>
          <w:tcPr>
            <w:tcW w:w="1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7"/>
              </w:rPr>
              <w:t>12,911</w:t>
            </w:r>
          </w:p>
        </w:tc>
        <w:tc>
          <w:tcPr>
            <w:tcW w:w="10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6,229</w:t>
            </w:r>
          </w:p>
        </w:tc>
        <w:tc>
          <w:tcPr>
            <w:tcW w:w="8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33,093</w:t>
            </w:r>
          </w:p>
        </w:tc>
        <w:tc>
          <w:tcPr>
            <w:tcW w:w="1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7"/>
              </w:rPr>
              <w:t>20,861</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2"/>
                <w:szCs w:val="12"/>
                <w:color w:val="auto"/>
              </w:rPr>
              <w:t>Corporate depreciation and amortization</w:t>
            </w: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jc w:val="right"/>
              <w:ind w:right="40"/>
              <w:spacing w:after="0" w:line="129" w:lineRule="exact"/>
              <w:rPr>
                <w:sz w:val="20"/>
                <w:szCs w:val="20"/>
                <w:color w:val="auto"/>
              </w:rPr>
            </w:pPr>
            <w:r>
              <w:rPr>
                <w:rFonts w:ascii="Arial" w:cs="Arial" w:eastAsia="Arial" w:hAnsi="Arial"/>
                <w:sz w:val="12"/>
                <w:szCs w:val="12"/>
                <w:color w:val="auto"/>
                <w:w w:val="89"/>
              </w:rPr>
              <w:t>$</w:t>
            </w:r>
          </w:p>
        </w:tc>
        <w:tc>
          <w:tcPr>
            <w:tcW w:w="220" w:type="dxa"/>
            <w:vAlign w:val="bottom"/>
          </w:tcPr>
          <w:p>
            <w:pPr>
              <w:jc w:val="right"/>
              <w:spacing w:after="0" w:line="129" w:lineRule="exact"/>
              <w:rPr>
                <w:sz w:val="20"/>
                <w:szCs w:val="20"/>
                <w:color w:val="auto"/>
              </w:rPr>
            </w:pPr>
            <w:r>
              <w:rPr>
                <w:rFonts w:ascii="Arial" w:cs="Arial" w:eastAsia="Arial" w:hAnsi="Arial"/>
                <w:sz w:val="12"/>
                <w:szCs w:val="12"/>
                <w:color w:val="auto"/>
                <w:w w:val="89"/>
              </w:rPr>
              <w:t>268</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jc w:val="center"/>
              <w:ind w:right="20"/>
              <w:spacing w:after="0" w:line="129" w:lineRule="exact"/>
              <w:rPr>
                <w:sz w:val="20"/>
                <w:szCs w:val="20"/>
                <w:color w:val="auto"/>
              </w:rPr>
            </w:pPr>
            <w:r>
              <w:rPr>
                <w:rFonts w:ascii="Arial" w:cs="Arial" w:eastAsia="Arial" w:hAnsi="Arial"/>
                <w:sz w:val="12"/>
                <w:szCs w:val="12"/>
                <w:color w:val="auto"/>
                <w:w w:val="89"/>
              </w:rPr>
              <w:t>$</w:t>
            </w:r>
          </w:p>
        </w:tc>
        <w:tc>
          <w:tcPr>
            <w:tcW w:w="220" w:type="dxa"/>
            <w:vAlign w:val="bottom"/>
          </w:tcPr>
          <w:p>
            <w:pPr>
              <w:jc w:val="right"/>
              <w:spacing w:after="0" w:line="129" w:lineRule="exact"/>
              <w:rPr>
                <w:sz w:val="20"/>
                <w:szCs w:val="20"/>
                <w:color w:val="auto"/>
              </w:rPr>
            </w:pPr>
            <w:r>
              <w:rPr>
                <w:rFonts w:ascii="Arial" w:cs="Arial" w:eastAsia="Arial" w:hAnsi="Arial"/>
                <w:sz w:val="12"/>
                <w:szCs w:val="12"/>
                <w:color w:val="auto"/>
                <w:w w:val="89"/>
              </w:rPr>
              <w:t>282</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1,101</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1,168</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Arial" w:cs="Arial" w:eastAsia="Arial" w:hAnsi="Arial"/>
                <w:sz w:val="12"/>
                <w:szCs w:val="12"/>
                <w:color w:val="auto"/>
              </w:rPr>
              <w:t>Key indicators:</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00" w:type="dxa"/>
            <w:vAlign w:val="bottom"/>
          </w:tcPr>
          <w:p>
            <w:pPr>
              <w:ind w:left="80"/>
              <w:spacing w:after="0"/>
              <w:rPr>
                <w:sz w:val="20"/>
                <w:szCs w:val="20"/>
                <w:color w:val="auto"/>
              </w:rPr>
            </w:pPr>
            <w:r>
              <w:rPr>
                <w:rFonts w:ascii="Arial" w:cs="Arial" w:eastAsia="Arial" w:hAnsi="Arial"/>
                <w:sz w:val="12"/>
                <w:szCs w:val="12"/>
                <w:color w:val="auto"/>
              </w:rPr>
              <w:t>Merchant bankcard processing dollar value</w:t>
            </w:r>
          </w:p>
        </w:tc>
        <w:tc>
          <w:tcPr>
            <w:tcW w:w="1120" w:type="dxa"/>
            <w:vAlign w:val="bottom"/>
          </w:tcPr>
          <w:p>
            <w:pPr>
              <w:ind w:left="96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spacing w:after="0"/>
              <w:rPr>
                <w:sz w:val="20"/>
                <w:szCs w:val="20"/>
                <w:color w:val="auto"/>
              </w:rPr>
            </w:pPr>
            <w:r>
              <w:rPr>
                <w:rFonts w:ascii="Arial" w:cs="Arial" w:eastAsia="Arial" w:hAnsi="Arial"/>
                <w:sz w:val="12"/>
                <w:szCs w:val="12"/>
                <w:color w:val="auto"/>
                <w:w w:val="89"/>
              </w:rPr>
              <w:t>13,958,845</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spacing w:after="0"/>
              <w:rPr>
                <w:sz w:val="20"/>
                <w:szCs w:val="20"/>
                <w:color w:val="auto"/>
              </w:rPr>
            </w:pPr>
            <w:r>
              <w:rPr>
                <w:rFonts w:ascii="Arial" w:cs="Arial" w:eastAsia="Arial" w:hAnsi="Arial"/>
                <w:sz w:val="12"/>
                <w:szCs w:val="12"/>
                <w:color w:val="auto"/>
                <w:w w:val="99"/>
              </w:rPr>
              <w:t>11,136,680</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spacing w:after="0"/>
              <w:rPr>
                <w:sz w:val="20"/>
                <w:szCs w:val="20"/>
                <w:color w:val="auto"/>
              </w:rPr>
            </w:pPr>
            <w:r>
              <w:rPr>
                <w:rFonts w:ascii="Arial" w:cs="Arial" w:eastAsia="Arial" w:hAnsi="Arial"/>
                <w:sz w:val="12"/>
                <w:szCs w:val="12"/>
                <w:color w:val="auto"/>
              </w:rPr>
              <w:t>53,787,500</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spacing w:after="0"/>
              <w:rPr>
                <w:sz w:val="20"/>
                <w:szCs w:val="20"/>
                <w:color w:val="auto"/>
              </w:rPr>
            </w:pPr>
            <w:r>
              <w:rPr>
                <w:rFonts w:ascii="Arial" w:cs="Arial" w:eastAsia="Arial" w:hAnsi="Arial"/>
                <w:sz w:val="12"/>
                <w:szCs w:val="12"/>
                <w:color w:val="auto"/>
                <w:w w:val="96"/>
              </w:rPr>
              <w:t>42,316,750</w:t>
            </w:r>
          </w:p>
        </w:tc>
        <w:tc>
          <w:tcPr>
            <w:tcW w:w="0" w:type="dxa"/>
            <w:vAlign w:val="bottom"/>
          </w:tcPr>
          <w:p>
            <w:pPr>
              <w:spacing w:after="0"/>
              <w:rPr>
                <w:sz w:val="1"/>
                <w:szCs w:val="1"/>
                <w:color w:val="auto"/>
              </w:rPr>
            </w:pPr>
          </w:p>
        </w:tc>
      </w:tr>
      <w:tr>
        <w:trPr>
          <w:trHeight w:val="153"/>
        </w:trPr>
        <w:tc>
          <w:tcPr>
            <w:tcW w:w="4600" w:type="dxa"/>
            <w:vAlign w:val="bottom"/>
          </w:tcPr>
          <w:p>
            <w:pPr>
              <w:ind w:left="80"/>
              <w:spacing w:after="0"/>
              <w:rPr>
                <w:sz w:val="20"/>
                <w:szCs w:val="20"/>
                <w:color w:val="auto"/>
              </w:rPr>
            </w:pPr>
            <w:r>
              <w:rPr>
                <w:rFonts w:ascii="Arial" w:cs="Arial" w:eastAsia="Arial" w:hAnsi="Arial"/>
                <w:sz w:val="12"/>
                <w:szCs w:val="12"/>
                <w:color w:val="auto"/>
              </w:rPr>
              <w:t>Merchant bankcard transaction volume</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82"/>
              </w:rPr>
              <w:t>147,359</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82"/>
              </w:rPr>
              <w:t>120,483</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87"/>
              </w:rPr>
              <w:t>578,871</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82"/>
              </w:rPr>
              <w:t>456,655</w:t>
            </w:r>
          </w:p>
        </w:tc>
        <w:tc>
          <w:tcPr>
            <w:tcW w:w="0" w:type="dxa"/>
            <w:vAlign w:val="bottom"/>
          </w:tcPr>
          <w:p>
            <w:pPr>
              <w:spacing w:after="0"/>
              <w:rPr>
                <w:sz w:val="1"/>
                <w:szCs w:val="1"/>
                <w:color w:val="auto"/>
              </w:rPr>
            </w:pPr>
          </w:p>
        </w:tc>
      </w:tr>
      <w:tr>
        <w:trPr>
          <w:trHeight w:val="882"/>
        </w:trPr>
        <w:tc>
          <w:tcPr>
            <w:tcW w:w="4600" w:type="dxa"/>
            <w:vAlign w:val="bottom"/>
          </w:tcPr>
          <w:p>
            <w:pPr>
              <w:spacing w:after="0"/>
              <w:rPr>
                <w:sz w:val="24"/>
                <w:szCs w:val="24"/>
                <w:color w:val="auto"/>
              </w:rPr>
            </w:pPr>
          </w:p>
        </w:tc>
        <w:tc>
          <w:tcPr>
            <w:tcW w:w="1120" w:type="dxa"/>
            <w:vAlign w:val="bottom"/>
          </w:tcPr>
          <w:p>
            <w:pPr>
              <w:ind w:left="980"/>
              <w:spacing w:after="0"/>
              <w:rPr>
                <w:sz w:val="20"/>
                <w:szCs w:val="20"/>
                <w:color w:val="auto"/>
              </w:rPr>
            </w:pPr>
            <w:r>
              <w:rPr>
                <w:rFonts w:ascii="Arial" w:cs="Arial" w:eastAsia="Arial" w:hAnsi="Arial"/>
                <w:sz w:val="12"/>
                <w:szCs w:val="12"/>
                <w:color w:val="auto"/>
                <w:w w:val="89"/>
              </w:rPr>
              <w:t>12</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811" w:right="299" w:bottom="1440"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2022-03-16T15:39:16Z</dcterms:created>
  <dcterms:modified xsi:type="dcterms:W3CDTF">2022-03-16T15:39:16Z</dcterms:modified>
</cp:coreProperties>
</file>