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12,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2"/>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642"/>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90"/>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jc w:val="right"/>
              <w:ind w:right="225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88"/>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Georgia</w:t>
            </w: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5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1"/>
              </w:rPr>
              <w:t>(Zip Code)</w:t>
            </w:r>
          </w:p>
        </w:tc>
        <w:tc>
          <w:tcPr>
            <w:tcW w:w="20" w:type="dxa"/>
            <w:vAlign w:val="bottom"/>
            <w:tcBorders>
              <w:top w:val="single" w:sz="8" w:color="auto"/>
            </w:tcBorders>
          </w:tcPr>
          <w:p>
            <w:pPr>
              <w:spacing w:after="0"/>
              <w:rPr>
                <w:sz w:val="19"/>
                <w:szCs w:val="19"/>
                <w:color w:val="auto"/>
              </w:rPr>
            </w:pPr>
          </w:p>
        </w:tc>
      </w:tr>
    </w:tbl>
    <w:p>
      <w:pPr>
        <w:spacing w:after="0" w:line="2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360" w:type="dxa"/>
            <w:vAlign w:val="bottom"/>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Nasdaq Global Market</w:t>
            </w:r>
          </w:p>
        </w:tc>
      </w:tr>
    </w:tbl>
    <w:p>
      <w:pPr>
        <w:spacing w:after="0" w:line="3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1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12, 2020, Priority Technology Holdings, Inc. issued a press release announcing its financial results for the quarter ended September 30, 2020. A copy of that press release is attached as Exhibit 99.1 to this Current Report on Form 8-K.</w:t>
      </w:r>
    </w:p>
    <w:p>
      <w:pPr>
        <w:spacing w:after="0" w:line="200" w:lineRule="exact"/>
        <w:rPr>
          <w:sz w:val="20"/>
          <w:szCs w:val="20"/>
          <w:color w:val="auto"/>
        </w:rPr>
      </w:pP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6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6210" cy="8255"/>
                    </a:xfrm>
                    <a:prstGeom prst="rect">
                      <a:avLst/>
                    </a:prstGeom>
                    <a:noFill/>
                  </pic:spPr>
                </pic:pic>
              </a:graphicData>
            </a:graphic>
          </wp:anchor>
        </w:drawing>
      </w:r>
    </w:p>
    <w:p>
      <w:pPr>
        <w:spacing w:after="0" w:line="218" w:lineRule="exact"/>
        <w:rPr>
          <w:sz w:val="20"/>
          <w:szCs w:val="20"/>
          <w:color w:val="auto"/>
        </w:rPr>
      </w:pPr>
    </w:p>
    <w:p>
      <w:pPr>
        <w:spacing w:after="0"/>
        <w:tabs>
          <w:tab w:leader="none" w:pos="660" w:val="left"/>
        </w:tabs>
        <w:rPr>
          <w:rFonts w:ascii="Arial" w:cs="Arial" w:eastAsia="Arial" w:hAnsi="Arial"/>
          <w:sz w:val="16"/>
          <w:szCs w:val="16"/>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color w:val="0000FF"/>
        </w:rPr>
        <w:tab/>
      </w:r>
      <w:hyperlink w:anchor="page3">
        <w:r>
          <w:rPr>
            <w:rFonts w:ascii="Arial" w:cs="Arial" w:eastAsia="Arial" w:hAnsi="Arial"/>
            <w:sz w:val="16"/>
            <w:szCs w:val="16"/>
            <w:u w:val="single" w:color="auto"/>
            <w:color w:val="0000FF"/>
          </w:rPr>
          <w:t>Press Release of Priority Technology Holdings, Inc. dated November 12</w:t>
        </w:r>
        <w:r>
          <w:rPr>
            <w:rFonts w:ascii="Arial" w:cs="Arial" w:eastAsia="Arial" w:hAnsi="Arial"/>
            <w:sz w:val="16"/>
            <w:szCs w:val="16"/>
            <w:color w:val="0000FF"/>
          </w:rPr>
          <w:t>,</w:t>
        </w:r>
        <w:r>
          <w:rPr>
            <w:rFonts w:ascii="Arial" w:cs="Arial" w:eastAsia="Arial" w:hAnsi="Arial"/>
            <w:sz w:val="16"/>
            <w:szCs w:val="16"/>
            <w:u w:val="single" w:color="auto"/>
            <w:color w:val="0000FF"/>
          </w:rPr>
          <w:t xml:space="preserve"> 2020</w:t>
        </w:r>
      </w:hyperlink>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12, 2020</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By: /s/ Michael Vollkommer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Michael Vollkommer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891" w:right="339" w:bottom="1440" w:gutter="0" w:footer="0" w:header="0"/>
        </w:sectPr>
      </w:pPr>
    </w:p>
    <w:bookmarkStart w:id="2" w:name="page3"/>
    <w:bookmarkEnd w:id="2"/>
    <w:p>
      <w:pPr>
        <w:ind w:left="10160"/>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22225</wp:posOffset>
            </wp:positionV>
            <wp:extent cx="176593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Priority Technology Holdings, Inc. Announces Third Quarter 2020 Financial Results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Strong Financial Performance and Continued Growth</w:t>
      </w:r>
    </w:p>
    <w:p>
      <w:pPr>
        <w:spacing w:after="0" w:line="250"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ALPHARETTA, GA - November 12, 2020 -- Priority Technology Holdings, Inc. (NASDAQ: PRTH) (“Priority” or the “Company”), a leading provider of merchant acquiring, integrated payment software and commercial payment solutions, today announced its third quarter financial results including strong year-over-year revenue growth of 16.1% and deleveraging during the quarter of $124 million.</w:t>
      </w:r>
    </w:p>
    <w:p>
      <w:pPr>
        <w:spacing w:after="0" w:line="186" w:lineRule="exact"/>
        <w:rPr>
          <w:sz w:val="20"/>
          <w:szCs w:val="20"/>
          <w:color w:val="auto"/>
        </w:rPr>
      </w:pPr>
    </w:p>
    <w:p>
      <w:pPr>
        <w:ind w:left="3980"/>
        <w:spacing w:after="0"/>
        <w:rPr>
          <w:sz w:val="20"/>
          <w:szCs w:val="20"/>
          <w:color w:val="auto"/>
        </w:rPr>
      </w:pPr>
      <w:r>
        <w:rPr>
          <w:rFonts w:ascii="Arial" w:cs="Arial" w:eastAsia="Arial" w:hAnsi="Arial"/>
          <w:sz w:val="20"/>
          <w:szCs w:val="20"/>
          <w:b w:val="1"/>
          <w:bCs w:val="1"/>
          <w:u w:val="single" w:color="auto"/>
          <w:color w:val="auto"/>
        </w:rPr>
        <w:t>Highlights of Consolidated Results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Third Quarter 2020, Compared with Third Quarter 2019</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Financial highlights of the third quarter of 2020 compared with the third quarter of 2019, are as follows:</w:t>
      </w:r>
    </w:p>
    <w:p>
      <w:pPr>
        <w:spacing w:after="0" w:line="243"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Revenue of $109.0 million increased 16.1% from $93.9 million.</w:t>
      </w:r>
    </w:p>
    <w:p>
      <w:pPr>
        <w:spacing w:after="0" w:line="15" w:lineRule="exact"/>
        <w:rPr>
          <w:rFonts w:ascii="Arial" w:cs="Arial" w:eastAsia="Arial" w:hAnsi="Arial"/>
          <w:sz w:val="18"/>
          <w:szCs w:val="18"/>
          <w:color w:val="auto"/>
        </w:rPr>
      </w:pPr>
    </w:p>
    <w:p>
      <w:pPr>
        <w:ind w:left="660" w:hanging="328"/>
        <w:spacing w:after="0" w:line="184"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9"/>
          <w:szCs w:val="19"/>
          <w:color w:val="auto"/>
        </w:rPr>
        <w:t>Gross profit (a non-GAAP measure</w:t>
      </w:r>
      <w:r>
        <w:rPr>
          <w:rFonts w:ascii="Arial" w:cs="Arial" w:eastAsia="Arial" w:hAnsi="Arial"/>
          <w:sz w:val="26"/>
          <w:szCs w:val="26"/>
          <w:color w:val="auto"/>
          <w:vertAlign w:val="superscript"/>
        </w:rPr>
        <w:t>1</w:t>
      </w:r>
      <w:r>
        <w:rPr>
          <w:rFonts w:ascii="Arial" w:cs="Arial" w:eastAsia="Arial" w:hAnsi="Arial"/>
          <w:sz w:val="19"/>
          <w:szCs w:val="19"/>
          <w:color w:val="auto"/>
        </w:rPr>
        <w:t>) of $34.0 million increased 12.7% from $30.2 million.</w:t>
      </w:r>
    </w:p>
    <w:p>
      <w:pPr>
        <w:ind w:left="660" w:hanging="328"/>
        <w:spacing w:after="0" w:line="184"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9"/>
          <w:szCs w:val="19"/>
          <w:color w:val="auto"/>
        </w:rPr>
        <w:t>Gross profit margin (a non-GAAP measure</w:t>
      </w:r>
      <w:r>
        <w:rPr>
          <w:rFonts w:ascii="Arial" w:cs="Arial" w:eastAsia="Arial" w:hAnsi="Arial"/>
          <w:sz w:val="26"/>
          <w:szCs w:val="26"/>
          <w:color w:val="auto"/>
          <w:vertAlign w:val="superscript"/>
        </w:rPr>
        <w:t>1</w:t>
      </w:r>
      <w:r>
        <w:rPr>
          <w:rFonts w:ascii="Arial" w:cs="Arial" w:eastAsia="Arial" w:hAnsi="Arial"/>
          <w:sz w:val="19"/>
          <w:szCs w:val="19"/>
          <w:color w:val="auto"/>
        </w:rPr>
        <w:t>) of 31.2% decreased 94 basis points from 32.1%.</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Income from operations of $7.0 million increased 158.4% from $2.7 million.</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Pre-tax gain from the sale of the RentPayment business, net of non-controlling interests ("NCIs"), was $62.1 million.</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Net income of $40.4 million increased $46.2 million from a loss of $5.8 million.</w:t>
      </w:r>
    </w:p>
    <w:p>
      <w:pPr>
        <w:ind w:left="660" w:hanging="328"/>
        <w:spacing w:after="0" w:line="184"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9"/>
          <w:szCs w:val="19"/>
          <w:color w:val="auto"/>
        </w:rPr>
        <w:t>Adjusted EBITDA (a non-GAAP measure</w:t>
      </w:r>
      <w:r>
        <w:rPr>
          <w:rFonts w:ascii="Arial" w:cs="Arial" w:eastAsia="Arial" w:hAnsi="Arial"/>
          <w:sz w:val="26"/>
          <w:szCs w:val="26"/>
          <w:color w:val="auto"/>
          <w:vertAlign w:val="superscript"/>
        </w:rPr>
        <w:t>1</w:t>
      </w:r>
      <w:r>
        <w:rPr>
          <w:rFonts w:ascii="Arial" w:cs="Arial" w:eastAsia="Arial" w:hAnsi="Arial"/>
          <w:sz w:val="19"/>
          <w:szCs w:val="19"/>
          <w:color w:val="auto"/>
        </w:rPr>
        <w:t>) of $19.6 million increased 28.1% from $15.3 million.</w:t>
      </w:r>
    </w:p>
    <w:p>
      <w:pPr>
        <w:ind w:left="660" w:right="520" w:hanging="328"/>
        <w:spacing w:after="0" w:line="239"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20"/>
          <w:szCs w:val="20"/>
          <w:color w:val="auto"/>
        </w:rPr>
        <w:t>Net debt (total debt less unrestricted cash) of $370.4 million at September 30, 2020 – a decrease of $123.6 million from $494.0 million at June 30, 2020.</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Total net leverage ratio of 6.16x at September 30, 2020 decreased from 7.46x at June 30, 2020</w:t>
      </w:r>
      <w:r>
        <w:rPr>
          <w:rFonts w:ascii="Arial" w:cs="Arial" w:eastAsia="Arial" w:hAnsi="Arial"/>
          <w:sz w:val="28"/>
          <w:szCs w:val="28"/>
          <w:color w:val="auto"/>
          <w:vertAlign w:val="superscript"/>
        </w:rPr>
        <w:t>2</w:t>
      </w:r>
      <w:r>
        <w:rPr>
          <w:rFonts w:ascii="Arial" w:cs="Arial" w:eastAsia="Arial" w:hAnsi="Arial"/>
          <w:sz w:val="20"/>
          <w:szCs w:val="20"/>
          <w:color w:val="auto"/>
        </w:rPr>
        <w:t>.</w:t>
      </w:r>
    </w:p>
    <w:p>
      <w:pPr>
        <w:spacing w:after="0" w:line="380" w:lineRule="exact"/>
        <w:rPr>
          <w:rFonts w:ascii="Arial" w:cs="Arial" w:eastAsia="Arial" w:hAnsi="Arial"/>
          <w:sz w:val="18"/>
          <w:szCs w:val="18"/>
          <w:color w:val="auto"/>
        </w:rPr>
      </w:pPr>
    </w:p>
    <w:p>
      <w:pPr>
        <w:ind w:firstLine="8"/>
        <w:spacing w:after="0" w:line="258" w:lineRule="auto"/>
        <w:tabs>
          <w:tab w:leader="none" w:pos="26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“Non-GAAP Financial Measures” and the reconciliations of Gross Profit, Gross Profit Margin, and Adjusted EBITDA to their most comparable GAAP measures provided below for additional information.</w:t>
      </w:r>
    </w:p>
    <w:p>
      <w:pPr>
        <w:spacing w:after="0" w:line="1" w:lineRule="exact"/>
        <w:rPr>
          <w:rFonts w:ascii="Arial" w:cs="Arial" w:eastAsia="Arial" w:hAnsi="Arial"/>
          <w:sz w:val="18"/>
          <w:szCs w:val="18"/>
          <w:i w:val="1"/>
          <w:iCs w:val="1"/>
          <w:color w:val="auto"/>
        </w:rPr>
      </w:pPr>
    </w:p>
    <w:p>
      <w:pPr>
        <w:ind w:firstLine="8"/>
        <w:spacing w:after="0" w:line="260" w:lineRule="auto"/>
        <w:tabs>
          <w:tab w:leader="none" w:pos="282"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Calculation of Total Net Leverage Ratio is provided in Management’s Discussion and Analysis of Financial Condition and Results of Operations included in Item 2 of our Form 10-Q for the quarter ended September 30, 2020.</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222222"/>
        </w:rPr>
        <w:t>“Our strong results this quarter demonstrate continued resilience during this pandemic, and by all key metrics, validate the differentiation of</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22222"/>
        </w:rPr>
        <w:t>our platform,” said Tom Priore, Chairman and CEO. “The execution of the transaction with MRI Software this quarter not only reduced debt by over $100 million, it will improve annual cashflow and established a multi-year processing partnership with a global leader in real estate software solutions.”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5" w:right="339" w:bottom="1440" w:gutter="0" w:footer="0" w:header="0"/>
        </w:sectPr>
      </w:pPr>
    </w:p>
    <w:bookmarkStart w:id="3" w:name="page4"/>
    <w:bookmarkEnd w:id="3"/>
    <w:p>
      <w:pPr>
        <w:jc w:val="both"/>
        <w:spacing w:after="0" w:line="268" w:lineRule="auto"/>
        <w:rPr>
          <w:sz w:val="20"/>
          <w:szCs w:val="20"/>
          <w:color w:val="auto"/>
        </w:rPr>
      </w:pPr>
      <w:r>
        <w:rPr>
          <w:rFonts w:ascii="Arial" w:cs="Arial" w:eastAsia="Arial" w:hAnsi="Arial"/>
          <w:sz w:val="20"/>
          <w:szCs w:val="20"/>
          <w:color w:val="auto"/>
        </w:rPr>
        <w:t xml:space="preserve">“The year-over-year revenue growth of our core business of 20% and our CPX accounts payable solutions of 7% in these challenging economic times are real testaments to the countercyclical nature of our platform. Our commercial and consumer payments teams have performed exceptionally well. </w:t>
      </w:r>
      <w:r>
        <w:rPr>
          <w:rFonts w:ascii="Arial" w:cs="Arial" w:eastAsia="Arial" w:hAnsi="Arial"/>
          <w:sz w:val="21"/>
          <w:szCs w:val="21"/>
          <w:color w:val="222222"/>
        </w:rPr>
        <w:t>We expect the momentum of our integrated product and payment infrastructure as a service offering</w:t>
      </w:r>
      <w:r>
        <w:rPr>
          <w:rFonts w:ascii="Arial" w:cs="Arial" w:eastAsia="Arial" w:hAnsi="Arial"/>
          <w:sz w:val="20"/>
          <w:szCs w:val="20"/>
          <w:color w:val="auto"/>
        </w:rPr>
        <w:t xml:space="preserve"> </w:t>
      </w:r>
      <w:r>
        <w:rPr>
          <w:rFonts w:ascii="Arial" w:cs="Arial" w:eastAsia="Arial" w:hAnsi="Arial"/>
          <w:sz w:val="21"/>
          <w:szCs w:val="21"/>
          <w:color w:val="222222"/>
        </w:rPr>
        <w:t>to drive similar growth in the fourth quarter and continued deleveraging.”</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Priore concluded, “We clearly achieved our goals this quarter, producing strong top-line revenue growth, captured expense reduction through automation and diligent management and deleveraged our balance sheet. While the future economic and operating environment remains uncertain, we are encouraged by the performance across our segments and believe we are poised for sustainable long-term results. </w:t>
      </w:r>
      <w:r>
        <w:rPr>
          <w:rFonts w:ascii="Arial" w:cs="Arial" w:eastAsia="Arial" w:hAnsi="Arial"/>
          <w:sz w:val="21"/>
          <w:szCs w:val="21"/>
          <w:color w:val="222222"/>
        </w:rPr>
        <w:t>We are</w:t>
      </w:r>
      <w:r>
        <w:rPr>
          <w:rFonts w:ascii="Arial" w:cs="Arial" w:eastAsia="Arial" w:hAnsi="Arial"/>
          <w:sz w:val="20"/>
          <w:szCs w:val="20"/>
          <w:color w:val="auto"/>
        </w:rPr>
        <w:t xml:space="preserve"> </w:t>
      </w:r>
      <w:r>
        <w:rPr>
          <w:rFonts w:ascii="Arial" w:cs="Arial" w:eastAsia="Arial" w:hAnsi="Arial"/>
          <w:sz w:val="21"/>
          <w:szCs w:val="21"/>
          <w:color w:val="222222"/>
        </w:rPr>
        <w:t>forecasting our fourth quarter 2020 results to match, if not exceed, the performance delivered in the third quarter of 2020, excluding the RentPayment results</w:t>
      </w:r>
      <w:r>
        <w:rPr>
          <w:rFonts w:ascii="Arial" w:cs="Arial" w:eastAsia="Arial" w:hAnsi="Arial"/>
          <w:sz w:val="19"/>
          <w:szCs w:val="19"/>
          <w:color w:val="000000"/>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Discussion of Results</w:t>
      </w:r>
    </w:p>
    <w:p>
      <w:pPr>
        <w:spacing w:after="0" w:line="25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Management’s Discussion and Analysis of Financial Condition and Results of Operations included in Item 2 of our Form 10-Q for the quarter ended September 30, 2020 provides a thorough discussion of our third quarter 2020 results.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Consolidated revenue in the third quarter of 2020 of $109.0 million increased $15.1 million, or 16.1%, from $93.9 million in the third quarter of 2019. Revenue growth of $16.6 million, or 20.0%, in our Consumer Payments segment was partially offset by revenue declines of $1.3 million and $0.1 million in our Commercial Payments and Integrated Partners segments.</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Consolidated income from operations in the third quarter of 2020 of $7.0 million increased $4.3 million, or 158.4%, from $2.7 million in the third quarter of 2019. Gross profit increased $3.8 million, salary and employee benefits decreased $0.7 million, and depreciation and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amortization increased $0.2 million in the third quarter of 2020 compared with the third quarter of 2019. Selling, general and administrative expenses were flat and the third quarter of 2020 included a $1.0 million non-cash write-down of an intangible asset in the Consumer Payments segment.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 Forma</w:t>
      </w:r>
    </w:p>
    <w:p>
      <w:pPr>
        <w:spacing w:after="0" w:line="2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the pro forma results for the three and the nine months ended September 30, 2020 and 2019, excluding the RentPayment business sold to MRI Software (“MRI”) in September 2020. The RentPayment amounts are historical and do not include a pro forma adjustment for revenue and income to be earned from ongoing payment infrastructure as a service and processing to MRI’s new platform.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35" w:right="3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06"/>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i w:val="1"/>
                <w:iCs w:val="1"/>
                <w:color w:val="auto"/>
                <w:w w:val="90"/>
              </w:rPr>
              <w:t>(in thousands)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i w:val="1"/>
                <w:iCs w:val="1"/>
                <w:color w:val="auto"/>
                <w:w w:val="90"/>
              </w:rPr>
              <w:t>(in thousands)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100" w:type="dxa"/>
            <w:vAlign w:val="bottom"/>
            <w:gridSpan w:val="8"/>
          </w:tcPr>
          <w:p>
            <w:pPr>
              <w:jc w:val="center"/>
              <w:ind w:right="580"/>
              <w:spacing w:after="0"/>
              <w:rPr>
                <w:sz w:val="20"/>
                <w:szCs w:val="20"/>
                <w:color w:val="auto"/>
              </w:rPr>
            </w:pPr>
            <w:r>
              <w:rPr>
                <w:rFonts w:ascii="Arial" w:cs="Arial" w:eastAsia="Arial" w:hAnsi="Arial"/>
                <w:sz w:val="16"/>
                <w:szCs w:val="16"/>
                <w:b w:val="1"/>
                <w:bCs w:val="1"/>
                <w:color w:val="auto"/>
                <w:w w:val="92"/>
              </w:rPr>
              <w:t>Three Months Ended September 30, 2020</w:t>
            </w:r>
          </w:p>
        </w:tc>
        <w:tc>
          <w:tcPr>
            <w:tcW w:w="300" w:type="dxa"/>
            <w:vAlign w:val="bottom"/>
          </w:tcPr>
          <w:p>
            <w:pPr>
              <w:spacing w:after="0"/>
              <w:rPr>
                <w:sz w:val="19"/>
                <w:szCs w:val="19"/>
                <w:color w:val="auto"/>
              </w:rPr>
            </w:pPr>
          </w:p>
        </w:tc>
        <w:tc>
          <w:tcPr>
            <w:tcW w:w="3540" w:type="dxa"/>
            <w:vAlign w:val="bottom"/>
            <w:gridSpan w:val="7"/>
          </w:tcPr>
          <w:p>
            <w:pPr>
              <w:jc w:val="center"/>
              <w:ind w:right="219"/>
              <w:spacing w:after="0"/>
              <w:rPr>
                <w:sz w:val="20"/>
                <w:szCs w:val="20"/>
                <w:color w:val="auto"/>
              </w:rPr>
            </w:pPr>
            <w:r>
              <w:rPr>
                <w:rFonts w:ascii="Arial" w:cs="Arial" w:eastAsia="Arial" w:hAnsi="Arial"/>
                <w:sz w:val="16"/>
                <w:szCs w:val="16"/>
                <w:b w:val="1"/>
                <w:bCs w:val="1"/>
                <w:color w:val="auto"/>
                <w:w w:val="92"/>
              </w:rPr>
              <w:t>Three Months Ended September 30, 2019</w:t>
            </w:r>
          </w:p>
        </w:tc>
      </w:tr>
      <w:tr>
        <w:trPr>
          <w:trHeight w:val="207"/>
        </w:trPr>
        <w:tc>
          <w:tcPr>
            <w:tcW w:w="3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RentPayment</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Pro Forma</w:t>
            </w:r>
          </w:p>
        </w:tc>
        <w:tc>
          <w:tcPr>
            <w:tcW w:w="440" w:type="dxa"/>
            <w:vAlign w:val="bottom"/>
          </w:tcPr>
          <w:p>
            <w:pPr>
              <w:spacing w:after="0"/>
              <w:rPr>
                <w:sz w:val="17"/>
                <w:szCs w:val="17"/>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Consolidated</w:t>
            </w: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RentPayment</w:t>
            </w: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Pro Forma</w:t>
            </w:r>
          </w:p>
        </w:tc>
      </w:tr>
      <w:tr>
        <w:trPr>
          <w:trHeight w:val="344"/>
        </w:trPr>
        <w:tc>
          <w:tcPr>
            <w:tcW w:w="30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108,962</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3,883</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105,079</w:t>
            </w:r>
          </w:p>
        </w:tc>
        <w:tc>
          <w:tcPr>
            <w:tcW w:w="440" w:type="dxa"/>
            <w:vAlign w:val="bottom"/>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93,883</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3,652</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90,231</w:t>
            </w:r>
          </w:p>
        </w:tc>
      </w:tr>
      <w:tr>
        <w:trPr>
          <w:trHeight w:val="304"/>
        </w:trPr>
        <w:tc>
          <w:tcPr>
            <w:tcW w:w="30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6"/>
                <w:szCs w:val="16"/>
                <w:color w:val="auto"/>
              </w:rPr>
              <w:t>Costs of services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74,474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63,376</w:t>
            </w:r>
          </w:p>
        </w:tc>
      </w:tr>
      <w:tr>
        <w:trPr>
          <w:trHeight w:val="216"/>
        </w:trPr>
        <w:tc>
          <w:tcPr>
            <w:tcW w:w="3020" w:type="dxa"/>
            <w:vAlign w:val="bottom"/>
          </w:tcPr>
          <w:p>
            <w:pPr>
              <w:ind w:left="220"/>
              <w:spacing w:after="0"/>
              <w:rPr>
                <w:sz w:val="20"/>
                <w:szCs w:val="20"/>
                <w:color w:val="auto"/>
              </w:rPr>
            </w:pPr>
            <w:r>
              <w:rPr>
                <w:rFonts w:ascii="Arial" w:cs="Arial" w:eastAsia="Arial" w:hAnsi="Arial"/>
                <w:sz w:val="16"/>
                <w:szCs w:val="16"/>
                <w:color w:val="auto"/>
              </w:rPr>
              <w:t>Salary and employee benefits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9,430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10,273</w:t>
            </w:r>
          </w:p>
        </w:tc>
      </w:tr>
      <w:tr>
        <w:trPr>
          <w:trHeight w:val="216"/>
        </w:trPr>
        <w:tc>
          <w:tcPr>
            <w:tcW w:w="30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9,013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8,871</w:t>
            </w:r>
          </w:p>
        </w:tc>
      </w:tr>
      <w:tr>
        <w:trPr>
          <w:trHeight w:val="216"/>
        </w:trPr>
        <w:tc>
          <w:tcPr>
            <w:tcW w:w="30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5,427</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6,103</w:t>
            </w:r>
          </w:p>
        </w:tc>
      </w:tr>
      <w:tr>
        <w:trPr>
          <w:trHeight w:val="212"/>
        </w:trPr>
        <w:tc>
          <w:tcPr>
            <w:tcW w:w="302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101,920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98,344</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91,158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88,623</w:t>
            </w:r>
          </w:p>
        </w:tc>
      </w:tr>
      <w:tr>
        <w:trPr>
          <w:trHeight w:val="253"/>
        </w:trPr>
        <w:tc>
          <w:tcPr>
            <w:tcW w:w="3020" w:type="dxa"/>
            <w:vAlign w:val="bottom"/>
          </w:tcPr>
          <w:p>
            <w:pPr>
              <w:ind w:left="340"/>
              <w:spacing w:after="0"/>
              <w:rPr>
                <w:sz w:val="20"/>
                <w:szCs w:val="20"/>
                <w:color w:val="auto"/>
              </w:rPr>
            </w:pPr>
            <w:r>
              <w:rPr>
                <w:rFonts w:ascii="Arial" w:cs="Arial" w:eastAsia="Arial" w:hAnsi="Arial"/>
                <w:sz w:val="16"/>
                <w:szCs w:val="16"/>
                <w:b w:val="1"/>
                <w:bCs w:val="1"/>
                <w:color w:val="auto"/>
              </w:rPr>
              <w:t>Income from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6,735</w:t>
            </w:r>
          </w:p>
        </w:tc>
        <w:tc>
          <w:tcPr>
            <w:tcW w:w="44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w:t>
            </w:r>
          </w:p>
        </w:tc>
      </w:tr>
      <w:tr>
        <w:trPr>
          <w:trHeight w:val="21"/>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9"/>
        </w:trPr>
        <w:tc>
          <w:tcPr>
            <w:tcW w:w="3020" w:type="dxa"/>
            <w:vAlign w:val="bottom"/>
          </w:tcPr>
          <w:p>
            <w:pPr>
              <w:ind w:left="34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19,635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17,078</w:t>
            </w:r>
          </w:p>
        </w:tc>
        <w:tc>
          <w:tcPr>
            <w:tcW w:w="44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15,325</w:t>
            </w:r>
          </w:p>
        </w:tc>
        <w:tc>
          <w:tcPr>
            <w:tcW w:w="12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12,561</w:t>
            </w:r>
          </w:p>
        </w:tc>
      </w:tr>
      <w:tr>
        <w:trPr>
          <w:trHeight w:val="21"/>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24"/>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i w:val="1"/>
                <w:iCs w:val="1"/>
                <w:color w:val="auto"/>
                <w:w w:val="90"/>
              </w:rPr>
              <w:t>(in thousands)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i w:val="1"/>
                <w:iCs w:val="1"/>
                <w:color w:val="auto"/>
                <w:w w:val="90"/>
              </w:rPr>
              <w:t>(in thousands)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9"/>
        </w:trPr>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100" w:type="dxa"/>
            <w:vAlign w:val="bottom"/>
            <w:gridSpan w:val="8"/>
          </w:tcPr>
          <w:p>
            <w:pPr>
              <w:jc w:val="center"/>
              <w:ind w:right="56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300" w:type="dxa"/>
            <w:vAlign w:val="bottom"/>
          </w:tcPr>
          <w:p>
            <w:pPr>
              <w:spacing w:after="0"/>
              <w:rPr>
                <w:sz w:val="19"/>
                <w:szCs w:val="19"/>
                <w:color w:val="auto"/>
              </w:rPr>
            </w:pPr>
          </w:p>
        </w:tc>
        <w:tc>
          <w:tcPr>
            <w:tcW w:w="3540" w:type="dxa"/>
            <w:vAlign w:val="bottom"/>
            <w:gridSpan w:val="7"/>
          </w:tcPr>
          <w:p>
            <w:pPr>
              <w:jc w:val="center"/>
              <w:ind w:right="199"/>
              <w:spacing w:after="0"/>
              <w:rPr>
                <w:sz w:val="20"/>
                <w:szCs w:val="20"/>
                <w:color w:val="auto"/>
              </w:rPr>
            </w:pPr>
            <w:r>
              <w:rPr>
                <w:rFonts w:ascii="Arial" w:cs="Arial" w:eastAsia="Arial" w:hAnsi="Arial"/>
                <w:sz w:val="16"/>
                <w:szCs w:val="16"/>
                <w:b w:val="1"/>
                <w:bCs w:val="1"/>
                <w:color w:val="auto"/>
                <w:w w:val="91"/>
              </w:rPr>
              <w:t>Nine Months Ended September 30, 2019</w:t>
            </w:r>
          </w:p>
        </w:tc>
      </w:tr>
      <w:tr>
        <w:trPr>
          <w:trHeight w:val="207"/>
        </w:trPr>
        <w:tc>
          <w:tcPr>
            <w:tcW w:w="3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RentPayment</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Pro Forma</w:t>
            </w:r>
          </w:p>
        </w:tc>
        <w:tc>
          <w:tcPr>
            <w:tcW w:w="440" w:type="dxa"/>
            <w:vAlign w:val="bottom"/>
          </w:tcPr>
          <w:p>
            <w:pPr>
              <w:spacing w:after="0"/>
              <w:rPr>
                <w:sz w:val="17"/>
                <w:szCs w:val="17"/>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Consolidated</w:t>
            </w: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RentPayment</w:t>
            </w: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Pro Forma</w:t>
            </w:r>
          </w:p>
        </w:tc>
      </w:tr>
      <w:tr>
        <w:trPr>
          <w:trHeight w:val="344"/>
        </w:trPr>
        <w:tc>
          <w:tcPr>
            <w:tcW w:w="30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298,251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12,118</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286,133</w:t>
            </w:r>
          </w:p>
        </w:tc>
        <w:tc>
          <w:tcPr>
            <w:tcW w:w="440" w:type="dxa"/>
            <w:vAlign w:val="bottom"/>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273,671</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8,058</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265,613</w:t>
            </w:r>
          </w:p>
        </w:tc>
      </w:tr>
      <w:tr>
        <w:trPr>
          <w:trHeight w:val="304"/>
        </w:trPr>
        <w:tc>
          <w:tcPr>
            <w:tcW w:w="30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6"/>
                <w:szCs w:val="16"/>
                <w:color w:val="auto"/>
              </w:rPr>
              <w:t>Costs of services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203,733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202,363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185,827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185,023</w:t>
            </w:r>
          </w:p>
        </w:tc>
      </w:tr>
      <w:tr>
        <w:trPr>
          <w:trHeight w:val="216"/>
        </w:trPr>
        <w:tc>
          <w:tcPr>
            <w:tcW w:w="3020" w:type="dxa"/>
            <w:vAlign w:val="bottom"/>
          </w:tcPr>
          <w:p>
            <w:pPr>
              <w:ind w:left="220"/>
              <w:spacing w:after="0"/>
              <w:rPr>
                <w:sz w:val="20"/>
                <w:szCs w:val="20"/>
                <w:color w:val="auto"/>
              </w:rPr>
            </w:pPr>
            <w:r>
              <w:rPr>
                <w:rFonts w:ascii="Arial" w:cs="Arial" w:eastAsia="Arial" w:hAnsi="Arial"/>
                <w:sz w:val="16"/>
                <w:szCs w:val="16"/>
                <w:color w:val="auto"/>
              </w:rPr>
              <w:t>Salary and employee benefits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28,068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31,923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31,483</w:t>
            </w:r>
          </w:p>
        </w:tc>
      </w:tr>
      <w:tr>
        <w:trPr>
          <w:trHeight w:val="216"/>
        </w:trPr>
        <w:tc>
          <w:tcPr>
            <w:tcW w:w="30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30,886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27,218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25,940</w:t>
            </w:r>
          </w:p>
        </w:tc>
      </w:tr>
      <w:tr>
        <w:trPr>
          <w:trHeight w:val="216"/>
        </w:trPr>
        <w:tc>
          <w:tcPr>
            <w:tcW w:w="30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15,657</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19,626</w:t>
            </w:r>
          </w:p>
        </w:tc>
      </w:tr>
      <w:tr>
        <w:trPr>
          <w:trHeight w:val="212"/>
        </w:trPr>
        <w:tc>
          <w:tcPr>
            <w:tcW w:w="302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273,306</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267,544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262,072</w:t>
            </w:r>
          </w:p>
        </w:tc>
      </w:tr>
      <w:tr>
        <w:trPr>
          <w:trHeight w:val="253"/>
        </w:trPr>
        <w:tc>
          <w:tcPr>
            <w:tcW w:w="3020" w:type="dxa"/>
            <w:vAlign w:val="bottom"/>
          </w:tcPr>
          <w:p>
            <w:pPr>
              <w:ind w:left="340"/>
              <w:spacing w:after="0"/>
              <w:rPr>
                <w:sz w:val="20"/>
                <w:szCs w:val="20"/>
                <w:color w:val="auto"/>
              </w:rPr>
            </w:pPr>
            <w:r>
              <w:rPr>
                <w:rFonts w:ascii="Arial" w:cs="Arial" w:eastAsia="Arial" w:hAnsi="Arial"/>
                <w:sz w:val="16"/>
                <w:szCs w:val="16"/>
                <w:b w:val="1"/>
                <w:bCs w:val="1"/>
                <w:color w:val="auto"/>
              </w:rPr>
              <w:t>Income from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12,827</w:t>
            </w:r>
          </w:p>
        </w:tc>
        <w:tc>
          <w:tcPr>
            <w:tcW w:w="44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6,127</w:t>
            </w:r>
          </w:p>
        </w:tc>
        <w:tc>
          <w:tcPr>
            <w:tcW w:w="120" w:type="dxa"/>
            <w:vAlign w:val="bottom"/>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w:t>
            </w: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0"/>
        </w:trPr>
        <w:tc>
          <w:tcPr>
            <w:tcW w:w="3020" w:type="dxa"/>
            <w:vAlign w:val="bottom"/>
          </w:tcPr>
          <w:p>
            <w:pPr>
              <w:ind w:left="34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52,100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43,780</w:t>
            </w:r>
          </w:p>
        </w:tc>
        <w:tc>
          <w:tcPr>
            <w:tcW w:w="44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42,722</w:t>
            </w:r>
          </w:p>
        </w:tc>
        <w:tc>
          <w:tcPr>
            <w:tcW w:w="12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36,126</w:t>
            </w: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53"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070707"/>
        </w:rPr>
        <w:t xml:space="preserve">Priority Technology Holdings, Inc.’s leadership will host a conference call on Friday, November 13, 2020 at 11:00 a.m. EST to discuss its third quarter 2020 financial results. Participants can access the call by </w:t>
      </w:r>
      <w:r>
        <w:rPr>
          <w:rFonts w:ascii="Arial" w:cs="Arial" w:eastAsia="Arial" w:hAnsi="Arial"/>
          <w:sz w:val="18"/>
          <w:szCs w:val="18"/>
          <w:color w:val="000000"/>
        </w:rPr>
        <w:t>Phone: US/Canada: (877) 501-3161 or International: (786) 815-8443.</w:t>
      </w:r>
    </w:p>
    <w:p>
      <w:pPr>
        <w:spacing w:after="0" w:line="151" w:lineRule="exact"/>
        <w:rPr>
          <w:sz w:val="20"/>
          <w:szCs w:val="20"/>
          <w:color w:val="auto"/>
        </w:rPr>
      </w:pPr>
    </w:p>
    <w:p>
      <w:pPr>
        <w:jc w:val="both"/>
        <w:spacing w:after="0" w:line="342" w:lineRule="auto"/>
        <w:rPr>
          <w:sz w:val="20"/>
          <w:szCs w:val="20"/>
          <w:color w:val="auto"/>
        </w:rPr>
      </w:pPr>
      <w:r>
        <w:rPr>
          <w:rFonts w:ascii="Arial" w:cs="Arial" w:eastAsia="Arial" w:hAnsi="Arial"/>
          <w:sz w:val="18"/>
          <w:szCs w:val="18"/>
          <w:color w:val="auto"/>
        </w:rPr>
        <w:t xml:space="preserve">The Internet webcast link and accompanying slide presentation can be accessed at </w:t>
      </w:r>
      <w:r>
        <w:rPr>
          <w:rFonts w:ascii="Arial" w:cs="Arial" w:eastAsia="Arial" w:hAnsi="Arial"/>
          <w:sz w:val="18"/>
          <w:szCs w:val="18"/>
          <w:b w:val="1"/>
          <w:bCs w:val="1"/>
          <w:color w:val="auto"/>
        </w:rPr>
        <w:t>https://edge.media-server.com/mmc/p/573urite</w:t>
      </w:r>
      <w:r>
        <w:rPr>
          <w:rFonts w:ascii="Arial" w:cs="Arial" w:eastAsia="Arial" w:hAnsi="Arial"/>
          <w:sz w:val="18"/>
          <w:szCs w:val="18"/>
          <w:color w:val="auto"/>
        </w:rPr>
        <w:t xml:space="preserve"> and will also be posted in the “Investor Relations” section of the Company’s website at </w:t>
      </w:r>
      <w:r>
        <w:rPr>
          <w:rFonts w:ascii="Arial" w:cs="Arial" w:eastAsia="Arial" w:hAnsi="Arial"/>
          <w:sz w:val="19"/>
          <w:szCs w:val="19"/>
          <w:b w:val="1"/>
          <w:bCs w:val="1"/>
          <w:u w:val="single" w:color="auto"/>
          <w:color w:val="auto"/>
        </w:rPr>
        <w:t>www.PRTH.com</w:t>
      </w:r>
      <w:r>
        <w:rPr>
          <w:rFonts w:ascii="Arial" w:cs="Arial" w:eastAsia="Arial" w:hAnsi="Arial"/>
          <w:sz w:val="18"/>
          <w:szCs w:val="18"/>
          <w:color w:val="auto"/>
        </w:rPr>
        <w:t>.</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An audio replay of the call will be available shortly after the conference call until November 16, 2020 at 11:30 a.m. EST. To listen to the audio replay, dial (855) 859-2056 or (404) 537-3406 and enter conference ID number </w:t>
      </w:r>
      <w:r>
        <w:rPr>
          <w:rFonts w:ascii="Arial" w:cs="Arial" w:eastAsia="Arial" w:hAnsi="Arial"/>
          <w:sz w:val="21"/>
          <w:szCs w:val="21"/>
          <w:b w:val="1"/>
          <w:bCs w:val="1"/>
          <w:color w:val="auto"/>
        </w:rPr>
        <w:t>5953513</w:t>
      </w:r>
      <w:r>
        <w:rPr>
          <w:rFonts w:ascii="Arial" w:cs="Arial" w:eastAsia="Arial" w:hAnsi="Arial"/>
          <w:sz w:val="20"/>
          <w:szCs w:val="20"/>
          <w:color w:val="auto"/>
        </w:rPr>
        <w:t>. Alternatively, you may access the webcast replay in the “Investor Relations” section of the Company’s website at www.PRTH.com.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Non-GAAP Financial Measures</w:t>
      </w: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communication includes certain non-GAAP financial measures that we regularly review to evaluate our business and trends, measure our performance, prepare financial projections, allocate resources, and make strategic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40" w:right="339" w:bottom="1440" w:gutter="0" w:footer="0" w:header="0"/>
        </w:sectPr>
      </w:pPr>
    </w:p>
    <w:bookmarkStart w:id="5" w:name="page6"/>
    <w:bookmarkEnd w:id="5"/>
    <w:p>
      <w:pPr>
        <w:jc w:val="both"/>
        <w:spacing w:after="0" w:line="328" w:lineRule="auto"/>
        <w:rPr>
          <w:sz w:val="20"/>
          <w:szCs w:val="20"/>
          <w:color w:val="auto"/>
        </w:rPr>
      </w:pPr>
      <w:r>
        <w:rPr>
          <w:rFonts w:ascii="Arial" w:cs="Arial" w:eastAsia="Arial" w:hAnsi="Arial"/>
          <w:sz w:val="16"/>
          <w:szCs w:val="16"/>
          <w:color w:val="auto"/>
        </w:rPr>
        <w:t>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Profit and Gross Profit Margin</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non-GAAP gross profit metric represents revenues less costs of services. Gross profit margin is gross profit divided by revenues. We review these non-GAAP measures to evaluate our underlying profit trends. The reconciliation of gross profit to its most comparable GAAP measure is provided below:</w:t>
      </w:r>
    </w:p>
    <w:p>
      <w:pPr>
        <w:spacing w:after="0" w:line="256" w:lineRule="exact"/>
        <w:rPr>
          <w:sz w:val="20"/>
          <w:szCs w:val="20"/>
          <w:color w:val="auto"/>
        </w:rPr>
      </w:pPr>
    </w:p>
    <w:tbl>
      <w:tblPr>
        <w:tblLayout w:type="fixed"/>
        <w:tblInd w:w="2480" w:type="dxa"/>
        <w:tblCellMar>
          <w:top w:w="0" w:type="dxa"/>
          <w:left w:w="0" w:type="dxa"/>
          <w:bottom w:w="0" w:type="dxa"/>
          <w:right w:w="0" w:type="dxa"/>
        </w:tblCellMar>
      </w:tblPr>
      <w:tr>
        <w:trPr>
          <w:trHeight w:val="225"/>
        </w:trPr>
        <w:tc>
          <w:tcPr>
            <w:tcW w:w="2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gridSpan w:val="3"/>
          </w:tcPr>
          <w:p>
            <w:pPr>
              <w:jc w:val="right"/>
              <w:ind w:right="110"/>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Pr>
          <w:p>
            <w:pPr>
              <w:spacing w:after="0"/>
              <w:rPr>
                <w:sz w:val="19"/>
                <w:szCs w:val="19"/>
                <w:color w:val="auto"/>
              </w:rPr>
            </w:pPr>
          </w:p>
        </w:tc>
      </w:tr>
      <w:tr>
        <w:trPr>
          <w:trHeight w:val="234"/>
        </w:trPr>
        <w:tc>
          <w:tcPr>
            <w:tcW w:w="2460" w:type="dxa"/>
            <w:vAlign w:val="bottom"/>
          </w:tcPr>
          <w:p>
            <w:pPr>
              <w:spacing w:after="0"/>
              <w:rPr>
                <w:sz w:val="20"/>
                <w:szCs w:val="20"/>
                <w:color w:val="auto"/>
              </w:rPr>
            </w:pPr>
          </w:p>
        </w:tc>
        <w:tc>
          <w:tcPr>
            <w:tcW w:w="384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24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371"/>
        </w:trPr>
        <w:tc>
          <w:tcPr>
            <w:tcW w:w="2460" w:type="dxa"/>
            <w:vAlign w:val="bottom"/>
          </w:tcPr>
          <w:p>
            <w:pPr>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108,962</w:t>
            </w:r>
          </w:p>
        </w:tc>
        <w:tc>
          <w:tcPr>
            <w:tcW w:w="2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93,883</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Costs of Services</w:t>
            </w:r>
          </w:p>
        </w:tc>
        <w:tc>
          <w:tcPr>
            <w:tcW w:w="1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(74,971)</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(63,718)</w:t>
            </w: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Gross Profit</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33,991</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30,165</w:t>
            </w:r>
          </w:p>
        </w:tc>
      </w:tr>
      <w:tr>
        <w:trPr>
          <w:trHeight w:val="20"/>
        </w:trPr>
        <w:tc>
          <w:tcPr>
            <w:tcW w:w="2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6"/>
        </w:trPr>
        <w:tc>
          <w:tcPr>
            <w:tcW w:w="2460" w:type="dxa"/>
            <w:vAlign w:val="bottom"/>
          </w:tcPr>
          <w:p>
            <w:pPr>
              <w:spacing w:after="0"/>
              <w:rPr>
                <w:sz w:val="20"/>
                <w:szCs w:val="20"/>
                <w:color w:val="auto"/>
              </w:rPr>
            </w:pPr>
            <w:r>
              <w:rPr>
                <w:rFonts w:ascii="Arial" w:cs="Arial" w:eastAsia="Arial" w:hAnsi="Arial"/>
                <w:sz w:val="18"/>
                <w:szCs w:val="18"/>
                <w:color w:val="auto"/>
              </w:rPr>
              <w:t>Gross Profit Margin</w:t>
            </w:r>
          </w:p>
        </w:tc>
        <w:tc>
          <w:tcPr>
            <w:tcW w:w="1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31.2 %</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32.1 %</w:t>
            </w:r>
          </w:p>
        </w:tc>
      </w:tr>
      <w:tr>
        <w:trPr>
          <w:trHeight w:val="21"/>
        </w:trPr>
        <w:tc>
          <w:tcPr>
            <w:tcW w:w="2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EBITDA, Adjusted EBITDA and Consolidated Adjusted EBITDA</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and/or the write-off of the carrying value of investments or other assets, as well as debt extinguishment and modification expenses and other expenses and income items considered non-recurring, such as acquisition integration expenses, certain professional fees,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litigation settlements. Consolidated adjusted EBITDA, which is a liquidity measure used in determining our total net leverage ratio, is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adjusted EBITDA further adjusted for items specified in the definition of consolidated adjusted EBITDA within our debt agreements, which include the pro-forma impact of acquisitions and/or dispositions and other specified adjustments. We review the non-GAAP adjusted EBITDA measure to evaluate our business and trends, measure our performance, prepare financial projections, allocate resources, and make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strategic decisions. We review the non-GAAP consolidated adjusted EBITDA to evaluate compliance with our total net leverage ratio at each measurement period.</w:t>
      </w:r>
    </w:p>
    <w:p>
      <w:pPr>
        <w:spacing w:after="0" w:line="23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Adjusted EBITDA was $19.6 million in the third quarter of 2020 and $15.3 million in the third quarter of 2019. Non-operating results in the third quarter of 2020 included $62.1 million of pre-tax gain on the sale of the RentPayment business, net of NCIs and $1.5 million of early</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debt extinguishment expense. Selling, general and administrative expenses included net non-recurring expenses in the third quarters of 2020 and 2019 of $1.8 million and $1.2 million, respectively. Salary and employee benefits included non-cash stock-based compensation of $0.6 million and $1.2 million in the third quarters of 2020 and 2019, respectively. The reconciliation of adjusted EBITDA to its most comparable</w:t>
      </w:r>
    </w:p>
    <w:p>
      <w:pPr>
        <w:spacing w:after="0"/>
        <w:rPr>
          <w:sz w:val="20"/>
          <w:szCs w:val="20"/>
          <w:color w:val="auto"/>
        </w:rPr>
      </w:pPr>
      <w:r>
        <w:rPr>
          <w:rFonts w:ascii="Arial" w:cs="Arial" w:eastAsia="Arial" w:hAnsi="Arial"/>
          <w:sz w:val="20"/>
          <w:szCs w:val="20"/>
          <w:color w:val="auto"/>
        </w:rPr>
        <w:t>GAAP measure is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2" w:right="339" w:bottom="1440" w:gutter="0" w:footer="0" w:header="0"/>
        </w:sectPr>
      </w:pPr>
    </w:p>
    <w:bookmarkStart w:id="6" w:name="page7"/>
    <w:bookmarkEnd w:id="6"/>
    <w:tbl>
      <w:tblPr>
        <w:tblLayout w:type="fixed"/>
        <w:tblInd w:w="1640" w:type="dxa"/>
        <w:tblCellMar>
          <w:top w:w="0" w:type="dxa"/>
          <w:left w:w="0" w:type="dxa"/>
          <w:bottom w:w="0" w:type="dxa"/>
          <w:right w:w="0" w:type="dxa"/>
        </w:tblCellMar>
      </w:tblPr>
      <w:tr>
        <w:trPr>
          <w:trHeight w:val="226"/>
        </w:trPr>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tcPr>
          <w:p>
            <w:pPr>
              <w:spacing w:after="0"/>
              <w:rPr>
                <w:sz w:val="19"/>
                <w:szCs w:val="19"/>
                <w:color w:val="auto"/>
              </w:rPr>
            </w:pPr>
          </w:p>
        </w:tc>
      </w:tr>
      <w:tr>
        <w:trPr>
          <w:trHeight w:val="234"/>
        </w:trPr>
        <w:tc>
          <w:tcPr>
            <w:tcW w:w="4300" w:type="dxa"/>
            <w:vAlign w:val="bottom"/>
          </w:tcPr>
          <w:p>
            <w:pPr>
              <w:spacing w:after="0"/>
              <w:rPr>
                <w:sz w:val="20"/>
                <w:szCs w:val="20"/>
                <w:color w:val="auto"/>
              </w:rPr>
            </w:pPr>
          </w:p>
        </w:tc>
        <w:tc>
          <w:tcPr>
            <w:tcW w:w="370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4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425"/>
        </w:trPr>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40,392</w:t>
            </w:r>
          </w:p>
        </w:tc>
        <w:tc>
          <w:tcPr>
            <w:tcW w:w="12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(5,844)</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13,471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10,463</w:t>
            </w: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EBITDA</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77,851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12,960</w:t>
            </w: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Gain on sale, net of NCIs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(62,091)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Debt extinguishment and modification</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Non-cash stock-based compensation</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Adjusted EBITDA</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15,325</w:t>
            </w:r>
          </w:p>
        </w:tc>
      </w:tr>
      <w:tr>
        <w:trPr>
          <w:trHeight w:val="21"/>
        </w:trPr>
        <w:tc>
          <w:tcPr>
            <w:tcW w:w="4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Further detail of certain of these adjustments, and where these items are recorded in our consolidated statements of operations, is provided below:</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226"/>
        </w:trPr>
        <w:tc>
          <w:tcPr>
            <w:tcW w:w="4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gridSpan w:val="3"/>
          </w:tcPr>
          <w:p>
            <w:pPr>
              <w:jc w:val="right"/>
              <w:ind w:right="630"/>
              <w:spacing w:after="0"/>
              <w:rPr>
                <w:sz w:val="20"/>
                <w:szCs w:val="20"/>
                <w:color w:val="auto"/>
              </w:rPr>
            </w:pPr>
            <w:r>
              <w:rPr>
                <w:rFonts w:ascii="Arial" w:cs="Arial" w:eastAsia="Arial" w:hAnsi="Arial"/>
                <w:sz w:val="18"/>
                <w:szCs w:val="18"/>
                <w:i w:val="1"/>
                <w:iCs w:val="1"/>
                <w:color w:val="auto"/>
              </w:rPr>
              <w:t>(in thousands)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366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19"/>
                <w:szCs w:val="19"/>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ind w:left="640"/>
              <w:spacing w:after="0"/>
              <w:rPr>
                <w:sz w:val="20"/>
                <w:szCs w:val="20"/>
                <w:color w:val="auto"/>
              </w:rPr>
            </w:pPr>
            <w:r>
              <w:rPr>
                <w:rFonts w:ascii="Arial" w:cs="Arial" w:eastAsia="Arial" w:hAnsi="Arial"/>
                <w:sz w:val="18"/>
                <w:szCs w:val="18"/>
                <w:b w:val="1"/>
                <w:bCs w:val="1"/>
                <w:color w:val="auto"/>
              </w:rPr>
              <w:t>Segment</w:t>
            </w:r>
          </w:p>
        </w:tc>
        <w:tc>
          <w:tcPr>
            <w:tcW w:w="0" w:type="dxa"/>
            <w:vAlign w:val="bottom"/>
          </w:tcPr>
          <w:p>
            <w:pPr>
              <w:spacing w:after="0"/>
              <w:rPr>
                <w:sz w:val="1"/>
                <w:szCs w:val="1"/>
                <w:color w:val="auto"/>
              </w:rPr>
            </w:pPr>
          </w:p>
        </w:tc>
      </w:tr>
      <w:tr>
        <w:trPr>
          <w:trHeight w:val="425"/>
        </w:trPr>
        <w:tc>
          <w:tcPr>
            <w:tcW w:w="486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10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Acquisition integration services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1,012</w:t>
            </w:r>
          </w:p>
        </w:tc>
        <w:tc>
          <w:tcPr>
            <w:tcW w:w="128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Integrated Partners</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Intangible carrying value adjustment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Consumer</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Legal and professional fees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Legal settlements</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Salary and employee benefit expense:</w:t>
            </w: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8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Non-cash stock-based compensation</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128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Consumer</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Non-cash stock-based compensation</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Non-cash stock-based compensation</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Integrated Partners</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Non-cash stock-based compensation</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Other Income (Expenses):</w:t>
            </w: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860" w:type="dxa"/>
            <w:vAlign w:val="bottom"/>
            <w:vMerge w:val="continue"/>
          </w:tcPr>
          <w:p>
            <w:pPr>
              <w:spacing w:after="0"/>
              <w:rPr>
                <w:sz w:val="24"/>
                <w:szCs w:val="24"/>
                <w:color w:val="auto"/>
              </w:rPr>
            </w:pPr>
          </w:p>
        </w:tc>
        <w:tc>
          <w:tcPr>
            <w:tcW w:w="1080" w:type="dxa"/>
            <w:vAlign w:val="bottom"/>
            <w:vMerge w:val="restart"/>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20"/>
              <w:spacing w:after="0"/>
              <w:rPr>
                <w:sz w:val="20"/>
                <w:szCs w:val="20"/>
                <w:color w:val="auto"/>
              </w:rPr>
            </w:pPr>
            <w:r>
              <w:rPr>
                <w:rFonts w:ascii="Arial" w:cs="Arial" w:eastAsia="Arial" w:hAnsi="Arial"/>
                <w:sz w:val="18"/>
                <w:szCs w:val="18"/>
                <w:color w:val="auto"/>
              </w:rPr>
              <w:t>Debt extinguishment and modification</w:t>
            </w:r>
          </w:p>
        </w:tc>
        <w:tc>
          <w:tcPr>
            <w:tcW w:w="108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860" w:type="dxa"/>
            <w:vAlign w:val="bottom"/>
          </w:tcPr>
          <w:p>
            <w:pPr>
              <w:ind w:left="220"/>
              <w:spacing w:after="0"/>
              <w:rPr>
                <w:sz w:val="20"/>
                <w:szCs w:val="20"/>
                <w:color w:val="auto"/>
              </w:rPr>
            </w:pPr>
            <w:r>
              <w:rPr>
                <w:rFonts w:ascii="Arial" w:cs="Arial" w:eastAsia="Arial" w:hAnsi="Arial"/>
                <w:sz w:val="18"/>
                <w:szCs w:val="18"/>
                <w:color w:val="auto"/>
              </w:rPr>
              <w:t>Gain on sale of business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107,239</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20"/>
              <w:spacing w:after="0"/>
              <w:rPr>
                <w:sz w:val="20"/>
                <w:szCs w:val="20"/>
                <w:color w:val="auto"/>
              </w:rPr>
            </w:pPr>
            <w:r>
              <w:rPr>
                <w:rFonts w:ascii="Arial" w:cs="Arial" w:eastAsia="Arial" w:hAnsi="Arial"/>
                <w:sz w:val="18"/>
                <w:szCs w:val="18"/>
                <w:color w:val="auto"/>
              </w:rPr>
              <w:t>Attributable to NCIs</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(45,148)</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Gain on sale, net of NCIs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35" w:right="339" w:bottom="1440" w:gutter="0" w:footer="0" w:header="0"/>
        </w:sectPr>
      </w:pPr>
    </w:p>
    <w:bookmarkStart w:id="7" w:name="page8"/>
    <w:bookmarkEnd w:id="7"/>
    <w:p>
      <w:pPr>
        <w:jc w:val="both"/>
        <w:spacing w:after="0" w:line="256" w:lineRule="auto"/>
        <w:rPr>
          <w:sz w:val="20"/>
          <w:szCs w:val="20"/>
          <w:color w:val="auto"/>
        </w:rPr>
      </w:pPr>
      <w:r>
        <w:rPr>
          <w:rFonts w:ascii="Arial" w:cs="Arial" w:eastAsia="Arial" w:hAnsi="Arial"/>
          <w:sz w:val="19"/>
          <w:szCs w:val="19"/>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About Priority Technology Holdings, Inc.</w:t>
      </w:r>
    </w:p>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Priority is a leading provider of merchant acquiring, integrated payment software and commercial payment solutions, offering unique product and service capabilities to its merchant network and distribution partners. Priority’s enterprise operates from a purpose-built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Forward-Looking Statements</w:t>
      </w:r>
    </w:p>
    <w:p>
      <w:pPr>
        <w:spacing w:after="0" w:line="2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2020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w:t>
      </w:r>
    </w:p>
    <w:p>
      <w:pPr>
        <w:spacing w:after="0"/>
        <w:rPr>
          <w:sz w:val="20"/>
          <w:szCs w:val="20"/>
          <w:color w:val="auto"/>
        </w:rPr>
      </w:pPr>
      <w:r>
        <w:rPr>
          <w:rFonts w:ascii="Arial" w:cs="Arial" w:eastAsia="Arial" w:hAnsi="Arial"/>
          <w:sz w:val="16"/>
          <w:szCs w:val="16"/>
          <w:color w:val="auto"/>
        </w:rPr>
        <w:t>statements. These forward-looking statements may include, but are not limited to, statements about the effects of the COVID-19 pandemic on</w:t>
      </w:r>
    </w:p>
    <w:p>
      <w:pPr>
        <w:spacing w:after="0" w:line="7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revenues and financial operating results. Our actual results could differ materially, and potentially adversely, from those discussed or implied herein.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and our most recent Quarterly Report on Form 10-Q filed with the SEC on March 30, 2020 and November 12, 2020, respectively. These filings are available online at www.sec.gov or www.PRTH.com.</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2" w:right="339" w:bottom="1440" w:gutter="0" w:footer="0" w:header="0"/>
        </w:sectPr>
      </w:pPr>
    </w:p>
    <w:bookmarkStart w:id="8" w:name="page9"/>
    <w:bookmarkEnd w:id="8"/>
    <w:p>
      <w:pPr>
        <w:spacing w:after="0" w:line="260" w:lineRule="auto"/>
        <w:rPr>
          <w:sz w:val="20"/>
          <w:szCs w:val="20"/>
          <w:color w:val="auto"/>
        </w:rPr>
      </w:pPr>
      <w:r>
        <w:rPr>
          <w:rFonts w:ascii="Arial" w:cs="Arial" w:eastAsia="Arial" w:hAnsi="Arial"/>
          <w:sz w:val="20"/>
          <w:szCs w:val="20"/>
          <w:color w:val="auto"/>
        </w:rPr>
        <w:t>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2" w:right="339" w:bottom="1440" w:gutter="0" w:footer="0" w:header="0"/>
        </w:sectPr>
      </w:pPr>
    </w:p>
    <w:bookmarkStart w:id="9" w:name="page10"/>
    <w:bookmarkEnd w:id="9"/>
    <w:p>
      <w:pPr>
        <w:jc w:val="center"/>
        <w:ind w:right="-49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20" w:type="dxa"/>
            <w:vAlign w:val="bottom"/>
            <w:shd w:val="clear" w:color="auto" w:fill="CCEEFF"/>
          </w:tcPr>
          <w:p>
            <w:pPr>
              <w:spacing w:after="0"/>
              <w:rPr>
                <w:sz w:val="19"/>
                <w:szCs w:val="19"/>
                <w:color w:val="auto"/>
              </w:rPr>
            </w:pPr>
          </w:p>
        </w:tc>
        <w:tc>
          <w:tcPr>
            <w:tcW w:w="3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8"/>
              </w:rPr>
              <w:t>Three Months Ended September 30,</w:t>
            </w:r>
          </w:p>
        </w:tc>
        <w:tc>
          <w:tcPr>
            <w:tcW w:w="288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273,671</w:t>
            </w:r>
          </w:p>
        </w:tc>
        <w:tc>
          <w:tcPr>
            <w:tcW w:w="0" w:type="dxa"/>
            <w:vAlign w:val="bottom"/>
          </w:tcPr>
          <w:p>
            <w:pPr>
              <w:spacing w:after="0"/>
              <w:rPr>
                <w:sz w:val="1"/>
                <w:szCs w:val="1"/>
                <w:color w:val="auto"/>
              </w:rPr>
            </w:pPr>
          </w:p>
        </w:tc>
      </w:tr>
      <w:tr>
        <w:trPr>
          <w:trHeight w:val="183"/>
        </w:trPr>
        <w:tc>
          <w:tcPr>
            <w:tcW w:w="4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of services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185,827</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Salary and employee benefits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31,923</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28,763</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21,031</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267,544</w:t>
            </w:r>
          </w:p>
        </w:tc>
        <w:tc>
          <w:tcPr>
            <w:tcW w:w="0" w:type="dxa"/>
            <w:vAlign w:val="bottom"/>
          </w:tcPr>
          <w:p>
            <w:pPr>
              <w:spacing w:after="0"/>
              <w:rPr>
                <w:sz w:val="1"/>
                <w:szCs w:val="1"/>
                <w:color w:val="auto"/>
              </w:rPr>
            </w:pPr>
          </w:p>
        </w:tc>
      </w:tr>
      <w:tr>
        <w:trPr>
          <w:trHeight w:val="88"/>
        </w:trPr>
        <w:tc>
          <w:tcPr>
            <w:tcW w:w="4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(30,602)</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and modification costs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Gain on sale of business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income (expenses), net</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(30,079)</w:t>
            </w:r>
          </w:p>
        </w:tc>
        <w:tc>
          <w:tcPr>
            <w:tcW w:w="0" w:type="dxa"/>
            <w:vAlign w:val="bottom"/>
          </w:tcPr>
          <w:p>
            <w:pPr>
              <w:spacing w:after="0"/>
              <w:rPr>
                <w:sz w:val="1"/>
                <w:szCs w:val="1"/>
                <w:color w:val="auto"/>
              </w:rPr>
            </w:pPr>
          </w:p>
        </w:tc>
      </w:tr>
      <w:tr>
        <w:trPr>
          <w:trHeight w:val="88"/>
        </w:trPr>
        <w:tc>
          <w:tcPr>
            <w:tcW w:w="4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(23,952)</w:t>
            </w:r>
          </w:p>
        </w:tc>
        <w:tc>
          <w:tcPr>
            <w:tcW w:w="0" w:type="dxa"/>
            <w:vAlign w:val="bottom"/>
          </w:tcPr>
          <w:p>
            <w:pPr>
              <w:spacing w:after="0"/>
              <w:rPr>
                <w:sz w:val="1"/>
                <w:szCs w:val="1"/>
                <w:color w:val="auto"/>
              </w:rPr>
            </w:pPr>
          </w:p>
        </w:tc>
      </w:tr>
      <w:tr>
        <w:trPr>
          <w:trHeight w:val="108"/>
        </w:trPr>
        <w:tc>
          <w:tcPr>
            <w:tcW w:w="4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88"/>
        </w:trPr>
        <w:tc>
          <w:tcPr>
            <w:tcW w:w="4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85,740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(26,420)</w:t>
            </w:r>
          </w:p>
        </w:tc>
        <w:tc>
          <w:tcPr>
            <w:tcW w:w="0" w:type="dxa"/>
            <w:vAlign w:val="bottom"/>
          </w:tcPr>
          <w:p>
            <w:pPr>
              <w:spacing w:after="0"/>
              <w:rPr>
                <w:sz w:val="1"/>
                <w:szCs w:val="1"/>
                <w:color w:val="auto"/>
              </w:rPr>
            </w:pPr>
          </w:p>
        </w:tc>
      </w:tr>
      <w:tr>
        <w:trPr>
          <w:trHeight w:val="95"/>
        </w:trPr>
        <w:tc>
          <w:tcPr>
            <w:tcW w:w="4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7"/>
              </w:rPr>
              <w:t>Net income (loss) attributable to stockholders of Priority</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26,665</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(26,420)</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Technology Holdings, Inc.</w:t>
            </w:r>
          </w:p>
        </w:tc>
        <w:tc>
          <w:tcPr>
            <w:tcW w:w="12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Income (loss) per common share:</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and equivalents: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67,109</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320" w:top="891" w:right="839" w:bottom="1440" w:gutter="0" w:footer="0" w:header="0"/>
        </w:sectPr>
      </w:pPr>
    </w:p>
    <w:bookmarkStart w:id="10" w:name="page11"/>
    <w:bookmarkEnd w:id="10"/>
    <w:p>
      <w:pPr>
        <w:ind w:left="374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i w:val="1"/>
                <w:iCs w:val="1"/>
                <w:color w:val="auto"/>
                <w:w w:val="92"/>
              </w:rPr>
              <w:t>Unaudited</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2020</w:t>
            </w:r>
          </w:p>
        </w:tc>
        <w:tc>
          <w:tcPr>
            <w:tcW w:w="20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47,231</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37,993</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3,897</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notes receivable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 assets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94,214</w:t>
            </w:r>
          </w:p>
        </w:tc>
      </w:tr>
      <w:tr>
        <w:trPr>
          <w:trHeight w:val="257"/>
        </w:trPr>
        <w:tc>
          <w:tcPr>
            <w:tcW w:w="7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less current portion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23,518</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109,515</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97,239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182,826</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49,657</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48"/>
        </w:trPr>
        <w:tc>
          <w:tcPr>
            <w:tcW w:w="7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464,505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Accrued residual commissions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19,315</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 and advance payments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 obligations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37,789</w:t>
            </w: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93,004</w:t>
            </w:r>
          </w:p>
        </w:tc>
      </w:tr>
      <w:tr>
        <w:trPr>
          <w:trHeight w:val="142"/>
        </w:trPr>
        <w:tc>
          <w:tcPr>
            <w:tcW w:w="7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485,578</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492,190</w:t>
            </w:r>
          </w:p>
        </w:tc>
      </w:tr>
      <w:tr>
        <w:trPr>
          <w:trHeight w:val="88"/>
        </w:trPr>
        <w:tc>
          <w:tcPr>
            <w:tcW w:w="7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tcPr>
          <w:p>
            <w:pPr>
              <w:spacing w:after="0"/>
              <w:rPr>
                <w:sz w:val="7"/>
                <w:szCs w:val="7"/>
                <w:color w:val="auto"/>
              </w:rPr>
            </w:pPr>
          </w:p>
        </w:tc>
      </w:tr>
      <w:tr>
        <w:trPr>
          <w:trHeight w:val="230"/>
        </w:trPr>
        <w:tc>
          <w:tcPr>
            <w:tcW w:w="71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585,194</w:t>
            </w:r>
          </w:p>
        </w:tc>
      </w:tr>
      <w:tr>
        <w:trPr>
          <w:trHeight w:val="142"/>
        </w:trPr>
        <w:tc>
          <w:tcPr>
            <w:tcW w:w="7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3,651</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(127,674)</w:t>
            </w:r>
          </w:p>
        </w:tc>
      </w:tr>
      <w:tr>
        <w:trPr>
          <w:trHeight w:val="223"/>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Priority Technology Holdings, Inc. stockholders' deficit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(126,343)</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Non-controlling interest in subsidiary</w:t>
            </w: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5,654</w:t>
            </w:r>
          </w:p>
        </w:tc>
      </w:tr>
      <w:tr>
        <w:trPr>
          <w:trHeight w:val="223"/>
        </w:trPr>
        <w:tc>
          <w:tcPr>
            <w:tcW w:w="71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deficit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(120,689)</w:t>
            </w:r>
          </w:p>
        </w:tc>
      </w:tr>
      <w:tr>
        <w:trPr>
          <w:trHeight w:val="142"/>
        </w:trPr>
        <w:tc>
          <w:tcPr>
            <w:tcW w:w="7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255"/>
        </w:trPr>
        <w:tc>
          <w:tcPr>
            <w:tcW w:w="7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464,505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69"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gridSpan w:val="4"/>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7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72,013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(26,420)</w:t>
            </w:r>
          </w:p>
        </w:tc>
      </w:tr>
      <w:tr>
        <w:trPr>
          <w:trHeight w:val="229"/>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8"/>
                <w:szCs w:val="18"/>
                <w:color w:val="auto"/>
              </w:rPr>
              <w:t>Gain recognized on sale of business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costs upon sale of business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00"/>
              <w:spacing w:after="0"/>
              <w:rPr>
                <w:sz w:val="20"/>
                <w:szCs w:val="20"/>
                <w:color w:val="auto"/>
              </w:rPr>
            </w:pPr>
            <w:r>
              <w:rPr>
                <w:rFonts w:ascii="Arial" w:cs="Arial" w:eastAsia="Arial" w:hAnsi="Arial"/>
                <w:sz w:val="18"/>
                <w:szCs w:val="18"/>
                <w:color w:val="auto"/>
              </w:rPr>
              <w:t>Depreciation and amortization of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28,763</w:t>
            </w:r>
          </w:p>
        </w:tc>
      </w:tr>
      <w:tr>
        <w:trPr>
          <w:trHeight w:val="230"/>
        </w:trPr>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Equity-classified and liability-classified stock compensation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r>
      <w:tr>
        <w:trPr>
          <w:trHeight w:val="229"/>
        </w:trPr>
        <w:tc>
          <w:tcPr>
            <w:tcW w:w="7760" w:type="dxa"/>
            <w:vAlign w:val="bottom"/>
          </w:tcPr>
          <w:p>
            <w:pPr>
              <w:ind w:left="200"/>
              <w:spacing w:after="0"/>
              <w:rPr>
                <w:sz w:val="20"/>
                <w:szCs w:val="20"/>
                <w:color w:val="auto"/>
              </w:rPr>
            </w:pPr>
            <w:r>
              <w:rPr>
                <w:rFonts w:ascii="Arial" w:cs="Arial" w:eastAsia="Arial" w:hAnsi="Arial"/>
                <w:sz w:val="18"/>
                <w:szCs w:val="18"/>
                <w:color w:val="auto"/>
              </w:rPr>
              <w:t>Amortization of debt issuance costs and discounts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for deferred income taxes, net of change in allowance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30"/>
        </w:trPr>
        <w:tc>
          <w:tcPr>
            <w:tcW w:w="7760" w:type="dxa"/>
            <w:vAlign w:val="bottom"/>
          </w:tcPr>
          <w:p>
            <w:pPr>
              <w:ind w:left="200"/>
              <w:spacing w:after="0"/>
              <w:rPr>
                <w:sz w:val="20"/>
                <w:szCs w:val="20"/>
                <w:color w:val="auto"/>
              </w:rPr>
            </w:pPr>
            <w:r>
              <w:rPr>
                <w:rFonts w:ascii="Arial" w:cs="Arial" w:eastAsia="Arial" w:hAnsi="Arial"/>
                <w:sz w:val="18"/>
                <w:szCs w:val="18"/>
                <w:color w:val="auto"/>
              </w:rPr>
              <w:t>Payment-in-kind interest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3,807</w:t>
            </w: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00"/>
              <w:spacing w:after="0"/>
              <w:rPr>
                <w:sz w:val="20"/>
                <w:szCs w:val="20"/>
                <w:color w:val="auto"/>
              </w:rPr>
            </w:pPr>
            <w:r>
              <w:rPr>
                <w:rFonts w:ascii="Arial" w:cs="Arial" w:eastAsia="Arial" w:hAnsi="Arial"/>
                <w:sz w:val="18"/>
                <w:szCs w:val="18"/>
                <w:color w:val="auto"/>
              </w:rPr>
              <w:t>Impairment charges for intangible asset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non-cash items,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7760" w:type="dxa"/>
            <w:vAlign w:val="bottom"/>
          </w:tcPr>
          <w:p>
            <w:pPr>
              <w:ind w:left="120"/>
              <w:spacing w:after="0"/>
              <w:rPr>
                <w:sz w:val="20"/>
                <w:szCs w:val="20"/>
                <w:color w:val="auto"/>
              </w:rPr>
            </w:pPr>
            <w:r>
              <w:rPr>
                <w:rFonts w:ascii="Arial" w:cs="Arial" w:eastAsia="Arial" w:hAnsi="Arial"/>
                <w:sz w:val="18"/>
                <w:szCs w:val="18"/>
                <w:color w:val="auto"/>
              </w:rPr>
              <w:t>Change in operating assets and liabilities, excluding business sale:</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29"/>
        </w:trPr>
        <w:tc>
          <w:tcPr>
            <w:tcW w:w="7760" w:type="dxa"/>
            <w:vAlign w:val="bottom"/>
          </w:tcPr>
          <w:p>
            <w:pPr>
              <w:ind w:left="340"/>
              <w:spacing w:after="0"/>
              <w:rPr>
                <w:sz w:val="20"/>
                <w:szCs w:val="20"/>
                <w:color w:val="auto"/>
              </w:rPr>
            </w:pPr>
            <w:r>
              <w:rPr>
                <w:rFonts w:ascii="Arial" w:cs="Arial" w:eastAsia="Arial" w:hAnsi="Arial"/>
                <w:sz w:val="18"/>
                <w:szCs w:val="18"/>
                <w:color w:val="auto"/>
              </w:rPr>
              <w:t>Settlement assets and obligations,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6,696</w:t>
            </w:r>
          </w:p>
        </w:tc>
      </w:tr>
      <w:tr>
        <w:trPr>
          <w:trHeight w:val="229"/>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Accounts payable and other 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(6,091)</w:t>
            </w: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deposits and advance payments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assets and liabilities, net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7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w:t>
            </w:r>
          </w:p>
        </w:tc>
      </w:tr>
      <w:tr>
        <w:trPr>
          <w:trHeight w:val="75"/>
        </w:trPr>
        <w:tc>
          <w:tcPr>
            <w:tcW w:w="7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29"/>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Sale of business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179,416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to property, equipment and software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w:t>
            </w: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Acquisitions of intangible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(81,777)</w:t>
            </w:r>
          </w:p>
        </w:tc>
      </w:tr>
      <w:tr>
        <w:trPr>
          <w:trHeight w:val="229"/>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receivable loan funding</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Other investing activity</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77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168,990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(93,623)</w:t>
            </w:r>
          </w:p>
        </w:tc>
      </w:tr>
      <w:tr>
        <w:trPr>
          <w:trHeight w:val="142"/>
        </w:trPr>
        <w:tc>
          <w:tcPr>
            <w:tcW w:w="7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Proceeds from issuance of long-term debt, net of issue discount</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69,650</w:t>
            </w:r>
          </w:p>
        </w:tc>
      </w:tr>
      <w:tr>
        <w:trPr>
          <w:trHeight w:val="229"/>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long-term debt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Debt modification costs (paid) refunded</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under revolving credit facility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Repayments under revolving credit facility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Profit distributions to redeemable non-controlling interests of subsidiaries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Redemption of redeemable non-controlling interest of subsidiary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23"/>
        </w:trPr>
        <w:tc>
          <w:tcPr>
            <w:tcW w:w="7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(163,761)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76,018</w:t>
            </w:r>
          </w:p>
        </w:tc>
      </w:tr>
      <w:tr>
        <w:trPr>
          <w:trHeight w:val="129"/>
        </w:trPr>
        <w:tc>
          <w:tcPr>
            <w:tcW w:w="7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Net change in cash and restricted cash:</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cash and restricted cash</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r>
      <w:tr>
        <w:trPr>
          <w:trHeight w:val="229"/>
        </w:trPr>
        <w:tc>
          <w:tcPr>
            <w:tcW w:w="7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Cash and restricted cash at beginning of period</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33,831</w:t>
            </w:r>
          </w:p>
        </w:tc>
      </w:tr>
      <w:tr>
        <w:trPr>
          <w:trHeight w:val="248"/>
        </w:trPr>
        <w:tc>
          <w:tcPr>
            <w:tcW w:w="7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restricted cash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891" w:right="35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60" w:top="891" w:right="35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Reportable Segments'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ind w:left="460"/>
              <w:spacing w:after="0"/>
              <w:rPr>
                <w:sz w:val="20"/>
                <w:szCs w:val="20"/>
                <w:color w:val="auto"/>
              </w:rPr>
            </w:pPr>
            <w:r>
              <w:rPr>
                <w:rFonts w:ascii="Arial" w:cs="Arial" w:eastAsia="Arial" w:hAnsi="Arial"/>
                <w:sz w:val="18"/>
                <w:szCs w:val="18"/>
                <w:i w:val="1"/>
                <w:iCs w:val="1"/>
                <w:color w:val="auto"/>
              </w:rPr>
              <w:t>Unaudited</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4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shd w:val="clear" w:color="auto" w:fill="CCEEFF"/>
          </w:tcPr>
          <w:p>
            <w:pPr>
              <w:spacing w:after="0"/>
              <w:rPr>
                <w:sz w:val="19"/>
                <w:szCs w:val="19"/>
                <w:color w:val="auto"/>
              </w:rPr>
            </w:pPr>
          </w:p>
        </w:tc>
        <w:tc>
          <w:tcPr>
            <w:tcW w:w="318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shd w:val="clear" w:color="auto" w:fill="CCEEFF"/>
          </w:tcPr>
          <w:p>
            <w:pPr>
              <w:spacing w:after="0"/>
              <w:rPr>
                <w:sz w:val="19"/>
                <w:szCs w:val="19"/>
                <w:color w:val="auto"/>
              </w:rPr>
            </w:pPr>
          </w:p>
        </w:tc>
        <w:tc>
          <w:tcPr>
            <w:tcW w:w="30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Consumer Payments: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99,301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82,742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267,039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243,205</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88,203</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75,528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241,519</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220,909</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11,098</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25,520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22,296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Operating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11.2 %</w:t>
            </w:r>
          </w:p>
        </w:tc>
        <w:tc>
          <w:tcPr>
            <w:tcW w:w="3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8.7 %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9.6 %</w:t>
            </w:r>
          </w:p>
        </w:tc>
        <w:tc>
          <w:tcPr>
            <w:tcW w:w="3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8,481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25,721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24,215</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11,235,068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10,566,501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30,632,724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31,551,405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122,623</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131,646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334,896</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382,676</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4,995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6,338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17,017</w:t>
            </w:r>
          </w:p>
        </w:tc>
        <w:tc>
          <w:tcPr>
            <w:tcW w:w="3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19,492</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4,826</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6,720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15,609</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20,607</w:t>
            </w:r>
          </w:p>
        </w:tc>
        <w:tc>
          <w:tcPr>
            <w:tcW w:w="0" w:type="dxa"/>
            <w:vAlign w:val="bottom"/>
          </w:tcPr>
          <w:p>
            <w:pPr>
              <w:spacing w:after="0"/>
              <w:rPr>
                <w:sz w:val="1"/>
                <w:szCs w:val="1"/>
                <w:color w:val="auto"/>
              </w:rPr>
            </w:pPr>
          </w:p>
        </w:tc>
      </w:tr>
      <w:tr>
        <w:trPr>
          <w:trHeight w:val="223"/>
        </w:trPr>
        <w:tc>
          <w:tcPr>
            <w:tcW w:w="448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169</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1,408</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58,304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195,229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236,716</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1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4,666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14,195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10,974</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4,413</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12,729</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253</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1,466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Operating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5.4 %</w:t>
            </w:r>
          </w:p>
        </w:tc>
        <w:tc>
          <w:tcPr>
            <w:tcW w:w="3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20.9 %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10.3 %</w:t>
            </w:r>
          </w:p>
        </w:tc>
        <w:tc>
          <w:tcPr>
            <w:tcW w:w="3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4,048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105,537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119,747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352,144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259,894</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1,207</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57"/>
        </w:trPr>
        <w:tc>
          <w:tcPr>
            <w:tcW w:w="4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28,394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22,523</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Corporate expense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(4,478)</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(13,762)</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(16,396)</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7,042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14,632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290</w:t>
            </w: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407</w:t>
            </w:r>
          </w:p>
        </w:tc>
        <w:tc>
          <w:tcPr>
            <w:tcW w:w="1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886</w:t>
            </w: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11,398,909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10,778,538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31,180,097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32,048,015</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123,018</w:t>
            </w:r>
          </w:p>
        </w:tc>
        <w:tc>
          <w:tcPr>
            <w:tcW w:w="34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132,093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336,173</w:t>
            </w:r>
          </w:p>
        </w:tc>
        <w:tc>
          <w:tcPr>
            <w:tcW w:w="34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383,673</w:t>
            </w:r>
          </w:p>
        </w:tc>
        <w:tc>
          <w:tcPr>
            <w:tcW w:w="0" w:type="dxa"/>
            <w:vAlign w:val="bottom"/>
          </w:tcPr>
          <w:p>
            <w:pPr>
              <w:spacing w:after="0"/>
              <w:rPr>
                <w:sz w:val="1"/>
                <w:szCs w:val="1"/>
                <w:color w:val="auto"/>
              </w:rPr>
            </w:pPr>
          </w:p>
        </w:tc>
      </w:tr>
      <w:tr>
        <w:trPr>
          <w:trHeight w:val="850"/>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00"/>
      </w:cols>
      <w:pgMar w:left="440" w:top="89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2020-11-13T05:19:10Z</dcterms:created>
  <dcterms:modified xsi:type="dcterms:W3CDTF">2020-11-13T05:19:10Z</dcterms:modified>
</cp:coreProperties>
</file>