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PRIORITY TECHNOLOGY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74275G107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74275G107</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Trident VII,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CAYMAN ISLANDS</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74275G107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Trident Finxera Holdings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1"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0 %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74275G107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Trident Finxera Holdings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327"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1" w:right="1440" w:bottom="327"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74275G107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Trident Capital VII, L.P.</w:t>
      </w:r>
    </w:p>
    <w:p>
      <w:pPr>
        <w:spacing w:after="0" w:line="2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327"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7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26" w:right="1440" w:bottom="3"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74275G107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Stone Point Capital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12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bl>
    <w:p>
      <w:pPr>
        <w:sectPr>
          <w:pgSz w:w="11900" w:h="16838" w:orient="portrait"/>
          <w:cols w:equalWidth="0" w:num="1">
            <w:col w:w="10099"/>
          </w:cols>
          <w:pgMar w:left="360" w:top="126" w:right="1440" w:bottom="3" w:gutter="0" w:footer="0" w:header="0"/>
          <w:type w:val="continuous"/>
        </w:sectPr>
      </w:pPr>
    </w:p>
    <w:bookmarkStart w:id="4" w:name="page5"/>
    <w:bookmarkEnd w:id="4"/>
    <w:p>
      <w:pPr>
        <w:ind w:left="140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0.00</w:t>
      </w:r>
    </w:p>
    <w:p>
      <w:pPr>
        <w:spacing w:after="0" w:line="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PRIORITY TECHNOLOGY HOLDINGS,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2001 Westside Parkway, Suite 155, Alpharetta, GA 30004</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hanging="912"/>
        <w:spacing w:after="0" w:line="244"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Trident Finxera Holdings LP ("Holdings LP"); (ii) Trident Finxera Holdings GP LLC ("Holdings GP LLC"); (iii) Trident VII, L.P. ("Trident VII"); (iv) Trident Capital VII, L.P. ("Trident VII GP"); (v) Stone Point Capital LLC ("Stone Point Capital")</w:t>
      </w:r>
    </w:p>
    <w:p>
      <w:pPr>
        <w:spacing w:after="0" w:line="11"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22"/>
          <w:szCs w:val="22"/>
          <w:color w:val="auto"/>
        </w:rPr>
      </w:pPr>
    </w:p>
    <w:p>
      <w:pPr>
        <w:ind w:left="920" w:right="74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principal address of each of the Reporting Persons is c/o Stone Point Capital LLC, 20 Horseneck Lane, Greenwich, CT 06830.</w:t>
      </w:r>
    </w:p>
    <w:p>
      <w:pPr>
        <w:spacing w:after="0" w:line="17" w:lineRule="exact"/>
        <w:rPr>
          <w:rFonts w:ascii="Times New Roman" w:cs="Times New Roman" w:eastAsia="Times New Roman" w:hAnsi="Times New Roman"/>
          <w:sz w:val="39"/>
          <w:szCs w:val="39"/>
          <w:color w:val="auto"/>
          <w:vertAlign w:val="superscript"/>
        </w:rPr>
      </w:pPr>
    </w:p>
    <w:p>
      <w:pPr>
        <w:ind w:left="920"/>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39"/>
          <w:szCs w:val="39"/>
          <w:color w:val="auto"/>
          <w:vertAlign w:val="superscript"/>
        </w:rPr>
      </w:pPr>
    </w:p>
    <w:p>
      <w:pPr>
        <w:ind w:left="920" w:right="14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(i) Holdings LP - Delaware; (ii) Holdings GP LLC - Delaware; (iii) Trident VII - Cayman Islands; (iv) Trident VII GP - Cayman Islands; (v) Stone Point Capital - Delaware</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par value $0.001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74275G107</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500" w:hanging="912"/>
        <w:spacing w:after="0" w:line="185" w:lineRule="auto"/>
        <w:tabs>
          <w:tab w:leader="none" w:pos="920" w:val="left"/>
        </w:tabs>
        <w:numPr>
          <w:ilvl w:val="0"/>
          <w:numId w:val="7"/>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27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20" w:lineRule="exact"/>
        <w:rPr>
          <w:sz w:val="20"/>
          <w:szCs w:val="20"/>
          <w:color w:val="auto"/>
        </w:rPr>
      </w:pPr>
    </w:p>
    <w:p>
      <w:pPr>
        <w:spacing w:after="0"/>
        <w:tabs>
          <w:tab w:leader="none" w:pos="906" w:val="left"/>
        </w:tabs>
        <w:rPr>
          <w:sz w:val="20"/>
          <w:szCs w:val="20"/>
          <w:color w:val="auto"/>
        </w:rPr>
      </w:pPr>
      <w:r>
        <w:rPr>
          <w:rFonts w:ascii="Times New Roman" w:cs="Times New Roman" w:eastAsia="Times New Roman" w:hAnsi="Times New Roman"/>
          <w:sz w:val="22"/>
          <w:szCs w:val="22"/>
          <w:color w:val="auto"/>
        </w:rPr>
        <w:t>(k)</w:t>
      </w:r>
      <w:r>
        <w:rPr>
          <w:sz w:val="20"/>
          <w:szCs w:val="20"/>
          <w:color w:val="auto"/>
        </w:rPr>
        <w:tab/>
      </w:r>
      <w:r>
        <w:rPr>
          <w:sz w:val="1"/>
          <w:szCs w:val="1"/>
          <w:color w:val="auto"/>
        </w:rPr>
        <w:drawing>
          <wp:inline distT="0" distB="0" distL="0" distR="0">
            <wp:extent cx="128905" cy="12890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ectPr>
          <w:pgSz w:w="11900" w:h="16838" w:orient="portrait"/>
          <w:cols w:equalWidth="0" w:num="1">
            <w:col w:w="10960"/>
          </w:cols>
          <w:pgMar w:left="360" w:top="112" w:right="579" w:bottom="0" w:gutter="0" w:footer="0" w:header="0"/>
        </w:sectPr>
      </w:pPr>
    </w:p>
    <w:bookmarkStart w:id="5" w:name="page6"/>
    <w:bookmarkEnd w:id="5"/>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160" w:hanging="912"/>
        <w:spacing w:after="0" w:line="193" w:lineRule="auto"/>
        <w:tabs>
          <w:tab w:leader="none" w:pos="920" w:val="left"/>
        </w:tabs>
        <w:numPr>
          <w:ilvl w:val="0"/>
          <w:numId w:val="8"/>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The information in items 5 through 9 and item 11 on the cover pages to this Schedule 13G is hereby incorporated by reference. As of the date hereof, none of the Reporting Persons beneficially own shares of Common Stock. All calculations of percentage ownership herein are based on an aggregate of 77,165,973 shares of Common Stock outstanding as of November 1, 2024, as disclosed in the Form 10-Q.</w:t>
      </w:r>
    </w:p>
    <w:p>
      <w:pPr>
        <w:spacing w:after="0" w:line="1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1" w:right="399" w:bottom="0" w:gutter="0" w:footer="0" w:header="0"/>
          <w:type w:val="continuous"/>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color w:val="auto"/>
        </w:rPr>
        <w:t>Trident VII, L.P.</w:t>
      </w:r>
    </w:p>
    <w:p>
      <w:pPr>
        <w:spacing w:after="0" w:line="152"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Jacqueline Giammarco</w:t>
      </w:r>
    </w:p>
    <w:p>
      <w:pPr>
        <w:spacing w:after="0" w:line="4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2"/>
          <w:szCs w:val="22"/>
          <w:color w:val="auto"/>
        </w:rPr>
        <w:t>Name/Title: Authorized Person</w:t>
      </w:r>
    </w:p>
    <w:p>
      <w:pPr>
        <w:spacing w:after="0" w:line="44"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01/24/2025</w:t>
      </w:r>
    </w:p>
    <w:p>
      <w:pPr>
        <w:spacing w:after="0" w:line="152"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2"/>
          <w:szCs w:val="22"/>
          <w:color w:val="auto"/>
        </w:rPr>
        <w:t>Trident Finxera Holdings LP</w:t>
      </w:r>
    </w:p>
    <w:p>
      <w:pPr>
        <w:spacing w:after="0" w:line="152"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Jacqueline Giammarco</w:t>
      </w:r>
    </w:p>
    <w:p>
      <w:pPr>
        <w:spacing w:after="0" w:line="4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2"/>
          <w:szCs w:val="22"/>
          <w:color w:val="auto"/>
        </w:rPr>
        <w:t>Name/Title: Authorized Person</w:t>
      </w:r>
    </w:p>
    <w:p>
      <w:pPr>
        <w:spacing w:after="0" w:line="44"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01/24/2025</w:t>
      </w:r>
    </w:p>
    <w:p>
      <w:pPr>
        <w:spacing w:after="0" w:line="15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Trident Finxera Holdings GP LLC</w:t>
      </w:r>
    </w:p>
    <w:p>
      <w:pPr>
        <w:sectPr>
          <w:pgSz w:w="11900" w:h="16838" w:orient="portrait"/>
          <w:cols w:equalWidth="0" w:num="1">
            <w:col w:w="11140"/>
          </w:cols>
          <w:pgMar w:left="360" w:top="111" w:right="399" w:bottom="0" w:gutter="0" w:footer="0" w:header="0"/>
          <w:type w:val="continuous"/>
        </w:sectPr>
      </w:pPr>
    </w:p>
    <w:bookmarkStart w:id="6" w:name="page7"/>
    <w:bookmarkEnd w:id="6"/>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Jacqueline Giammarco</w:t>
      </w:r>
    </w:p>
    <w:p>
      <w:pPr>
        <w:spacing w:after="0" w:line="45"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2"/>
          <w:szCs w:val="22"/>
          <w:color w:val="auto"/>
        </w:rPr>
        <w:t>Name/Title: Authorized Person</w:t>
      </w:r>
    </w:p>
    <w:p>
      <w:pPr>
        <w:spacing w:after="0" w:line="44"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01/24/2025</w:t>
      </w:r>
    </w:p>
    <w:p>
      <w:pPr>
        <w:spacing w:after="0" w:line="152"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2"/>
          <w:szCs w:val="22"/>
          <w:color w:val="auto"/>
        </w:rPr>
        <w:t>Trident Capital VII, L.P.</w:t>
      </w:r>
    </w:p>
    <w:p>
      <w:pPr>
        <w:spacing w:after="0" w:line="152"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Jacqueline Giammarco</w:t>
      </w:r>
    </w:p>
    <w:p>
      <w:pPr>
        <w:spacing w:after="0" w:line="4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2"/>
          <w:szCs w:val="22"/>
          <w:color w:val="auto"/>
        </w:rPr>
        <w:t>Name/Title: Authorized Person</w:t>
      </w:r>
    </w:p>
    <w:p>
      <w:pPr>
        <w:spacing w:after="0" w:line="44"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01/24/2025</w:t>
      </w:r>
    </w:p>
    <w:p>
      <w:pPr>
        <w:spacing w:after="0" w:line="152"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Stone Point Capital LLC</w:t>
      </w:r>
    </w:p>
    <w:p>
      <w:pPr>
        <w:spacing w:after="0" w:line="152" w:lineRule="exact"/>
        <w:rPr>
          <w:sz w:val="20"/>
          <w:szCs w:val="20"/>
          <w:color w:val="auto"/>
        </w:rPr>
      </w:pPr>
    </w:p>
    <w:p>
      <w:pPr>
        <w:ind w:left="5620"/>
        <w:spacing w:after="0"/>
        <w:tabs>
          <w:tab w:leader="none" w:pos="6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Jacqueline Giammarco</w:t>
      </w:r>
    </w:p>
    <w:p>
      <w:pPr>
        <w:spacing w:after="0" w:line="4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1"/>
          <w:szCs w:val="21"/>
          <w:color w:val="auto"/>
        </w:rPr>
        <w:t>Name/Title: Managing Director and Chief Compliance Officer</w:t>
      </w:r>
    </w:p>
    <w:p>
      <w:pPr>
        <w:spacing w:after="0" w:line="56" w:lineRule="exact"/>
        <w:rPr>
          <w:sz w:val="20"/>
          <w:szCs w:val="20"/>
          <w:color w:val="auto"/>
        </w:rPr>
      </w:pPr>
    </w:p>
    <w:p>
      <w:pPr>
        <w:ind w:left="5620"/>
        <w:spacing w:after="0"/>
        <w:tabs>
          <w:tab w:leader="none" w:pos="66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01/24/2025</w:t>
      </w:r>
    </w:p>
    <w:p>
      <w:pPr>
        <w:spacing w:after="0" w:line="10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1. Joint Filing Agreement as required by Rule 13d-1(k)(1) under the Securities Exchange Act of 1934, as amended.</w:t>
      </w:r>
    </w:p>
    <w:sectPr>
      <w:pgSz w:w="11900" w:h="16838" w:orient="portrait"/>
      <w:cols w:equalWidth="0" w:num="1">
        <w:col w:w="11020"/>
      </w:cols>
      <w:pgMar w:left="360" w:top="111"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2"/>
      <w:numFmt w:val="bullet"/>
      <w:start w:val="1"/>
    </w:lvl>
  </w:abstractNum>
  <w:abstractNum w:abstractNumId="3">
    <w:nsid w:val="41B71EFB"/>
    <w:multiLevelType w:val="hybridMultilevel"/>
    <w:lvl w:ilvl="0">
      <w:lvlJc w:val="left"/>
      <w:lvlText w:val="2"/>
      <w:numFmt w:val="bullet"/>
      <w:start w:val="1"/>
    </w:lvl>
  </w:abstractNum>
  <w:abstractNum w:abstractNumId="4">
    <w:nsid w:val="79E2A9E3"/>
    <w:multiLevelType w:val="hybridMultilevel"/>
    <w:lvl w:ilvl="0">
      <w:lvlJc w:val="left"/>
      <w:lvlText w:val="3"/>
      <w:numFmt w:val="bullet"/>
      <w:start w:val="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3"/>
    </w:lvl>
  </w:abstractNum>
  <w:abstractNum w:abstractNumId="9">
    <w:nsid w:val="4DB127F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2025-01-24T17:13:19Z</dcterms:created>
  <dcterms:modified xsi:type="dcterms:W3CDTF">2025-01-24T17:13:19Z</dcterms:modified>
</cp:coreProperties>
</file>