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80" w:type="dxa"/>
            <w:vAlign w:val="bottom"/>
            <w:gridSpan w:val="7"/>
          </w:tcPr>
          <w:p>
            <w:pPr>
              <w:jc w:val="center"/>
              <w:ind w:right="4920"/>
              <w:spacing w:after="0"/>
              <w:rPr>
                <w:sz w:val="20"/>
                <w:szCs w:val="20"/>
                <w:color w:val="auto"/>
              </w:rPr>
            </w:pPr>
            <w:r>
              <w:rPr>
                <w:rFonts w:ascii="Arial" w:cs="Arial" w:eastAsia="Arial" w:hAnsi="Arial"/>
                <w:sz w:val="18"/>
                <w:szCs w:val="18"/>
                <w:b w:val="1"/>
                <w:bCs w:val="1"/>
                <w:color w:val="auto"/>
              </w:rPr>
              <w:t>FORM 8-A</w:t>
            </w:r>
          </w:p>
        </w:tc>
      </w:tr>
      <w:tr>
        <w:trPr>
          <w:trHeight w:val="414"/>
        </w:trPr>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80" w:type="dxa"/>
            <w:vAlign w:val="bottom"/>
            <w:gridSpan w:val="9"/>
          </w:tcPr>
          <w:p>
            <w:pPr>
              <w:jc w:val="center"/>
              <w:ind w:right="2940"/>
              <w:spacing w:after="0"/>
              <w:rPr>
                <w:sz w:val="20"/>
                <w:szCs w:val="20"/>
                <w:color w:val="auto"/>
              </w:rPr>
            </w:pPr>
            <w:r>
              <w:rPr>
                <w:rFonts w:ascii="Arial" w:cs="Arial" w:eastAsia="Arial" w:hAnsi="Arial"/>
                <w:sz w:val="18"/>
                <w:szCs w:val="18"/>
                <w:b w:val="1"/>
                <w:bCs w:val="1"/>
                <w:color w:val="auto"/>
                <w:w w:val="99"/>
              </w:rPr>
              <w:t>FOR REGISTRATION OF CERTAIN CLASSES OF SECURITIES</w:t>
            </w:r>
          </w:p>
        </w:tc>
      </w:tr>
      <w:tr>
        <w:trPr>
          <w:trHeight w:val="216"/>
        </w:trPr>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80" w:type="dxa"/>
            <w:vAlign w:val="bottom"/>
            <w:gridSpan w:val="9"/>
          </w:tcPr>
          <w:p>
            <w:pPr>
              <w:jc w:val="center"/>
              <w:ind w:right="2940"/>
              <w:spacing w:after="0"/>
              <w:rPr>
                <w:sz w:val="20"/>
                <w:szCs w:val="20"/>
                <w:color w:val="auto"/>
              </w:rPr>
            </w:pPr>
            <w:r>
              <w:rPr>
                <w:rFonts w:ascii="Arial" w:cs="Arial" w:eastAsia="Arial" w:hAnsi="Arial"/>
                <w:sz w:val="18"/>
                <w:szCs w:val="18"/>
                <w:b w:val="1"/>
                <w:bCs w:val="1"/>
                <w:color w:val="auto"/>
                <w:w w:val="98"/>
              </w:rPr>
              <w:t>PURSUANT TO SECTION 12(b) OR 12(g) OF THE</w:t>
            </w:r>
          </w:p>
        </w:tc>
      </w:tr>
      <w:tr>
        <w:trPr>
          <w:trHeight w:val="234"/>
        </w:trPr>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80" w:type="dxa"/>
            <w:vAlign w:val="bottom"/>
            <w:gridSpan w:val="9"/>
          </w:tcPr>
          <w:p>
            <w:pPr>
              <w:jc w:val="center"/>
              <w:ind w:right="2940"/>
              <w:spacing w:after="0"/>
              <w:rPr>
                <w:sz w:val="20"/>
                <w:szCs w:val="20"/>
                <w:color w:val="auto"/>
              </w:rPr>
            </w:pPr>
            <w:r>
              <w:rPr>
                <w:rFonts w:ascii="Arial" w:cs="Arial" w:eastAsia="Arial" w:hAnsi="Arial"/>
                <w:sz w:val="18"/>
                <w:szCs w:val="18"/>
                <w:b w:val="1"/>
                <w:bCs w:val="1"/>
                <w:color w:val="auto"/>
                <w:w w:val="99"/>
              </w:rPr>
              <w:t>SECURITIES EXCHANGE ACT OF 1934</w:t>
            </w:r>
          </w:p>
        </w:tc>
      </w:tr>
      <w:tr>
        <w:trPr>
          <w:trHeight w:val="392"/>
        </w:trPr>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5"/>
              </w:rPr>
              <w:t>M I Acquisitions, Inc.</w:t>
            </w:r>
          </w:p>
        </w:tc>
        <w:tc>
          <w:tcPr>
            <w:tcW w:w="4900" w:type="dxa"/>
            <w:vAlign w:val="bottom"/>
            <w:gridSpan w:val="3"/>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80" w:type="dxa"/>
            <w:vAlign w:val="bottom"/>
            <w:gridSpan w:val="9"/>
          </w:tcPr>
          <w:p>
            <w:pPr>
              <w:jc w:val="center"/>
              <w:ind w:right="2940"/>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392"/>
        </w:trPr>
        <w:tc>
          <w:tcPr>
            <w:tcW w:w="9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9"/>
              </w:rPr>
              <w:t>Delaware</w:t>
            </w:r>
          </w:p>
        </w:tc>
        <w:tc>
          <w:tcPr>
            <w:tcW w:w="1320" w:type="dxa"/>
            <w:vAlign w:val="bottom"/>
          </w:tcPr>
          <w:p>
            <w:pPr>
              <w:spacing w:after="0"/>
              <w:rPr>
                <w:sz w:val="24"/>
                <w:szCs w:val="24"/>
                <w:color w:val="auto"/>
              </w:rPr>
            </w:pPr>
          </w:p>
        </w:tc>
        <w:tc>
          <w:tcPr>
            <w:tcW w:w="8480" w:type="dxa"/>
            <w:vAlign w:val="bottom"/>
            <w:gridSpan w:val="9"/>
          </w:tcPr>
          <w:p>
            <w:pPr>
              <w:ind w:left="5640"/>
              <w:spacing w:after="0"/>
              <w:rPr>
                <w:sz w:val="20"/>
                <w:szCs w:val="20"/>
                <w:color w:val="auto"/>
              </w:rPr>
            </w:pPr>
            <w:r>
              <w:rPr>
                <w:rFonts w:ascii="Arial" w:cs="Arial" w:eastAsia="Arial" w:hAnsi="Arial"/>
                <w:sz w:val="18"/>
                <w:szCs w:val="18"/>
                <w:color w:val="auto"/>
              </w:rPr>
              <w:t>47-4257046</w:t>
            </w: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(State of Incorporation</w:t>
            </w: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(I.R.S. Employer</w:t>
            </w:r>
          </w:p>
        </w:tc>
      </w:tr>
      <w:tr>
        <w:trPr>
          <w:trHeight w:val="230"/>
        </w:trPr>
        <w:tc>
          <w:tcPr>
            <w:tcW w:w="92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or Organization)</w:t>
            </w: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Identification No.)</w:t>
            </w:r>
          </w:p>
        </w:tc>
      </w:tr>
      <w:tr>
        <w:trPr>
          <w:trHeight w:val="418"/>
        </w:trPr>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80" w:type="dxa"/>
            <w:vAlign w:val="bottom"/>
            <w:gridSpan w:val="9"/>
          </w:tcPr>
          <w:p>
            <w:pPr>
              <w:jc w:val="center"/>
              <w:ind w:right="2940"/>
              <w:spacing w:after="0"/>
              <w:rPr>
                <w:sz w:val="20"/>
                <w:szCs w:val="20"/>
                <w:color w:val="auto"/>
              </w:rPr>
            </w:pPr>
            <w:r>
              <w:rPr>
                <w:rFonts w:ascii="Arial" w:cs="Arial" w:eastAsia="Arial" w:hAnsi="Arial"/>
                <w:sz w:val="18"/>
                <w:szCs w:val="18"/>
                <w:color w:val="auto"/>
                <w:w w:val="92"/>
              </w:rPr>
              <w:t>c/o Magna Management LLC</w:t>
            </w:r>
          </w:p>
        </w:tc>
      </w:tr>
      <w:tr>
        <w:trPr>
          <w:trHeight w:val="216"/>
        </w:trPr>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80" w:type="dxa"/>
            <w:vAlign w:val="bottom"/>
            <w:gridSpan w:val="9"/>
          </w:tcPr>
          <w:p>
            <w:pPr>
              <w:jc w:val="center"/>
              <w:ind w:right="2940"/>
              <w:spacing w:after="0"/>
              <w:rPr>
                <w:sz w:val="20"/>
                <w:szCs w:val="20"/>
                <w:color w:val="auto"/>
              </w:rPr>
            </w:pPr>
            <w:r>
              <w:rPr>
                <w:rFonts w:ascii="Arial" w:cs="Arial" w:eastAsia="Arial" w:hAnsi="Arial"/>
                <w:sz w:val="18"/>
                <w:szCs w:val="18"/>
                <w:color w:val="auto"/>
                <w:w w:val="91"/>
              </w:rPr>
              <w:t>40 Wall Street, 58th Floor</w:t>
            </w:r>
          </w:p>
        </w:tc>
      </w:tr>
      <w:tr>
        <w:trPr>
          <w:trHeight w:val="190"/>
        </w:trPr>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500" w:type="dxa"/>
            <w:vAlign w:val="bottom"/>
            <w:gridSpan w:val="8"/>
          </w:tcPr>
          <w:p>
            <w:pPr>
              <w:jc w:val="center"/>
              <w:ind w:right="4920"/>
              <w:spacing w:after="0" w:line="190" w:lineRule="exact"/>
              <w:rPr>
                <w:sz w:val="20"/>
                <w:szCs w:val="20"/>
                <w:color w:val="auto"/>
              </w:rPr>
            </w:pPr>
            <w:r>
              <w:rPr>
                <w:rFonts w:ascii="Arial" w:cs="Arial" w:eastAsia="Arial" w:hAnsi="Arial"/>
                <w:sz w:val="18"/>
                <w:szCs w:val="18"/>
                <w:color w:val="auto"/>
                <w:w w:val="93"/>
              </w:rPr>
              <w:t>New York, NY 10005</w:t>
            </w:r>
          </w:p>
        </w:tc>
      </w:tr>
      <w:tr>
        <w:trPr>
          <w:trHeight w:val="20"/>
        </w:trPr>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80" w:type="dxa"/>
            <w:vAlign w:val="bottom"/>
            <w:gridSpan w:val="9"/>
          </w:tcPr>
          <w:p>
            <w:pPr>
              <w:jc w:val="center"/>
              <w:ind w:right="2940"/>
              <w:spacing w:after="0"/>
              <w:rPr>
                <w:sz w:val="20"/>
                <w:szCs w:val="20"/>
                <w:color w:val="auto"/>
              </w:rPr>
            </w:pPr>
            <w:r>
              <w:rPr>
                <w:rFonts w:ascii="Arial" w:cs="Arial" w:eastAsia="Arial" w:hAnsi="Arial"/>
                <w:sz w:val="18"/>
                <w:szCs w:val="18"/>
                <w:color w:val="auto"/>
                <w:w w:val="92"/>
              </w:rPr>
              <w:t>(Address of Principal Executive Offices)</w:t>
            </w:r>
          </w:p>
        </w:tc>
      </w:tr>
      <w:tr>
        <w:trPr>
          <w:trHeight w:val="432"/>
        </w:trPr>
        <w:tc>
          <w:tcPr>
            <w:tcW w:w="11420" w:type="dxa"/>
            <w:vAlign w:val="bottom"/>
            <w:gridSpan w:val="12"/>
          </w:tcPr>
          <w:p>
            <w:pPr>
              <w:spacing w:after="0"/>
              <w:rPr>
                <w:sz w:val="20"/>
                <w:szCs w:val="20"/>
                <w:color w:val="auto"/>
              </w:rPr>
            </w:pPr>
            <w:r>
              <w:rPr>
                <w:rFonts w:ascii="Arial" w:cs="Arial" w:eastAsia="Arial" w:hAnsi="Arial"/>
                <w:sz w:val="18"/>
                <w:szCs w:val="18"/>
                <w:color w:val="auto"/>
              </w:rPr>
              <w:t>Securities to be registered pursuant to Section 12(b) of the Act:</w:t>
            </w:r>
          </w:p>
        </w:tc>
      </w:tr>
      <w:tr>
        <w:trPr>
          <w:trHeight w:val="432"/>
        </w:trPr>
        <w:tc>
          <w:tcPr>
            <w:tcW w:w="2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Title of Each Class to be so Registered</w:t>
            </w:r>
          </w:p>
        </w:tc>
        <w:tc>
          <w:tcPr>
            <w:tcW w:w="1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Name of Each Exchange on Which Each Class is to be Registered</w:t>
            </w:r>
          </w:p>
        </w:tc>
      </w:tr>
      <w:tr>
        <w:trPr>
          <w:trHeight w:val="426"/>
        </w:trPr>
        <w:tc>
          <w:tcPr>
            <w:tcW w:w="2940" w:type="dxa"/>
            <w:vAlign w:val="bottom"/>
            <w:gridSpan w:val="3"/>
          </w:tcPr>
          <w:p>
            <w:pPr>
              <w:spacing w:after="0"/>
              <w:rPr>
                <w:sz w:val="20"/>
                <w:szCs w:val="20"/>
                <w:color w:val="auto"/>
              </w:rPr>
            </w:pPr>
            <w:r>
              <w:rPr>
                <w:rFonts w:ascii="Arial" w:cs="Arial" w:eastAsia="Arial" w:hAnsi="Arial"/>
                <w:sz w:val="18"/>
                <w:szCs w:val="18"/>
                <w:color w:val="auto"/>
              </w:rPr>
              <w:t>Common Stock, $0.001 par value</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5"/>
          </w:tcPr>
          <w:p>
            <w:pPr>
              <w:spacing w:after="0"/>
              <w:rPr>
                <w:sz w:val="20"/>
                <w:szCs w:val="20"/>
                <w:color w:val="auto"/>
              </w:rPr>
            </w:pPr>
            <w:r>
              <w:rPr>
                <w:rFonts w:ascii="Arial" w:cs="Arial" w:eastAsia="Arial" w:hAnsi="Arial"/>
                <w:sz w:val="18"/>
                <w:szCs w:val="18"/>
                <w:color w:val="auto"/>
              </w:rPr>
              <w:t>The NASDAQ Stock Market LLC</w:t>
            </w:r>
          </w:p>
        </w:tc>
      </w:tr>
      <w:tr>
        <w:trPr>
          <w:trHeight w:val="432"/>
        </w:trPr>
        <w:tc>
          <w:tcPr>
            <w:tcW w:w="2940" w:type="dxa"/>
            <w:vAlign w:val="bottom"/>
            <w:gridSpan w:val="3"/>
          </w:tcPr>
          <w:p>
            <w:pPr>
              <w:spacing w:after="0"/>
              <w:rPr>
                <w:sz w:val="20"/>
                <w:szCs w:val="20"/>
                <w:color w:val="auto"/>
              </w:rPr>
            </w:pPr>
            <w:r>
              <w:rPr>
                <w:rFonts w:ascii="Arial" w:cs="Arial" w:eastAsia="Arial" w:hAnsi="Arial"/>
                <w:sz w:val="18"/>
                <w:szCs w:val="18"/>
                <w:color w:val="auto"/>
              </w:rPr>
              <w:t>Warrants</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5"/>
          </w:tcPr>
          <w:p>
            <w:pPr>
              <w:spacing w:after="0"/>
              <w:rPr>
                <w:sz w:val="20"/>
                <w:szCs w:val="20"/>
                <w:color w:val="auto"/>
              </w:rPr>
            </w:pPr>
            <w:r>
              <w:rPr>
                <w:rFonts w:ascii="Arial" w:cs="Arial" w:eastAsia="Arial" w:hAnsi="Arial"/>
                <w:sz w:val="18"/>
                <w:szCs w:val="18"/>
                <w:color w:val="auto"/>
              </w:rPr>
              <w:t>The NASDAQ Stock Market LLC</w:t>
            </w:r>
          </w:p>
        </w:tc>
      </w:tr>
      <w:tr>
        <w:trPr>
          <w:trHeight w:val="432"/>
        </w:trPr>
        <w:tc>
          <w:tcPr>
            <w:tcW w:w="2940" w:type="dxa"/>
            <w:vAlign w:val="bottom"/>
            <w:gridSpan w:val="3"/>
          </w:tcPr>
          <w:p>
            <w:pPr>
              <w:spacing w:after="0"/>
              <w:rPr>
                <w:sz w:val="20"/>
                <w:szCs w:val="20"/>
                <w:color w:val="auto"/>
              </w:rPr>
            </w:pPr>
            <w:r>
              <w:rPr>
                <w:rFonts w:ascii="Arial" w:cs="Arial" w:eastAsia="Arial" w:hAnsi="Arial"/>
                <w:sz w:val="18"/>
                <w:szCs w:val="18"/>
                <w:color w:val="auto"/>
              </w:rPr>
              <w:t>Units</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5"/>
          </w:tcPr>
          <w:p>
            <w:pPr>
              <w:spacing w:after="0"/>
              <w:rPr>
                <w:sz w:val="20"/>
                <w:szCs w:val="20"/>
                <w:color w:val="auto"/>
              </w:rPr>
            </w:pPr>
            <w:r>
              <w:rPr>
                <w:rFonts w:ascii="Arial" w:cs="Arial" w:eastAsia="Arial" w:hAnsi="Arial"/>
                <w:sz w:val="18"/>
                <w:szCs w:val="18"/>
                <w:color w:val="auto"/>
              </w:rPr>
              <w:t>The NASDAQ Stock Market LLC</w:t>
            </w:r>
          </w:p>
        </w:tc>
      </w:tr>
    </w:tbl>
    <w:p>
      <w:pPr>
        <w:spacing w:after="0" w:line="202"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12(b) of the Exchange Act and is effective pursuant to General Instruction A. (c) or (e), check the following box. x</w:t>
      </w:r>
    </w:p>
    <w:p>
      <w:pPr>
        <w:spacing w:after="0" w:line="170"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u w:val="single" w:color="auto"/>
          <w:color w:val="auto"/>
        </w:rPr>
        <w:t>333-212675</w:t>
      </w:r>
      <w:r>
        <w:rPr>
          <w:rFonts w:ascii="Arial" w:cs="Arial" w:eastAsia="Arial" w:hAnsi="Arial"/>
          <w:sz w:val="18"/>
          <w:szCs w:val="18"/>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u w:val="single" w:color="auto"/>
          <w:color w:val="auto"/>
        </w:rPr>
        <w:t>None</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description of the common stock, warrants and units to be registered hereunder is contained in the section entitled “Description of Securities” in the Prospectus included in M I Acquisitions, Inc.’s (the “Registrant”) Registration Statement on Form S-1 (Registration No. 333-212675) initially filed with the Securities and Exchange Commission on July 26, 2016, as amended from time to time (the “Registration Statement”). This information is incorporated herein by reference. Any form of prospectus or prospectus supplement to the Registration Statement that includes such descriptions and that are filed subsequently to the Registration Statement are hereby also incorporated by reference herein.</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Under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p>
      <w:pPr>
        <w:ind w:left="660"/>
        <w:spacing w:after="0"/>
        <w:tabs>
          <w:tab w:leader="none" w:pos="5700" w:val="left"/>
        </w:tabs>
        <w:rPr>
          <w:sz w:val="20"/>
          <w:szCs w:val="20"/>
          <w:color w:val="auto"/>
        </w:rPr>
      </w:pPr>
      <w:r>
        <w:rPr>
          <w:rFonts w:ascii="Arial" w:cs="Arial" w:eastAsia="Arial" w:hAnsi="Arial"/>
          <w:sz w:val="18"/>
          <w:szCs w:val="18"/>
          <w:color w:val="auto"/>
        </w:rPr>
        <w:t>Date: September 12, 2016</w:t>
      </w:r>
      <w:r>
        <w:rPr>
          <w:sz w:val="20"/>
          <w:szCs w:val="20"/>
          <w:color w:val="auto"/>
        </w:rPr>
        <w:tab/>
      </w:r>
      <w:r>
        <w:rPr>
          <w:rFonts w:ascii="Arial" w:cs="Arial" w:eastAsia="Arial" w:hAnsi="Arial"/>
          <w:sz w:val="17"/>
          <w:szCs w:val="17"/>
          <w:color w:val="auto"/>
        </w:rPr>
        <w:t>M I ACQUISITIONS,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Joshua Sason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3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80"/>
      </w:cols>
      <w:pgMar w:left="240" w:top="80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2020-01-21T06:37:51Z</dcterms:created>
  <dcterms:modified xsi:type="dcterms:W3CDTF">2020-01-21T06:37:51Z</dcterms:modified>
</cp:coreProperties>
</file>