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6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30004</w:t>
            </w:r>
          </w:p>
        </w:tc>
      </w:tr>
      <w:tr>
        <w:trPr>
          <w:trHeight w:val="270"/>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760" w:type="dxa"/>
            <w:vAlign w:val="bottom"/>
            <w:gridSpan w:val="4"/>
          </w:tcPr>
          <w:p>
            <w:pPr>
              <w:ind w:left="20"/>
              <w:spacing w:after="0"/>
              <w:rPr>
                <w:sz w:val="20"/>
                <w:szCs w:val="20"/>
                <w:color w:val="auto"/>
              </w:rPr>
            </w:pPr>
            <w:r>
              <w:rPr>
                <w:rFonts w:ascii="Arial" w:cs="Arial" w:eastAsia="Arial" w:hAnsi="Arial"/>
                <w:sz w:val="18"/>
                <w:szCs w:val="18"/>
                <w:b w:val="1"/>
                <w:bCs w:val="1"/>
                <w:color w:val="auto"/>
              </w:rPr>
              <w:t>Georgia</w:t>
            </w:r>
          </w:p>
        </w:tc>
        <w:tc>
          <w:tcPr>
            <w:tcW w:w="3640" w:type="dxa"/>
            <w:vAlign w:val="bottom"/>
          </w:tcPr>
          <w:p>
            <w:pPr>
              <w:spacing w:after="0"/>
              <w:rPr>
                <w:sz w:val="23"/>
                <w:szCs w:val="23"/>
                <w:color w:val="auto"/>
              </w:rPr>
            </w:pPr>
          </w:p>
        </w:tc>
      </w:tr>
      <w:tr>
        <w:trPr>
          <w:trHeight w:val="27"/>
        </w:trPr>
        <w:tc>
          <w:tcPr>
            <w:tcW w:w="584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30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8"/>
        </w:trPr>
        <w:tc>
          <w:tcPr>
            <w:tcW w:w="298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$0.001 par 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13, 2019, Priority Technology Holdings, Inc. issued a press release announcing its financial results for the quarter ended September 30, 2019. A copy of that press release is attached as Exhibit 99.1 to this Current Report on Form 8-K.</w:t>
      </w:r>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of Priority Technology Holdings, Inc. dated November 13,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13,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580" w:right="239" w:bottom="1440" w:gutter="0" w:footer="0" w:header="0"/>
        </w:sectPr>
      </w:pPr>
    </w:p>
    <w:bookmarkStart w:id="2" w:name="page3"/>
    <w:bookmarkEnd w:id="2"/>
    <w:p>
      <w:pPr>
        <w:ind w:left="1054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29210</wp:posOffset>
            </wp:positionV>
            <wp:extent cx="176657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Third Quarter 2019 Financial Results</w:t>
      </w:r>
    </w:p>
    <w:p>
      <w:pPr>
        <w:spacing w:after="0" w:line="3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ALPHARETTA, GA - November 13, 2019 -- Priority Technology Holdings, Inc. (NASDAQ: PRTH) (“Priority” or the “Company”), a leading provider of merchant acquiring, integrated payment software and commercial payment solutions, today announced its third quarter 2019 financial results.</w:t>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Highlights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Highlights of the third quarter 2019 consolidated financial results as compared with the third quarter of 2018 include:</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of $110.0 million increased 6.1% from $103.6 million.</w:t>
      </w:r>
    </w:p>
    <w:p>
      <w:pPr>
        <w:ind w:left="660" w:right="10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of $30.2 million increased 10.7% from $27.2 million. The Company’s non-GAAP gross profit metric represents consolidated revenue less costs of merchant card fees and other costs of services.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margin of 27.4% increased 110 basis points from 26.3%.</w:t>
      </w:r>
    </w:p>
    <w:p>
      <w:pPr>
        <w:ind w:left="660" w:right="90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Income from operations of $2.7 million declined $0.8 million from $3.6 million, driven by a $5.2 million increase in depreciation and amortization expense.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Interest expense of $10.5 million increased $3.1 million from $7.3 million.</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of $5.8 million increased $3.3 million from $2.6 million.</w:t>
      </w:r>
    </w:p>
    <w:p>
      <w:pPr>
        <w:ind w:left="660" w:right="440" w:hanging="328"/>
        <w:spacing w:after="0" w:line="205"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$15.3 million increased 23.6% from $12.4 million. The Company’s non-GAAP adjusted EBITDA measure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is earnings before interest, taxes, depreciation and amortization (EBITDA), further adjusted for non-cash compensation and certain other expenses considered non-recurring.</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merchant bankcard processing dollar volume of $10.8 billion increased 11.0% from $9.7 billion.</w:t>
      </w:r>
    </w:p>
    <w:p>
      <w:pPr>
        <w:spacing w:after="0" w:line="200" w:lineRule="exact"/>
        <w:rPr>
          <w:sz w:val="20"/>
          <w:szCs w:val="20"/>
          <w:color w:val="auto"/>
        </w:rPr>
      </w:pPr>
    </w:p>
    <w:p>
      <w:pPr>
        <w:spacing w:after="0" w:line="25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third quarter results continued to reflect the strong underlying growth we’ve realized over the past several quarters, particularly when excluding the change in the subscription billing e-commerce business," said Tom Priore, Executive Chairman and CEO of Priority. "These strong results were driven by solid improvement in the Consumer Payments segment, exceptional growth in the Integrated Partners business and steady performance in Commercial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u w:val="single" w:color="auto"/>
          <w:color w:val="auto"/>
        </w:rPr>
        <w:t>Non-GAAP Highlights</w:t>
      </w:r>
    </w:p>
    <w:p>
      <w:pPr>
        <w:spacing w:after="0" w:line="200" w:lineRule="exact"/>
        <w:rPr>
          <w:sz w:val="20"/>
          <w:szCs w:val="20"/>
          <w:color w:val="auto"/>
        </w:rPr>
      </w:pPr>
    </w:p>
    <w:p>
      <w:pPr>
        <w:spacing w:after="0" w:line="28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comparative revenue and gross profit for the third quarter 2019 was negatively affected by the wind-down of high-margin accounts with certain subscription-billing e-commerce merchants. The wind-down of merchants in this channel was due to industry-wide changes for enhanced card association compliance. This revenue, which is included entirely within the Consumer Payments reportable segment, was $ 1.2 million and $11.7 million in the third quarters of 2019 and 2018, respectively. The corresponding gross profit and income from operations associated with this revenue was $0.5 million and $4.1 million in the third quarters of 2019 and 2018, respectively.</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Income from operations included certain operating expenses that the Company considers non-recurring in nature ("non-recurring expenses"). In the third quarter of 2019, non-recurring expenses were associated with the allocation of purchase price to temporary free transition services from YapStone, Inc. related to the integration of the March 2019 asset acquisition, and certain litigation and advisory costs. In the third quarter of 2018, non-recurring expenses such as legal, accounting, advisory and consulting, were largely associated with the conversion to a public company, and certain litigation costs. These operating expenses were $1.2 million and $3.5 million in the third quarters of 2019 and 2018, respectively.</w:t>
      </w:r>
    </w:p>
    <w:p>
      <w:pPr>
        <w:spacing w:after="0" w:line="22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Non-GAAP highlights of the adjusted consolidated financial results, which exclude the impact of the high-margin accounts with certain subscription-billing e-commerce merchants and non-recurring expenses described above, for the third quarter of 2019 as compared with the third quarter of 2018 include:</w:t>
      </w:r>
    </w:p>
    <w:p>
      <w:pPr>
        <w:spacing w:after="0" w:line="219" w:lineRule="exact"/>
        <w:rPr>
          <w:sz w:val="20"/>
          <w:szCs w:val="20"/>
          <w:color w:val="auto"/>
        </w:rPr>
      </w:pPr>
    </w:p>
    <w:p>
      <w:pPr>
        <w:ind w:left="660" w:hanging="328"/>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revenue of $108.7 million increased 18.4% from $91.9 million.</w:t>
      </w:r>
    </w:p>
    <w:p>
      <w:pPr>
        <w:ind w:left="660" w:right="100" w:hanging="328"/>
        <w:spacing w:after="0" w:line="212" w:lineRule="auto"/>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Adjusted gross profit of $29.7 million increased 28.2% from $23.2 million. The Company’s non-GAAP gross profit metric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represents consolidated revenue less costs of merchant card fees and other costs of services.</w:t>
      </w:r>
    </w:p>
    <w:p>
      <w:pPr>
        <w:spacing w:after="0" w:line="2" w:lineRule="exact"/>
        <w:rPr>
          <w:rFonts w:ascii="Arial" w:cs="Arial" w:eastAsia="Arial" w:hAnsi="Arial"/>
          <w:sz w:val="20"/>
          <w:szCs w:val="20"/>
          <w:color w:val="auto"/>
        </w:rPr>
      </w:pPr>
    </w:p>
    <w:p>
      <w:pPr>
        <w:ind w:left="660" w:hanging="328"/>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gross profit margin of 27.3% increased 210 basis points from 25.2%.</w:t>
      </w:r>
    </w:p>
    <w:p>
      <w:pPr>
        <w:ind w:left="660" w:hanging="328"/>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income from operations of $3.4 million increased $0.4 million from $3.0 million.</w:t>
      </w:r>
    </w:p>
    <w:p>
      <w:pPr>
        <w:ind w:left="660" w:right="260" w:hanging="328"/>
        <w:spacing w:after="0" w:line="214" w:lineRule="auto"/>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excluding the impact of subscription-billing e-commerce merchants and non-recurring expenses, of $14.9 million increased 78.5% from $8.3 million. The Company’s non-GAAP adjusted EBITDA measure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is earnings before interest, taxes, depreciation and amortization (EBITDA), further adjusted for non-cash compensation and certain other expenses considered non-recurring.</w:t>
      </w:r>
    </w:p>
    <w:p>
      <w:pPr>
        <w:spacing w:after="0" w:line="180" w:lineRule="exact"/>
        <w:rPr>
          <w:rFonts w:ascii="Arial" w:cs="Arial" w:eastAsia="Arial" w:hAnsi="Arial"/>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See “Reconciliations of Non-GAAP Financial Measures” at the end of this earnings release for details regarding these measures.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Third Quarter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Consolidated revenue in the third quarter of 2019 was $110.0 million, an increase of $6.4 million, or 6.1% compared with the 2018 third quarter. Revenue growth rate was significantly restrained by the previously discussed wind-down of the subscription-billing e-commerce merchants. Consolidated adjusted revenue of $108.7 million increased $16.9 million, or 18.4%.</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Total merchant bankcard volume processed in the third quarter of 2019 of $10.8 billion grew by 11.0%, as compared with $ 9.7 billion in the third quarter of 2018. Merchant bankcard transactions of 132.1 million in the third quarter of 2019 grew by 9.2%, as compared with 120.9 million in the third quarter of 2018. Average ticket (calculated by dividing bankcard volume processed by the associated number of transactions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1"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processed) of $81.60 grew 1.6% in the third quarter of 2019, as compared with $80.28 in the third quarter of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Consumer Payments revenue in the third quarter of 2019 was $94.1 million, a decline of $1.7 million compared with the 2018 third quarter. Revenue from the subscription-billing e-commerce merchants declined $10.5 million quarter over quarter. Consumer Payments adjusted revenue of $92.8 million increased $8.8 million, or 10.4%.</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Merchant bankcard volume processed in the third quarter of 2019 of $10.6 billion grew by 9.6%, as compared with $9.6 billion in the third quarter of 2018. Merchant bankcard transactions of 131.6 million in the third quarter of 2019 grew by 8.9%, compared with $120.9 million in the third quarter of 2018. Average ticket of $80.26 grew 0.6% in the third quarter of 2019, as compared with $79.78 in the third quarter of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Commercial Payments revenue in the third quarter of 2019 amounted to $ 7.0 million, which was consistent with the 2018 third quarter. Revenue from CPX accounts payable automated solutions of $2.0 million in the third quarter of 2019 increased 82.9% compared with the 2018 third quarter. Revenue from curated managed services programs of $5.0 million in the third quarter of 2019 declined by $0.9 million compared with the 2018 third quarter. The managed services decline was largely driven by lower incentive revenue in the third quarter of 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Integrated Partners revenue in the third quarter of 2019 amounted to $8.9 million compared with $0.8 million in the third quarter of 2018. Priority Real Estate Technology ("PRET") comprised $8.4 million of this reportable segment’s revenue in the third quarter of</w:t>
      </w:r>
    </w:p>
    <w:p>
      <w:pPr>
        <w:jc w:val="both"/>
        <w:spacing w:after="0" w:line="241" w:lineRule="auto"/>
        <w:rPr>
          <w:sz w:val="20"/>
          <w:szCs w:val="20"/>
          <w:color w:val="auto"/>
        </w:rPr>
      </w:pPr>
      <w:r>
        <w:rPr>
          <w:rFonts w:ascii="Arial" w:cs="Arial" w:eastAsia="Arial" w:hAnsi="Arial"/>
          <w:sz w:val="20"/>
          <w:szCs w:val="20"/>
          <w:color w:val="auto"/>
        </w:rPr>
        <w:t>2019. PRET is comprised of the assets acquired from YapStone, Inc. in March 2019 and the net assets acquired from RadPad Holdings, Inc. in July 2018. These acquisitions formed our real estate services business, which provides a single platform for rent, dues and storage that meets the needs of all landlord constituents, spanning from integrated enterprise property managers to middle market partners and small/local landlords. Revenue from Priority PayRight Health Solutions and Priority Hospitality Technology, which commenced operations in April 2018 and February 2019, respectively, comprised the remainder of this reportable segment’s revenue.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from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Consolidated income from operations in the third quarter of 2019 was $ 2.7 million, compared with $3.6 million in the third quarter of 2018. Gross profit of $30.2 million increased $2.9 million, or 10.7%. Depreciation and amortization of $10.1 million increased $5.2 million, and other operating expenses of $ 17.4 million decreased $ 1.4 million. Other operating expenses included non-cash equity-based compensation of $1.2 million, an increase of $0.9 million, and included non-recurring operating expenses of $1.2 million, a decrease of $2.3 million. Consolidated adjusted income from operations of $3.4 million increased $0.4 million, or 14.8%.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Consumer Payments income from operations in the third quarter of 2019 was $7.2 million, compared with $11.9 million in the third quarter of 2018. Gross profit of $23.2 million decreased $0.3 million. Depreciation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5" w:right="2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0"/>
          <w:szCs w:val="20"/>
          <w:color w:val="auto"/>
        </w:rPr>
        <w:t>and amortization of $8.3 million increased $3.9 million, and other operating expenses of $7.7 million increased $0.5 million. Higher depreciation and amortization are related to acquisitions of affiliate assets and Direct Connect subsequent to the third quarter of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Commercial Payments loss from operations in the third quarter of 2019 was $ 0.4 million, compared with $0.1 million in the third quarter of 2018. Gross profit of $2.9 million decreased $0.2 million, primarily due to the decline in managed services that was largely driven by lower incentive revenue in the third quarter of 2019. Operating expenses of $3.3 million, including depreciation and amortization, increased $0.2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253"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Integrated Partners income from operations in the third quarter of 2019 was $1.0 million, compared with a loss from operations of $0.4 million in the third quarter of 2018. Gross profit of $4.1 million increased $3.4 million. Depreciation and amortization of $1.3 million increased $1.2 million, and other operating expenses of $1.8 million increased $0.8 million. Depreciation and amortization are related to assets acquired in forming these business operations. Other operating expenses included $0.4 million of purchase price allocated to temporary free transition services from YapStone, Inc. related to integration of the March 2019 asset acquisition. Integrated Partners adjusted income from operations in the third quarter of 2019, excluding these non-recurring transition services, was $1.4 million.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Corporate expense in the third quarter of 2019 was $5.1 million, compared with $7.9 million in the third quarter of 2018. Non-recurring operating expenses were $0.8 million in the third quarter of 2019 and $3.5 million in the third quarter 2018. Excluding non-recurring operating expenses, Corporate expense was consistent with the third quarter of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Interest expense of $10.5 million in the third quarter of 2019 increased by $3.1 million from $7.3 million in the 2018 third quarter. The increase was due to higher outstanding borrowings driven by debt financing of acquisitions subsequent to the third quarter of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provision for income taxes of $2.5 million for the nine months ended September 30, 2019 is primarily driven by the impact of recognizing a valuation allowance on the deferred tax asset related to Internal Revenue Code Section 163(j) limitation on the deduction of business interest.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With respect to recording a deferred tax benefit for the carryforward of business interest, GAAP applies a "more likely than not" threshold for assessing recoverability. Based on our assessment, we recorded a valuation allowance in the first nine months of 2019 for our business interest carryover of $7.8 million, including a discrete provision of $2.6 million associated with our 2018 business interest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Liquidity</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Working capital (defined as current assets less current liabilities) was $4.3 million at September 30, 2019, compared with $21.1 million at December 31, 2018. Unrestricted cash amounted to $ 4.2 million at September 30, 2019, compared with $15.6 million at December 31, 2018. The use of short-term borrowings under a revolving credit facility and cash in connection with investing activities and repurchases of common stock during the nine months ended September 30, 2019 drove the reduction in unrestricted cash balance and working capital. The Company currently has availability of approximately $13.5 million under a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of September 30, 2019, total term debt amounted to $483.7 million, reflecting a drawdown of the syndicated debt facility related to YapStone and other tuck-in acquisitions, compared to $412.7 million at December 31, 2018. The debt balance consisted of outstanding term debt of $389.8 million under the Senior Credit Facility and $93.8 million in term debt under the subordinated Goldman Sachs Credit Agreement (including accrued payment-in-kind interest through September 30,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Outlook</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Priore concluded, "Last quarter we reiterated our initial 2019 financial guidance. This guidance considered second half 2019 revenue growth from our newly established specialized merchant acquiring program, which was expected to generate approximately $8 million of EBITDA. We have encountered delays in establishing BIN sponsorships for this program caused by the acquisition of our processing provider; therefore, we will realize only minimal revenue growth from this program in the second half of 2019, while expecting to begin achieving growth targets in 2020. As a result, we now anticipate 2019 consolidated revenue to only slightly exceed 2018, and we have revised the 2019 earnout adjusted EBITDA expectation to be approximately $70 million. It should be noted that these results may be positively impacted by acquisitions executed in the fourth quarter of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70707"/>
        </w:rPr>
        <w:t xml:space="preserve">Priority Technology Holdings, Inc.’s leadership will host a conference call on Thursday, November 14, 2019 at 8:30 a.m. ET to discuss its third quarter 2019 financial results. Participants can access the call by </w:t>
      </w:r>
      <w:r>
        <w:rPr>
          <w:rFonts w:ascii="Arial" w:cs="Arial" w:eastAsia="Arial" w:hAnsi="Arial"/>
          <w:sz w:val="20"/>
          <w:szCs w:val="20"/>
          <w:color w:val="000000"/>
        </w:rPr>
        <w:t>Phone: US/Canada: (877) 501-3161 or</w:t>
      </w:r>
      <w:r>
        <w:rPr>
          <w:rFonts w:ascii="Arial" w:cs="Arial" w:eastAsia="Arial" w:hAnsi="Arial"/>
          <w:sz w:val="20"/>
          <w:szCs w:val="20"/>
          <w:color w:val="070707"/>
        </w:rPr>
        <w:t xml:space="preserve"> </w:t>
      </w:r>
      <w:r>
        <w:rPr>
          <w:rFonts w:ascii="Arial" w:cs="Arial" w:eastAsia="Arial" w:hAnsi="Arial"/>
          <w:sz w:val="20"/>
          <w:szCs w:val="20"/>
          <w:color w:val="000000"/>
        </w:rPr>
        <w:t>International: (786) 815-8443.</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Internet webcast link and accompanying slide presentation can be accessed at https://edge.media-server.com/mmc/p/4czs7byb, and will also be posted in the “Investor Relations” section of the Company’s website at www.PRTH.com.</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 audio replay of the call will be available shortly after the conference call until November 17, 2019 at 11:30 am Eastern Time. To listen to the audio replay, dial (855) 859-2056 or (404) 537-3406 and enter conference ID number 6379726. Alternatively, you may access the webcast replay in the “Investor Relations” section of the Company’s website at www.PRTH.com.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Non-GAAP Financial Measures</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regularly review the following key non-GAAP measures to evaluate our business and trends, measure our performance, prepare financial projections, allocate resources, and make strategic decisions. We believe these non-GAAP measures help illustrate the underlying financial and business trends relating to our results of operations and comparability between current and prior periods. We also use these non-GAAP measures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1" w:right="239" w:bottom="1440" w:gutter="0" w:footer="0" w:header="0"/>
        </w:sectPr>
      </w:pPr>
    </w:p>
    <w:bookmarkStart w:id="7" w:name="page8"/>
    <w:bookmarkEnd w:id="7"/>
    <w:p>
      <w:pPr>
        <w:jc w:val="both"/>
        <w:spacing w:after="0" w:line="243" w:lineRule="auto"/>
        <w:rPr>
          <w:sz w:val="20"/>
          <w:szCs w:val="20"/>
          <w:color w:val="auto"/>
        </w:rPr>
      </w:pPr>
      <w:r>
        <w:rPr>
          <w:rFonts w:ascii="Arial" w:cs="Arial" w:eastAsia="Arial" w:hAnsi="Arial"/>
          <w:sz w:val="20"/>
          <w:szCs w:val="20"/>
          <w:color w:val="auto"/>
        </w:rPr>
        <w:t>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Revenue</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Revenue for the quarter ended September 30, 2019 has been negatively affected by the closure of high-margin accounts with certain subscription-billing e-commerce merchants. The closure of merchants in this channel was due to industry-wide changes for enhanced card association compliance. We refer to adjusted revenue, which excludes these revenue amounts from the periods presented. We review this non-GAAP measure to evaluate our underlying revenue and trends.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Adjusted Gross Profit</w:t>
      </w:r>
    </w:p>
    <w:p>
      <w:pPr>
        <w:spacing w:after="0" w:line="2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Company’s non-GAAP gross profit metric represents revenue less costs of merchant card fees and other costs of services. Gross profit margin is gross profit divided by revenue. We review these non-GAAP measures to evaluate our underlying profit trends.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Income from Operations</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Income from operations for the quarter ended September 30, 2019 has also been negatively affected by the closure of the high-margin accounts with certain subscription-billing e-commerce merchants, as well as the incurrence of non-recurring operating expenses largely associated with our July 2018 Business Combination and conversion to a public company, such as legal, accounting, advisory and consulting expenses plus certain litigation costs. We refer to adjusted income from operations, which excludes this income from operations and non-recurring operating expenses for the periods presented. We review this non-GAAP measure to evaluate our underlying profitability performance and trends.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EBITDA, Adjusted EBITDA and Earnout Adjusted EBITDA</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EBITDA is earnings before interest, income tax, depreciation and amortization expenses (“EBITDA”). Adjusted EBITDA begins with EBITDA but further excludes certain non-cash expenses such as equity-based compensation and fair value adjustments, debt modification costs and non-recurring expenses such as Business Combination costs, litigation settlement costs, certain legal services costs, and professional, accounting and consulting fees. The calculation of Earnout Adjusted EBITDA includes adjustments for the pro-forma impact of acquisitions, as well as adjustments to exclude other professional and consulting fees and certain tax expenses and other adjustments. We review these non-GAAP EBITDA measures to evaluate our business and trends, measure our performance, prepare financial projections, allocate resources, and make strategic decisions.</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reconciliations of Adjusted Revenue, Gross Profit, Adjusted Gross Profit, Adjusted Income from Operations, Adjusted Consumer Payments Revenue, Adjusted Consumer Payments Income from Operations, EBITDA, Adjusted EBITDA and Earnout Adjusted EBITDA to the most directly comparable financial measures calculated and presented in accordance with GAAP, are shown in the attached schedules to this press release.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equity compensation expense would be difficult to estimate because it depends on the Company’s future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8" w:name="page9"/>
    <w:bookmarkEnd w:id="8"/>
    <w:p>
      <w:pPr>
        <w:jc w:val="both"/>
        <w:spacing w:after="0" w:line="243" w:lineRule="auto"/>
        <w:rPr>
          <w:sz w:val="20"/>
          <w:szCs w:val="20"/>
          <w:color w:val="auto"/>
        </w:rPr>
      </w:pPr>
      <w:r>
        <w:rPr>
          <w:rFonts w:ascii="Arial" w:cs="Arial" w:eastAsia="Arial" w:hAnsi="Arial"/>
          <w:sz w:val="20"/>
          <w:szCs w:val="20"/>
          <w:color w:val="auto"/>
        </w:rPr>
        <w:t>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Priority Technology Holdings, Inc.</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 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Forward-Looking Statements</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 “future,” “intends,” “could,” “estimate,” “predict,” “projects,” “targeting,” “potential” or “contingent,” the negative of these terms or other similar expressions. Our actual results could differ materially from those discussed or implied herein.</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for 2018 filed with the SEC on March 29, 2019. These filings are available online at www.sec.gov or www.PRTH.com.</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shd w:val="clear" w:color="auto" w:fill="CCEEFF"/>
          </w:tcPr>
          <w:p>
            <w:pPr>
              <w:spacing w:after="0"/>
              <w:rPr>
                <w:sz w:val="23"/>
                <w:szCs w:val="23"/>
                <w:color w:val="auto"/>
              </w:rPr>
            </w:pPr>
          </w:p>
        </w:tc>
        <w:tc>
          <w:tcPr>
            <w:tcW w:w="2660" w:type="dxa"/>
            <w:vAlign w:val="bottom"/>
            <w:gridSpan w:val="5"/>
            <w:shd w:val="clear" w:color="auto" w:fill="CCEEFF"/>
          </w:tcPr>
          <w:p>
            <w:pPr>
              <w:ind w:left="56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shd w:val="clear" w:color="auto" w:fill="CCEEFF"/>
          </w:tcPr>
          <w:p>
            <w:pPr>
              <w:spacing w:after="0"/>
              <w:rPr>
                <w:sz w:val="23"/>
                <w:szCs w:val="23"/>
                <w:color w:val="auto"/>
              </w:rPr>
            </w:pPr>
          </w:p>
        </w:tc>
        <w:tc>
          <w:tcPr>
            <w:tcW w:w="252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299,661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Outsourced services and other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24,288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109,954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323,949</w:t>
            </w:r>
          </w:p>
        </w:tc>
      </w:tr>
      <w:tr>
        <w:trPr>
          <w:trHeight w:val="237"/>
        </w:trPr>
        <w:tc>
          <w:tcPr>
            <w:tcW w:w="56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74,953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230,276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31,923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28,406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24,427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107,229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309,306</w:t>
            </w:r>
          </w:p>
        </w:tc>
      </w:tr>
      <w:tr>
        <w:trPr>
          <w:trHeight w:val="156"/>
        </w:trPr>
        <w:tc>
          <w:tcPr>
            <w:tcW w:w="56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14,643</w:t>
            </w:r>
          </w:p>
        </w:tc>
      </w:tr>
      <w:tr>
        <w:trPr>
          <w:trHeight w:val="210"/>
        </w:trPr>
        <w:tc>
          <w:tcPr>
            <w:tcW w:w="5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(21,893)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5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6"/>
        </w:trPr>
        <w:tc>
          <w:tcPr>
            <w:tcW w:w="5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r>
      <w:tr>
        <w:trPr>
          <w:trHeight w:val="230"/>
        </w:trPr>
        <w:tc>
          <w:tcPr>
            <w:tcW w:w="5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67,007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60,339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60,339</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(C-corporation basis)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 forma income tax expense (benefit)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net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135"/>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number of outstanding common shares)</w:t>
            </w:r>
          </w:p>
        </w:tc>
        <w:tc>
          <w:tcPr>
            <w:tcW w:w="20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15,631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45,651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49,692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r>
      <w:tr>
        <w:trPr>
          <w:trHeight w:val="297"/>
        </w:trPr>
        <w:tc>
          <w:tcPr>
            <w:tcW w:w="720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452,277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30"/>
        </w:trPr>
        <w:tc>
          <w:tcPr>
            <w:tcW w:w="7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22,033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27,638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3,282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outstanding on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76,466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473,344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402,095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481,084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7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557,550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474,091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(67,007,172 and 67,038,304 shares outstanding,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(85,540)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r>
      <w:tr>
        <w:trPr>
          <w:trHeight w:val="223"/>
        </w:trPr>
        <w:tc>
          <w:tcPr>
            <w:tcW w:w="7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452,277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388,618</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tcBorders>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43"/>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(11,367)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amortization of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12,679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 and impairment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Provision for deferred income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Provisions for allowance for deferred tax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 net of business combinations: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Settlement assets and obligations, net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5,764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24,836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Additions to property, equipment and software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(8,406)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merchant portfolios and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Note receivable loan funding</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r>
      <w:tr>
        <w:trPr>
          <w:trHeight w:val="277"/>
        </w:trPr>
        <w:tc>
          <w:tcPr>
            <w:tcW w:w="7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net of issue discount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69,650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67,113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Debt issuance costs refunded (paid)</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to members prior to July 25, 2018 recapitalization</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(7,075)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 of membership interests prior to July 25, 2018 recapitalization</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Recapitalization proceeds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49,389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Founders shares redemptions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Redemption of warrants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(12,701)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Recapitalization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cash and restricted cash</w:t>
            </w:r>
          </w:p>
        </w:tc>
        <w:tc>
          <w:tcPr>
            <w:tcW w:w="3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Cash and restricted cash at beginning of year</w:t>
            </w:r>
          </w:p>
        </w:tc>
        <w:tc>
          <w:tcPr>
            <w:tcW w:w="3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44,159</w:t>
            </w:r>
          </w:p>
        </w:tc>
      </w:tr>
      <w:tr>
        <w:trPr>
          <w:trHeight w:val="27"/>
        </w:trPr>
        <w:tc>
          <w:tcPr>
            <w:tcW w:w="48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restricted cash at September 30</w:t>
            </w:r>
          </w:p>
        </w:tc>
        <w:tc>
          <w:tcPr>
            <w:tcW w:w="3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26,843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35,477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Cash paid for interest, net of payment-in-kind interest</w:t>
            </w:r>
          </w:p>
        </w:tc>
        <w:tc>
          <w:tcPr>
            <w:tcW w:w="3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25,527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16,537</w:t>
            </w:r>
          </w:p>
        </w:tc>
      </w:tr>
      <w:tr>
        <w:trPr>
          <w:trHeight w:val="27"/>
        </w:trPr>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Recognition of initial net deferred income tax asset</w:t>
            </w:r>
          </w:p>
        </w:tc>
        <w:tc>
          <w:tcPr>
            <w:tcW w:w="36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47,478</w:t>
            </w:r>
          </w:p>
        </w:tc>
      </w:tr>
      <w:tr>
        <w:trPr>
          <w:trHeight w:val="459"/>
        </w:trPr>
        <w:tc>
          <w:tcPr>
            <w:tcW w:w="4840" w:type="dxa"/>
            <w:vAlign w:val="bottom"/>
          </w:tcPr>
          <w:p>
            <w:pPr>
              <w:spacing w:after="0"/>
              <w:rPr>
                <w:sz w:val="24"/>
                <w:szCs w:val="24"/>
                <w:color w:val="auto"/>
              </w:rPr>
            </w:pPr>
          </w:p>
        </w:tc>
        <w:tc>
          <w:tcPr>
            <w:tcW w:w="3060" w:type="dxa"/>
            <w:vAlign w:val="bottom"/>
          </w:tcPr>
          <w:p>
            <w:pPr>
              <w:jc w:val="right"/>
              <w:ind w:right="201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3"/>
                <w:szCs w:val="23"/>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80" w:type="dxa"/>
            <w:vAlign w:val="bottom"/>
            <w:gridSpan w:val="4"/>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64"/>
        </w:trPr>
        <w:tc>
          <w:tcPr>
            <w:tcW w:w="4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94,058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95,801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276,129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302,514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86,837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83,896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253,826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265,048</w:t>
            </w:r>
          </w:p>
        </w:tc>
      </w:tr>
      <w:tr>
        <w:trPr>
          <w:trHeight w:val="29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22,303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37,466</w:t>
            </w:r>
          </w:p>
        </w:tc>
      </w:tr>
      <w:tr>
        <w:trPr>
          <w:trHeight w:val="23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24,215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11,497</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10,566,500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9,643,512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31,551,404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28,548,235</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131,646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120,879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382,676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351,304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20,473</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22,148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21,218</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(745)</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458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w:t>
            </w: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92,290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63,361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236,716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180,764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r>
      <w:tr>
        <w:trPr>
          <w:trHeight w:val="230"/>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962</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18,853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1,590</w:t>
            </w:r>
          </w:p>
        </w:tc>
      </w:tr>
      <w:tr>
        <w:trPr>
          <w:trHeight w:val="29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(628)</w:t>
            </w:r>
          </w:p>
        </w:tc>
      </w:tr>
      <w:tr>
        <w:trPr>
          <w:trHeight w:val="23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91</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119,747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259,894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2,351</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 of segments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22,529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36,093</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(21,450)</w:t>
            </w:r>
          </w:p>
        </w:tc>
      </w:tr>
      <w:tr>
        <w:trPr>
          <w:trHeight w:val="29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14,643</w:t>
            </w: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698</w:t>
            </w:r>
          </w:p>
        </w:tc>
      </w:tr>
      <w:tr>
        <w:trPr>
          <w:trHeight w:val="243"/>
        </w:trPr>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10,778,537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89"/>
              </w:rPr>
              <w:t>9,709,224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32,048,014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28,731,350</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132,092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120,935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383,672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351,416</w:t>
            </w:r>
          </w:p>
        </w:tc>
      </w:tr>
      <w:tr>
        <w:trPr>
          <w:trHeight w:val="27"/>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40"/>
          </w:cols>
          <w:pgMar w:left="440" w:top="580" w:right="4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440" w:top="580" w:right="4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non-GAAP reconciliations of Adjusted Consolidated Revenue, Consolidated Gross Profit and Gross Profit Margin, Adjusted Consolidated Gross Profit and Gross Profit Margin, Adjusted Consolidated Income from Operations, Adjusted Consumer Payments Revenue, and Adjusted Consumer Payments Income from Operations to the most directly comparable financial measures calculated and presented in accordance with GAAP, are shown in the following tables: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5"/>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5"/>
              </w:rPr>
              <w:t>Quarter Ended</w:t>
            </w: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jc w:val="right"/>
              <w:ind w:right="47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 (GAAP)</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$109,954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$103,591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323,949</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(57,759)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revenue (non-GAAP)</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108,743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91,871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310,570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266,190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costs of services</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Consolidated costs of merchant card fees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74,953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71,876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215,433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230,276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costs of outsourced services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79,789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76,351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229,512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243,794</w:t>
            </w:r>
          </w:p>
        </w:tc>
        <w:tc>
          <w:tcPr>
            <w:tcW w:w="0" w:type="dxa"/>
            <w:vAlign w:val="bottom"/>
          </w:tcPr>
          <w:p>
            <w:pPr>
              <w:spacing w:after="0"/>
              <w:rPr>
                <w:sz w:val="1"/>
                <w:szCs w:val="1"/>
                <w:color w:val="auto"/>
              </w:rPr>
            </w:pPr>
          </w:p>
        </w:tc>
      </w:tr>
      <w:tr>
        <w:trPr>
          <w:trHeight w:val="67"/>
        </w:trPr>
        <w:tc>
          <w:tcPr>
            <w:tcW w:w="544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Consolidated gross profit (non-GAAP)</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111"/>
              <w:spacing w:after="0"/>
              <w:rPr>
                <w:sz w:val="20"/>
                <w:szCs w:val="20"/>
                <w:color w:val="auto"/>
              </w:rPr>
            </w:pPr>
            <w:r>
              <w:rPr>
                <w:rFonts w:ascii="Arial" w:cs="Arial" w:eastAsia="Arial" w:hAnsi="Arial"/>
                <w:sz w:val="18"/>
                <w:szCs w:val="18"/>
                <w:color w:val="auto"/>
                <w:w w:val="89"/>
              </w:rPr>
              <w:t>$30,165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9"/>
              </w:rPr>
              <w:t>$27,240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87,844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80,155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gross profit of certain e-commerce merchants</w:t>
            </w:r>
          </w:p>
        </w:tc>
        <w:tc>
          <w:tcPr>
            <w:tcW w:w="10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gross profit (non-GAAP)</w:t>
            </w:r>
          </w:p>
        </w:tc>
        <w:tc>
          <w:tcPr>
            <w:tcW w:w="10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29,691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23,163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85,087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61,847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gross profit margin (non-GAAP)</w:t>
            </w:r>
          </w:p>
        </w:tc>
        <w:tc>
          <w:tcPr>
            <w:tcW w:w="10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51"/>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gross profit margin (non-GAAP)</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 (GAAP)</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14,643</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(57,759)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operating expenses of certain e-commerce merchants</w:t>
            </w: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39,451</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Add: non-recurring operating expenses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3,445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7,325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6,616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 revenue (GAAP)</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94,058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95,801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276,129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302,514</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(57,759)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Consumer Payments revenue (non-GAAP)</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92,847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84,081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269,343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244,755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 income from operations (GAAP)</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37,466</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(57,759)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operating expenses of certain e-commerce merchants</w:t>
            </w:r>
          </w:p>
        </w:tc>
        <w:tc>
          <w:tcPr>
            <w:tcW w:w="10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39,451</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w w:val="92"/>
              </w:rPr>
              <w:t>Adjusted Consumer Payments income from operations (non-GAAP)</w:t>
            </w:r>
          </w:p>
        </w:tc>
        <w:tc>
          <w:tcPr>
            <w:tcW w:w="10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6,747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7,828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19,546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19,158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20" w:type="dxa"/>
            <w:vAlign w:val="bottom"/>
            <w:vMerge w:val="restart"/>
          </w:tcPr>
          <w:p>
            <w:pPr>
              <w:jc w:val="right"/>
              <w:ind w:right="57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Non-GAAP EBITDA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non-GAAP reconciliations of Consolidated EBITDA, Consolidated Adjusted EBITDA, Consolidated Earnout Adjusted EBITDA, and Consolidated Adjusted EBITDA excluding certain subscription-billing e-commerce merchants to consolidated net loss, the most directly comparable financial measures calculated and presented in accordance with GAAP, are shown in the tables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shd w:val="clear" w:color="auto" w:fill="CCEEFF"/>
          </w:tcPr>
          <w:p>
            <w:pPr>
              <w:spacing w:after="0"/>
              <w:rPr>
                <w:sz w:val="23"/>
                <w:szCs w:val="23"/>
                <w:color w:val="auto"/>
              </w:rPr>
            </w:pPr>
          </w:p>
        </w:tc>
        <w:tc>
          <w:tcPr>
            <w:tcW w:w="2400" w:type="dxa"/>
            <w:vAlign w:val="bottom"/>
            <w:gridSpan w:val="5"/>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4"/>
              </w:rPr>
              <w:t>Quarter Ended</w:t>
            </w:r>
          </w:p>
        </w:tc>
        <w:tc>
          <w:tcPr>
            <w:tcW w:w="320" w:type="dxa"/>
            <w:vAlign w:val="bottom"/>
            <w:shd w:val="clear" w:color="auto" w:fill="CCEEFF"/>
          </w:tcPr>
          <w:p>
            <w:pPr>
              <w:spacing w:after="0"/>
              <w:rPr>
                <w:sz w:val="23"/>
                <w:szCs w:val="23"/>
                <w:color w:val="auto"/>
              </w:rPr>
            </w:pPr>
          </w:p>
        </w:tc>
        <w:tc>
          <w:tcPr>
            <w:tcW w:w="24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1"/>
                <w:szCs w:val="21"/>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64"/>
        </w:trPr>
        <w:tc>
          <w:tcPr>
            <w:tcW w:w="57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(11,367)</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Add: Interest expense (1)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21,893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12,679</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Add: Income tax (benefit)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22,214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Non-cash 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rPr>
              <w:t>Add: Debt modification/extinguishment costs and warrant fair value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changes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4,782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Certain legal expenses (2)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4,785</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Transition services for acquisition (4)</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42,723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38,340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Pro-forma impact of acquisitions (5)</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7,633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Contracted revenue and savings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2,924</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Earnout Adjusted EBITDA (non-GAAP) (6)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13,818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51,760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51,079</w:t>
            </w:r>
          </w:p>
        </w:tc>
      </w:tr>
      <w:tr>
        <w:trPr>
          <w:trHeight w:val="230"/>
        </w:trPr>
        <w:tc>
          <w:tcPr>
            <w:tcW w:w="5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11420"/>
          </w:cols>
          <w:pgMar w:left="240" w:top="580" w:right="239" w:bottom="1440" w:gutter="0" w:footer="0" w:header="0"/>
        </w:sectPr>
      </w:pPr>
    </w:p>
    <w:tbl>
      <w:tblPr>
        <w:tblLayout w:type="fixed"/>
        <w:tblInd w:w="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Consolidated Adjusted EBITDA (non-GAAP)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Less: Gross profit from certain e-commerce merchants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0"/>
                <w:szCs w:val="20"/>
                <w:color w:val="auto"/>
              </w:rPr>
            </w:pPr>
            <w:r>
              <w:rPr>
                <w:rFonts w:ascii="Arial" w:cs="Arial" w:eastAsia="Arial" w:hAnsi="Arial"/>
                <w:sz w:val="18"/>
                <w:szCs w:val="18"/>
                <w:b w:val="1"/>
                <w:bCs w:val="1"/>
                <w:color w:val="auto"/>
                <w:w w:val="91"/>
              </w:rPr>
              <w:t>Consolidated Adjusted EBITDA excluding certain subscription-billing 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commerce merchants (non-GAAP)</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005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15,325</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12,395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42,723</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38,340</w:t>
            </w:r>
          </w:p>
        </w:tc>
      </w:tr>
      <w:tr>
        <w:trPr>
          <w:trHeight w:val="27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(18,308)</w:t>
            </w:r>
          </w:p>
        </w:tc>
      </w:tr>
      <w:tr>
        <w:trPr>
          <w:trHeight w:val="27"/>
        </w:trPr>
        <w:tc>
          <w:tcPr>
            <w:tcW w:w="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26"/>
        </w:trPr>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14,851</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8,318</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39,966</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20,032</w:t>
            </w:r>
          </w:p>
        </w:tc>
      </w:tr>
      <w:tr>
        <w:trPr>
          <w:trHeight w:val="27"/>
        </w:trPr>
        <w:tc>
          <w:tcPr>
            <w:tcW w:w="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-25400</wp:posOffset>
            </wp:positionV>
            <wp:extent cx="788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-8255</wp:posOffset>
            </wp:positionV>
            <wp:extent cx="788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-325120</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520"/>
            <w:col w:w="5060"/>
          </w:cols>
          <w:pgMar w:left="240" w:top="580" w:right="239" w:bottom="1440" w:gutter="0" w:footer="0" w:header="0"/>
          <w:type w:val="continuous"/>
        </w:sectPr>
      </w:pPr>
    </w:p>
    <w:p>
      <w:pPr>
        <w:spacing w:after="0" w:line="6"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issue discounts.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and settlement negotiation and other litigation expenses, as well as legal settlements.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Temporary transition services from YapStone related to integration of the March 2019 asset acquisition.</w:t>
      </w:r>
    </w:p>
    <w:p>
      <w:pPr>
        <w:spacing w:after="0" w:line="5" w:lineRule="exact"/>
        <w:rPr>
          <w:rFonts w:ascii="Arial" w:cs="Arial" w:eastAsia="Arial" w:hAnsi="Arial"/>
          <w:sz w:val="16"/>
          <w:szCs w:val="16"/>
          <w:color w:val="auto"/>
        </w:rPr>
      </w:pPr>
    </w:p>
    <w:p>
      <w:pPr>
        <w:ind w:firstLine="8"/>
        <w:spacing w:after="0" w:line="246" w:lineRule="auto"/>
        <w:tabs>
          <w:tab w:leader="none" w:pos="237"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reporting period's year-to-date amounts are updated to reflect the pro forma impact of acquisitions as though they had taken place on January 1 of the year in which the acquisition occurred.</w:t>
      </w:r>
    </w:p>
    <w:p>
      <w:pPr>
        <w:jc w:val="both"/>
        <w:ind w:firstLine="8"/>
        <w:spacing w:after="0" w:line="250" w:lineRule="auto"/>
        <w:tabs>
          <w:tab w:leader="none" w:pos="2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Reflects definition in debt agreements entered into in connection with the January 2017 debt financing. Subsequent to the Business Combination, the Earnout Adjusted EBITDA of the Borrowers under the credit agreements excludes expenses of the Company's consolidated parent entity, which is neither a borrower nor a guarantor under the credit agreements. Earnout Adjusted EBITDA of the Borrowers was approximately $20.7 million and $62.4 million for the quarter and nine months ended September 30, 2019,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2019-11-28T08:20:37Z</dcterms:created>
  <dcterms:modified xsi:type="dcterms:W3CDTF">2019-11-28T08:20:37Z</dcterms:modified>
</cp:coreProperties>
</file>