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November 6, 2025</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106680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NASDAQ</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November 6, 2025, Priority Technology Holdings, Inc. ("Priority") issued a press release announcing its financial results for the quarter ended September 30, 2025.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November 6, 2025, Priority will hold an earnings conference call and webcast at 10:00 a.m. (Eastern Time) to discuss the financial results for the quarter ended September 30, 2025.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November 6, 2025</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6, 2025</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M.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M.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342265</wp:posOffset>
            </wp:positionV>
            <wp:extent cx="1697355" cy="53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Reports Third Quarter Financial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Third Quarter Performance Driven by Strength of Unified Commerce Platform</w:t>
      </w:r>
    </w:p>
    <w:p>
      <w:pPr>
        <w:spacing w:after="0" w:line="16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3"/>
          <w:szCs w:val="13"/>
          <w:color w:val="auto"/>
        </w:rPr>
        <w:t xml:space="preserve">ALPHARETTA, GA - November 6, 2025 -- Priority Technology Holdings, Inc. (NASDAQ: PRTH) ("Priority" or the "Company"), the payments and banking solution that streamlines collecting, storing, lending, and sending money to unlock revenue opportunities, today announced its third quarter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3"/>
          <w:szCs w:val="13"/>
          <w:color w:val="auto"/>
        </w:rPr>
        <w:t xml:space="preserve"> financial results including strong year-over-year diversified revenue growth.</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"Our third quarter results reflect the strength and diversification of Priority’s Connected Commerce platform, with over 6% revenue growth and 10% adjusted gross profit growth,” said Tom Priore, Chairman and CEO of Priority. “Our ability to connect payments and treasury solutions across our diverse business segments delivered over 18% revenue growth for Treasury Solutions and 14% growth for Payables, while adjusted gross profit margins expanded by nearly 140 basis points. In addition to the solid financial results, we had several key operational wins during the quarter - launching our dedicated residual financing facility to fuel ISO and ISV partner growth, activating card acquiring in Canada, adding real-time payments, and increasing deposits under administration by $200 million - along with the execution of accretive acquisitions and a 100 basis point reduction in our borrowing costs, reinforcing the strength of our platform which has produced 18% compound annual adjusted EBITDA growth since going public in 2018.”</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 and Additional Information</w:t>
      </w:r>
      <w:r>
        <w:rPr>
          <w:rFonts w:ascii="Times New Roman" w:cs="Times New Roman" w:eastAsia="Times New Roman" w:hAnsi="Times New Roman"/>
          <w:sz w:val="17"/>
          <w:szCs w:val="17"/>
          <w:color w:val="auto"/>
          <w:vertAlign w:val="superscript"/>
        </w:rPr>
        <w:t>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Third Quarter 2025 Financial Highlights compared with Third Quarter 2024</w:t>
      </w:r>
    </w:p>
    <w:p>
      <w:pPr>
        <w:spacing w:after="0" w:line="17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$241.4 million increased 6.3% from $227.0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$94.8 million increased 10.2% from $86.0 million</w:t>
      </w:r>
    </w:p>
    <w:p>
      <w:pPr>
        <w:spacing w:after="0" w:line="7"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39.2% increased by nearly 140 basis points from 37.9%</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$37.8 million decreased 0.8% from $38.1 million</w:t>
      </w:r>
    </w:p>
    <w:p>
      <w:pPr>
        <w:spacing w:after="0" w:line="1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$57.8 million increased 5.7% from $54.6 million</w:t>
      </w:r>
    </w:p>
    <w:p>
      <w:pPr>
        <w:spacing w:after="0" w:line="5"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 diluted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$0.28 increased by $0.10, or 55.6%, from $0.18</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Driven by strong cash flow performance in 2025, the Company made a $15.0 million voluntary prepayment on its term loan on October 31, 2025.</w:t>
      </w:r>
    </w:p>
    <w:p>
      <w:pPr>
        <w:spacing w:after="0" w:line="2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The Company closed on a new $1.1 billion broadly syndicated credit facility on July 31, 2025, and lowered the interest rate by 100 basis points while increasing liquidity and extending maturity to 2032.</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In August 2025, the Company acquired the assets of Boom Commerce, an existing reseller partner of Priority with proven ability to attract enterprise customers and sell value added services.</w:t>
      </w:r>
    </w:p>
    <w:p>
      <w:pPr>
        <w:spacing w:after="0" w:line="28"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In October 2025, the Company acquired the assets of Dealer Merchant Services, a leading provider of vertically focused software and payments in the automotive dealership arena.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38"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56"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compute accurately due to rounding.</w:t>
      </w:r>
    </w:p>
    <w:p>
      <w:pPr>
        <w:spacing w:after="0" w:line="22" w:lineRule="exact"/>
        <w:rPr>
          <w:rFonts w:ascii="Times New Roman" w:cs="Times New Roman" w:eastAsia="Times New Roman" w:hAnsi="Times New Roman"/>
          <w:sz w:val="17"/>
          <w:szCs w:val="17"/>
          <w:i w:val="1"/>
          <w:iCs w:val="1"/>
          <w:color w:val="auto"/>
          <w:vertAlign w:val="superscript"/>
        </w:rPr>
      </w:pPr>
    </w:p>
    <w:p>
      <w:pPr>
        <w:ind w:left="220" w:right="20" w:hanging="212"/>
        <w:spacing w:after="0" w:line="220" w:lineRule="auto"/>
        <w:tabs>
          <w:tab w:leader="none" w:pos="2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Adjusted EBITDA, and Adjusted EPS- diluted (non-GAAP) to their most comparable GAAP measures provided within this document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100"/>
          </w:cols>
          <w:pgMar w:left="500" w:top="138"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2025 Financial Guidance</w:t>
      </w:r>
    </w:p>
    <w:p>
      <w:pPr>
        <w:spacing w:after="0" w:line="177"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3"/>
          <w:szCs w:val="13"/>
          <w:color w:val="auto"/>
        </w:rPr>
        <w:t>Priority's business remains strong, and we are adjusting our full year 2025 guidance to reflect year to date results combined with our current outlook for the fourth quarter. We anticipate continued strong double-digit revenue growth in Payables and Treasury Solutions will complement mid-single digit organic revenue growth in Merchant Solutions. The adjusted full year 2025 guidance is as follows:</w:t>
      </w:r>
    </w:p>
    <w:p>
      <w:pPr>
        <w:spacing w:after="0" w:line="109"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$950 million to $965 million, a growth rate of 8% to 10%, compared to fiscal 2024 results.</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$370 million and $380 million.</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forecast to range between $223 million to $228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Segment Reporting Update</w:t>
      </w:r>
    </w:p>
    <w:p>
      <w:pPr>
        <w:spacing w:after="0" w:line="17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3"/>
          <w:szCs w:val="13"/>
          <w:color w:val="auto"/>
        </w:rPr>
        <w:t>Consistent with the evolution of Priority from its origins as a monoline merchant acquirer over 20 years ago to a diversified commerce platform today, we are renaming our operating segments to better reflect not only their respective solution sets, but the diverse mix of increasingly larger customers they serve. Merchant Solutions, Payables and Treasury Solutions replace SMB, B2B and Enterprise, respectively. The financial results of each respective reporting segment do not change as a result of this rebranding.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070707"/>
        </w:rPr>
        <w:t>The Company will host a conference call on Thursday, November 6, 2025 at 10:00 a.m. EST to discuss its third quarter financial results. Participants can access the call by p</w:t>
      </w:r>
      <w:r>
        <w:rPr>
          <w:rFonts w:ascii="Times New Roman" w:cs="Times New Roman" w:eastAsia="Times New Roman" w:hAnsi="Times New Roman"/>
          <w:sz w:val="13"/>
          <w:szCs w:val="13"/>
          <w:color w:val="000000"/>
        </w:rPr>
        <w:t>hone in the U.S. or Canada at (833) 636-1319 or internationally at (412) 902-4286.</w:t>
      </w:r>
    </w:p>
    <w:p>
      <w:pPr>
        <w:spacing w:after="0" w:line="107"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https://viavid.webcasts.com/starthere.jsp?ei=1732695&amp;tp_key=493d4ecd35</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www.prioritycommerce.com/investors.</w:t>
      </w:r>
    </w:p>
    <w:p>
      <w:pPr>
        <w:spacing w:after="0" w:line="10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November 20, 2025, at 11:59 p.m. EST. To listen to the audio replay, dial (844) 512-2921 or (412) 317-6671 and enter conference ID number </w:t>
      </w:r>
      <w:r>
        <w:rPr>
          <w:rFonts w:ascii="Times New Roman" w:cs="Times New Roman" w:eastAsia="Times New Roman" w:hAnsi="Times New Roman"/>
          <w:sz w:val="13"/>
          <w:szCs w:val="13"/>
          <w:b w:val="1"/>
          <w:bCs w:val="1"/>
          <w:color w:val="auto"/>
        </w:rPr>
        <w:t>10202505</w:t>
      </w:r>
      <w:r>
        <w:rPr>
          <w:rFonts w:ascii="Times New Roman" w:cs="Times New Roman" w:eastAsia="Times New Roman" w:hAnsi="Times New Roman"/>
          <w:sz w:val="13"/>
          <w:szCs w:val="13"/>
          <w:color w:val="auto"/>
        </w:rPr>
        <w:t>. Alternatively, you may access the webcast replay in the "Investor Relations" section of the Company's website at https://ir.prioritycommerce.com/.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38"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241,439</w:t>
            </w:r>
          </w:p>
        </w:tc>
        <w:tc>
          <w:tcPr>
            <w:tcW w:w="60" w:type="dxa"/>
            <w:vAlign w:val="bottom"/>
          </w:tcPr>
          <w:p>
            <w:pPr>
              <w:spacing w:after="0"/>
              <w:rPr>
                <w:sz w:val="13"/>
                <w:szCs w:val="13"/>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227,049</w:t>
            </w:r>
          </w:p>
        </w:tc>
        <w:tc>
          <w:tcPr>
            <w:tcW w:w="80" w:type="dxa"/>
            <w:vAlign w:val="bottom"/>
          </w:tcPr>
          <w:p>
            <w:pPr>
              <w:spacing w:after="0"/>
              <w:rPr>
                <w:sz w:val="13"/>
                <w:szCs w:val="13"/>
                <w:color w:val="auto"/>
              </w:rPr>
            </w:pPr>
          </w:p>
        </w:tc>
        <w:tc>
          <w:tcPr>
            <w:tcW w:w="1020" w:type="dxa"/>
            <w:vAlign w:val="bottom"/>
          </w:tcPr>
          <w:p>
            <w:pPr>
              <w:jc w:val="right"/>
              <w:ind w:right="87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705,881</w:t>
            </w:r>
          </w:p>
        </w:tc>
        <w:tc>
          <w:tcPr>
            <w:tcW w:w="80" w:type="dxa"/>
            <w:vAlign w:val="bottom"/>
          </w:tcPr>
          <w:p>
            <w:pPr>
              <w:spacing w:after="0"/>
              <w:rPr>
                <w:sz w:val="13"/>
                <w:szCs w:val="13"/>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652,635</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(146,681)</w:t>
            </w:r>
          </w:p>
        </w:tc>
        <w:tc>
          <w:tcPr>
            <w:tcW w:w="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(141,070)</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(431,433)</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(408,486)</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94,758</w:t>
            </w:r>
          </w:p>
        </w:tc>
        <w:tc>
          <w:tcPr>
            <w:tcW w:w="6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85,979</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274,448</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244,149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39.2 %</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37.9 %</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38.9 %</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37.4 %</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(4,985)</w:t>
            </w:r>
          </w:p>
        </w:tc>
        <w:tc>
          <w:tcPr>
            <w:tcW w:w="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(4,207)</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(14,581)</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(12,048)</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89,773</w:t>
            </w:r>
          </w:p>
        </w:tc>
        <w:tc>
          <w:tcPr>
            <w:tcW w:w="6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81,772</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259,867</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232,101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37.2 %</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36.8 %</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35.6 %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38"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w w:val="97"/>
              </w:rPr>
              <w:t>EXHIBIT 99.1</w:t>
            </w:r>
          </w:p>
        </w:tc>
      </w:tr>
      <w:tr>
        <w:trPr>
          <w:trHeight w:val="535"/>
        </w:trPr>
        <w:tc>
          <w:tcPr>
            <w:tcW w:w="62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4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60" w:type="dxa"/>
            <w:vAlign w:val="bottom"/>
          </w:tcPr>
          <w:p>
            <w:pPr>
              <w:spacing w:after="0"/>
              <w:rPr>
                <w:sz w:val="24"/>
                <w:szCs w:val="24"/>
                <w:color w:val="auto"/>
              </w:rPr>
            </w:pPr>
          </w:p>
        </w:tc>
        <w:tc>
          <w:tcPr>
            <w:tcW w:w="308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80" w:type="dxa"/>
            <w:vAlign w:val="bottom"/>
          </w:tcPr>
          <w:p>
            <w:pPr>
              <w:spacing w:after="0"/>
              <w:rPr>
                <w:sz w:val="24"/>
                <w:szCs w:val="24"/>
                <w:color w:val="auto"/>
              </w:rPr>
            </w:pPr>
          </w:p>
        </w:tc>
        <w:tc>
          <w:tcPr>
            <w:tcW w:w="300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60"/>
        </w:trPr>
        <w:tc>
          <w:tcPr>
            <w:tcW w:w="44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27,588</w:t>
            </w:r>
          </w:p>
        </w:tc>
        <w:tc>
          <w:tcPr>
            <w:tcW w:w="8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8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46,735</w:t>
            </w:r>
          </w:p>
        </w:tc>
        <w:tc>
          <w:tcPr>
            <w:tcW w:w="80" w:type="dxa"/>
            <w:vAlign w:val="bottom"/>
          </w:tcPr>
          <w:p>
            <w:pPr>
              <w:spacing w:after="0"/>
              <w:rPr>
                <w:sz w:val="13"/>
                <w:szCs w:val="13"/>
                <w:color w:val="auto"/>
              </w:rPr>
            </w:pPr>
          </w:p>
        </w:tc>
        <w:tc>
          <w:tcPr>
            <w:tcW w:w="3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16,795</w:t>
            </w:r>
          </w:p>
        </w:tc>
        <w:tc>
          <w:tcPr>
            <w:tcW w:w="20" w:type="dxa"/>
            <w:vAlign w:val="bottom"/>
          </w:tcPr>
          <w:p>
            <w:pPr>
              <w:spacing w:after="0"/>
              <w:rPr>
                <w:sz w:val="13"/>
                <w:szCs w:val="13"/>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68,693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65,836</w:t>
            </w:r>
          </w:p>
        </w:tc>
        <w:tc>
          <w:tcPr>
            <w:tcW w:w="20" w:type="dxa"/>
            <w:vAlign w:val="bottom"/>
          </w:tcPr>
          <w:p>
            <w:pPr>
              <w:spacing w:after="0"/>
              <w:rPr>
                <w:sz w:val="14"/>
                <w:szCs w:val="14"/>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9,996</w:t>
            </w:r>
          </w:p>
        </w:tc>
        <w:tc>
          <w:tcPr>
            <w:tcW w:w="20" w:type="dxa"/>
            <w:vAlign w:val="bottom"/>
          </w:tcPr>
          <w:p>
            <w:pPr>
              <w:spacing w:after="0"/>
              <w:rPr>
                <w:sz w:val="14"/>
                <w:szCs w:val="14"/>
                <w:color w:val="auto"/>
              </w:rPr>
            </w:pPr>
          </w:p>
        </w:tc>
      </w:tr>
      <w:tr>
        <w:trPr>
          <w:trHeight w:val="172"/>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15,122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42,992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44,230</w:t>
            </w:r>
          </w:p>
        </w:tc>
        <w:tc>
          <w:tcPr>
            <w:tcW w:w="20" w:type="dxa"/>
            <w:vAlign w:val="bottom"/>
          </w:tcPr>
          <w:p>
            <w:pPr>
              <w:spacing w:after="0"/>
              <w:rPr>
                <w:sz w:val="14"/>
                <w:szCs w:val="14"/>
                <w:color w:val="auto"/>
              </w:rPr>
            </w:pPr>
          </w:p>
        </w:tc>
      </w:t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3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44,972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52,486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144,892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136,857</w:t>
            </w:r>
          </w:p>
        </w:tc>
        <w:tc>
          <w:tcPr>
            <w:tcW w:w="20" w:type="dxa"/>
            <w:vAlign w:val="bottom"/>
          </w:tcPr>
          <w:p>
            <w:pPr>
              <w:spacing w:after="0"/>
              <w:rPr>
                <w:sz w:val="13"/>
                <w:szCs w:val="13"/>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8,666</w:t>
            </w:r>
          </w:p>
        </w:tc>
        <w:tc>
          <w:tcPr>
            <w:tcW w:w="20" w:type="dxa"/>
            <w:vAlign w:val="bottom"/>
          </w:tcPr>
          <w:p>
            <w:pPr>
              <w:spacing w:after="0"/>
              <w:rPr>
                <w:sz w:val="14"/>
                <w:szCs w:val="14"/>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20" w:type="dxa"/>
            <w:vAlign w:val="bottom"/>
          </w:tcPr>
          <w:p>
            <w:pPr>
              <w:spacing w:after="0"/>
              <w:rPr>
                <w:sz w:val="14"/>
                <w:szCs w:val="14"/>
                <w:color w:val="auto"/>
              </w:rPr>
            </w:pP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w:t>
            </w:r>
          </w:p>
        </w:tc>
        <w:tc>
          <w:tcPr>
            <w:tcW w:w="20" w:type="dxa"/>
            <w:vAlign w:val="bottom"/>
          </w:tcPr>
          <w:p>
            <w:pPr>
              <w:spacing w:after="0"/>
              <w:rPr>
                <w:sz w:val="14"/>
                <w:szCs w:val="14"/>
                <w:color w:val="auto"/>
              </w:rPr>
            </w:pPr>
          </w:p>
        </w:tc>
      </w:tr>
      <w:tr>
        <w:trPr>
          <w:trHeight w:val="174"/>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Bargain purchase gain (non-recurring)</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3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57,759</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54,641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165,103</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152,532</w:t>
            </w:r>
          </w:p>
        </w:tc>
        <w:tc>
          <w:tcPr>
            <w:tcW w:w="20" w:type="dxa"/>
            <w:vAlign w:val="bottom"/>
          </w:tcPr>
          <w:p>
            <w:pPr>
              <w:spacing w:after="0"/>
              <w:rPr>
                <w:sz w:val="14"/>
                <w:szCs w:val="14"/>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2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60" w:type="dxa"/>
            <w:vAlign w:val="bottom"/>
            <w:gridSpan w:val="4"/>
          </w:tcPr>
          <w:p>
            <w:pPr>
              <w:jc w:val="right"/>
              <w:ind w:right="714"/>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4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5"/>
        </w:trPr>
        <w:tc>
          <w:tcPr>
            <w:tcW w:w="4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(income) expenses,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74"/>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1,491</w:t>
            </w:r>
          </w:p>
        </w:tc>
        <w:tc>
          <w:tcPr>
            <w:tcW w:w="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696</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4,085</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38"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Earnings Per Share (Adjusted EPS)</w:t>
      </w:r>
    </w:p>
    <w:p>
      <w:pPr>
        <w:spacing w:after="0" w:line="170" w:lineRule="exact"/>
        <w:rPr>
          <w:sz w:val="20"/>
          <w:szCs w:val="20"/>
          <w:color w:val="auto"/>
        </w:rPr>
      </w:pPr>
    </w:p>
    <w:p>
      <w:pPr>
        <w:ind w:right="160"/>
        <w:spacing w:after="0" w:line="338" w:lineRule="auto"/>
        <w:rPr>
          <w:sz w:val="20"/>
          <w:szCs w:val="20"/>
          <w:color w:val="auto"/>
        </w:rPr>
      </w:pPr>
      <w:r>
        <w:rPr>
          <w:rFonts w:ascii="Times New Roman" w:cs="Times New Roman" w:eastAsia="Times New Roman" w:hAnsi="Times New Roman"/>
          <w:sz w:val="13"/>
          <w:szCs w:val="13"/>
          <w:color w:val="auto"/>
        </w:rPr>
        <w:t>Adjusted EPS is a performance measure. Adjusted EPS is calculated by dividing adjusted net income (loss) attributable to common shareholders by weighted average number shares outstanding for the respective periods.</w:t>
      </w:r>
    </w:p>
    <w:p>
      <w:pPr>
        <w:spacing w:after="0" w:line="110" w:lineRule="exact"/>
        <w:rPr>
          <w:sz w:val="20"/>
          <w:szCs w:val="20"/>
          <w:color w:val="auto"/>
        </w:rPr>
      </w:pPr>
    </w:p>
    <w:p>
      <w:pPr>
        <w:ind w:right="420"/>
        <w:spacing w:after="0" w:line="324" w:lineRule="auto"/>
        <w:rPr>
          <w:sz w:val="20"/>
          <w:szCs w:val="20"/>
          <w:color w:val="auto"/>
        </w:rPr>
      </w:pPr>
      <w:r>
        <w:rPr>
          <w:rFonts w:ascii="Times New Roman" w:cs="Times New Roman" w:eastAsia="Times New Roman" w:hAnsi="Times New Roman"/>
          <w:sz w:val="13"/>
          <w:szCs w:val="13"/>
          <w:color w:val="auto"/>
        </w:rPr>
        <w:t>Adjusted net income attributable to common shareholders begins with net income (loss) attributable to common shareholders adjusted to exclude various items listed below. We believe that adjusted EPS is a measure that is useful to investors and management in understanding our ongoing profitability and in analysis of ongoing profitability trends.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Pr>
          <w:p>
            <w:pPr>
              <w:spacing w:after="0"/>
              <w:rPr>
                <w:sz w:val="13"/>
                <w:szCs w:val="13"/>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60" w:type="dxa"/>
            <w:vAlign w:val="bottom"/>
          </w:tcPr>
          <w:p>
            <w:pPr>
              <w:spacing w:after="0"/>
              <w:rPr>
                <w:sz w:val="13"/>
                <w:szCs w:val="13"/>
                <w:color w:val="auto"/>
              </w:rPr>
            </w:pPr>
          </w:p>
        </w:tc>
        <w:tc>
          <w:tcPr>
            <w:tcW w:w="2420" w:type="dxa"/>
            <w:vAlign w:val="bottom"/>
            <w:gridSpan w:val="4"/>
          </w:tcPr>
          <w:p>
            <w:pPr>
              <w:jc w:val="right"/>
              <w:ind w:right="374"/>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5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Adjusted EPS</w:t>
            </w: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5"/>
        </w:trPr>
        <w:tc>
          <w:tcPr>
            <w:tcW w:w="5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27,588</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5,487</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46,735</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(20,192)</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Non-recurring release of valuation allowance on deferred tax assets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Accelerated accretion expense and excise tax attributable to redeemable senior preferred stockholders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9,549</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Debt extinguishment and modification costs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8,666</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Other non-recurring expenses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 related intangible assets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32,930</w:t>
            </w:r>
          </w:p>
        </w:tc>
        <w:tc>
          <w:tcPr>
            <w:tcW w:w="0" w:type="dxa"/>
            <w:vAlign w:val="bottom"/>
          </w:tcPr>
          <w:p>
            <w:pPr>
              <w:spacing w:after="0"/>
              <w:rPr>
                <w:sz w:val="1"/>
                <w:szCs w:val="1"/>
                <w:color w:val="auto"/>
              </w:rPr>
            </w:pPr>
          </w:p>
        </w:tc>
      </w:tr>
      <w:tr>
        <w:trPr>
          <w:trHeight w:val="171"/>
        </w:trPr>
        <w:tc>
          <w:tcPr>
            <w:tcW w:w="5660" w:type="dxa"/>
            <w:vAlign w:val="bottom"/>
          </w:tcPr>
          <w:p>
            <w:pPr>
              <w:spacing w:after="0" w:line="171" w:lineRule="exact"/>
              <w:rPr>
                <w:sz w:val="20"/>
                <w:szCs w:val="20"/>
                <w:color w:val="auto"/>
              </w:rPr>
            </w:pPr>
            <w:r>
              <w:rPr>
                <w:rFonts w:ascii="Times New Roman" w:cs="Times New Roman" w:eastAsia="Times New Roman" w:hAnsi="Times New Roman"/>
                <w:sz w:val="13"/>
                <w:szCs w:val="13"/>
                <w:color w:val="auto"/>
              </w:rPr>
              <w:t>Tax impact of adjustments</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(12,637)</w:t>
            </w:r>
          </w:p>
        </w:tc>
        <w:tc>
          <w:tcPr>
            <w:tcW w:w="0" w:type="dxa"/>
            <w:vAlign w:val="bottom"/>
          </w:tcPr>
          <w:p>
            <w:pPr>
              <w:spacing w:after="0"/>
              <w:rPr>
                <w:sz w:val="1"/>
                <w:szCs w:val="1"/>
                <w:color w:val="auto"/>
              </w:rPr>
            </w:pPr>
          </w:p>
        </w:tc>
      </w:tr>
      <w:tr>
        <w:trPr>
          <w:trHeight w:val="174"/>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Bargain purchase gain (non-recurring)</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income attributable to common share holders</w:t>
            </w: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22,615</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14,344</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61,617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25,325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77,973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77,910</w:t>
            </w:r>
          </w:p>
        </w:tc>
        <w:tc>
          <w:tcPr>
            <w:tcW w:w="0" w:type="dxa"/>
            <w:vAlign w:val="bottom"/>
          </w:tcPr>
          <w:p>
            <w:pPr>
              <w:spacing w:after="0"/>
              <w:rPr>
                <w:sz w:val="1"/>
                <w:szCs w:val="1"/>
                <w:color w:val="auto"/>
              </w:rPr>
            </w:pPr>
          </w:p>
        </w:tc>
      </w:tr>
      <w:tr>
        <w:trPr>
          <w:trHeight w:val="169"/>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 of dilutive potential common shares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81,116</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80,383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77,910</w:t>
            </w:r>
          </w:p>
        </w:tc>
        <w:tc>
          <w:tcPr>
            <w:tcW w:w="0" w:type="dxa"/>
            <w:vAlign w:val="bottom"/>
          </w:tcPr>
          <w:p>
            <w:pPr>
              <w:spacing w:after="0"/>
              <w:rPr>
                <w:sz w:val="1"/>
                <w:szCs w:val="1"/>
                <w:color w:val="auto"/>
              </w:rPr>
            </w:pPr>
          </w:p>
        </w:tc>
      </w:tr>
      <w:tr>
        <w:trPr>
          <w:trHeight w:val="350"/>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Earnings (loss) per common share: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r>
        <w:trPr>
          <w:trHeight w:val="172"/>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r>
        <w:trPr>
          <w:trHeight w:val="350"/>
        </w:trPr>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earnings per common share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72"/>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The tax impact calculated using the blended statutory income tax rate (i.e. 26.0% for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38"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0" w:lineRule="exact"/>
        <w:rPr>
          <w:sz w:val="20"/>
          <w:szCs w:val="20"/>
          <w:color w:val="auto"/>
        </w:rPr>
      </w:pPr>
    </w:p>
    <w:p>
      <w:pPr>
        <w:spacing w:after="0" w:line="34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38" w:right="2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2025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Priority Investor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priorityIR@icrinc.com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38"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Income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20" w:type="dxa"/>
            <w:vAlign w:val="bottom"/>
          </w:tcPr>
          <w:p>
            <w:pPr>
              <w:spacing w:after="0"/>
              <w:rPr>
                <w:sz w:val="13"/>
                <w:szCs w:val="13"/>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Borders>
              <w:bottom w:val="single" w:sz="8" w:color="auto"/>
            </w:tcBorders>
            <w:gridSpan w:val="5"/>
          </w:tcPr>
          <w:p>
            <w:pPr>
              <w:jc w:val="right"/>
              <w:ind w:right="439"/>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241,439</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227,049</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705,881</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652,635</w:t>
            </w:r>
          </w:p>
        </w:tc>
        <w:tc>
          <w:tcPr>
            <w:tcW w:w="0" w:type="dxa"/>
            <w:vAlign w:val="bottom"/>
          </w:tcPr>
          <w:p>
            <w:pPr>
              <w:spacing w:after="0"/>
              <w:rPr>
                <w:sz w:val="1"/>
                <w:szCs w:val="1"/>
                <w:color w:val="auto"/>
              </w:rPr>
            </w:pPr>
          </w:p>
        </w:tc>
      </w:tr>
      <w:tr>
        <w:trPr>
          <w:trHeight w:val="131"/>
        </w:trPr>
        <w:tc>
          <w:tcPr>
            <w:tcW w:w="53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146,681</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141,070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431,433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408,486</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26,140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21,748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78,975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66,017</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15,122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13,733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42,992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15,724</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12,413</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44,734</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34,620</w:t>
            </w:r>
          </w:p>
        </w:tc>
        <w:tc>
          <w:tcPr>
            <w:tcW w:w="0" w:type="dxa"/>
            <w:vAlign w:val="bottom"/>
          </w:tcPr>
          <w:p>
            <w:pPr>
              <w:spacing w:after="0"/>
              <w:rPr>
                <w:sz w:val="1"/>
                <w:szCs w:val="1"/>
                <w:color w:val="auto"/>
              </w:rPr>
            </w:pPr>
          </w:p>
        </w:tc>
      </w:tr>
      <w:tr>
        <w:trPr>
          <w:trHeight w:val="142"/>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203,667</w:t>
            </w: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188,964</w:t>
            </w: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598,134</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553,353</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37,772</w:t>
            </w: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38,085</w:t>
            </w: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107,747</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99,282</w:t>
            </w:r>
          </w:p>
        </w:tc>
        <w:tc>
          <w:tcPr>
            <w:tcW w:w="0" w:type="dxa"/>
            <w:vAlign w:val="bottom"/>
          </w:tcPr>
          <w:p>
            <w:pPr>
              <w:spacing w:after="0"/>
              <w:rPr>
                <w:sz w:val="1"/>
                <w:szCs w:val="1"/>
                <w:color w:val="auto"/>
              </w:rPr>
            </w:pPr>
          </w:p>
        </w:tc>
      </w:tr>
      <w:tr>
        <w:trPr>
          <w:trHeight w:val="131"/>
        </w:trPr>
        <w:tc>
          <w:tcPr>
            <w:tcW w:w="53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(22,463)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(68,693)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(12,476)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4,554</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6,667</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2,011</w:t>
            </w:r>
          </w:p>
        </w:tc>
        <w:tc>
          <w:tcPr>
            <w:tcW w:w="0" w:type="dxa"/>
            <w:vAlign w:val="bottom"/>
          </w:tcPr>
          <w:p>
            <w:pPr>
              <w:spacing w:after="0"/>
              <w:rPr>
                <w:sz w:val="1"/>
                <w:szCs w:val="1"/>
                <w:color w:val="auto"/>
              </w:rPr>
            </w:pPr>
          </w:p>
        </w:tc>
      </w:tr>
      <w:tr>
        <w:trPr>
          <w:trHeight w:val="142"/>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(30,385)</w:t>
            </w: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(22,578)</w:t>
            </w: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(74,540)</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(72,491)</w:t>
            </w:r>
          </w:p>
        </w:tc>
        <w:tc>
          <w:tcPr>
            <w:tcW w:w="0" w:type="dxa"/>
            <w:vAlign w:val="bottom"/>
          </w:tcPr>
          <w:p>
            <w:pPr>
              <w:spacing w:after="0"/>
              <w:rPr>
                <w:sz w:val="1"/>
                <w:szCs w:val="1"/>
                <w:color w:val="auto"/>
              </w:rPr>
            </w:pPr>
          </w:p>
        </w:tc>
      </w:tr>
      <w:tr>
        <w:trPr>
          <w:trHeight w:val="140"/>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60" w:type="dxa"/>
            <w:vAlign w:val="bottom"/>
          </w:tcPr>
          <w:p>
            <w:pPr>
              <w:spacing w:after="0"/>
              <w:rPr>
                <w:sz w:val="12"/>
                <w:szCs w:val="1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7,387</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15,507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33,207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26,791</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(20,201)</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4,899</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(13,528)</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9,996</w:t>
            </w:r>
          </w:p>
        </w:tc>
        <w:tc>
          <w:tcPr>
            <w:tcW w:w="0" w:type="dxa"/>
            <w:vAlign w:val="bottom"/>
          </w:tcPr>
          <w:p>
            <w:pPr>
              <w:spacing w:after="0"/>
              <w:rPr>
                <w:sz w:val="1"/>
                <w:szCs w:val="1"/>
                <w:color w:val="auto"/>
              </w:rPr>
            </w:pPr>
          </w:p>
        </w:tc>
      </w:tr>
      <w:tr>
        <w:trPr>
          <w:trHeight w:val="140"/>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960" w:type="dxa"/>
            <w:vAlign w:val="bottom"/>
          </w:tcPr>
          <w:p>
            <w:pPr>
              <w:spacing w:after="0"/>
              <w:rPr>
                <w:sz w:val="12"/>
                <w:szCs w:val="1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27,588</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10,608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46,735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16,795</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(5,121)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(36,348)</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36"/>
        </w:trPr>
        <w:tc>
          <w:tcPr>
            <w:tcW w:w="532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9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27,588</w:t>
            </w:r>
          </w:p>
        </w:tc>
        <w:tc>
          <w:tcPr>
            <w:tcW w:w="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5,487</w:t>
            </w:r>
          </w:p>
        </w:tc>
        <w:tc>
          <w:tcPr>
            <w:tcW w:w="80" w:type="dxa"/>
            <w:vAlign w:val="bottom"/>
          </w:tcPr>
          <w:p>
            <w:pPr>
              <w:spacing w:after="0"/>
              <w:rPr>
                <w:sz w:val="11"/>
                <w:szCs w:val="11"/>
                <w:color w:val="auto"/>
              </w:rPr>
            </w:pPr>
          </w:p>
        </w:tc>
        <w:tc>
          <w:tcPr>
            <w:tcW w:w="800" w:type="dxa"/>
            <w:vAlign w:val="bottom"/>
            <w:tcBorders>
              <w:top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46,735</w:t>
            </w:r>
          </w:p>
        </w:tc>
        <w:tc>
          <w:tcPr>
            <w:tcW w:w="80" w:type="dxa"/>
            <w:vAlign w:val="bottom"/>
          </w:tcPr>
          <w:p>
            <w:pPr>
              <w:spacing w:after="0"/>
              <w:rPr>
                <w:sz w:val="11"/>
                <w:szCs w:val="11"/>
                <w:color w:val="auto"/>
              </w:rPr>
            </w:pPr>
          </w:p>
        </w:tc>
        <w:tc>
          <w:tcPr>
            <w:tcW w:w="320" w:type="dxa"/>
            <w:vAlign w:val="bottom"/>
            <w:tcBorders>
              <w:top w:val="single" w:sz="8" w:color="auto"/>
            </w:tcBorders>
          </w:tcPr>
          <w:p>
            <w:pPr>
              <w:jc w:val="right"/>
              <w:ind w:right="178"/>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tcPr>
          <w:p>
            <w:pPr>
              <w:jc w:val="right"/>
              <w:ind w:right="39"/>
              <w:spacing w:after="0" w:line="136" w:lineRule="exact"/>
              <w:rPr>
                <w:sz w:val="20"/>
                <w:szCs w:val="20"/>
                <w:color w:val="auto"/>
              </w:rPr>
            </w:pPr>
            <w:r>
              <w:rPr>
                <w:rFonts w:ascii="Times New Roman" w:cs="Times New Roman" w:eastAsia="Times New Roman" w:hAnsi="Times New Roman"/>
                <w:sz w:val="12"/>
                <w:szCs w:val="12"/>
                <w:color w:val="auto"/>
              </w:rPr>
              <w:t>(20,192)</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27,309</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5,459</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46,716</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(20,229)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60" w:type="dxa"/>
            <w:vAlign w:val="bottom"/>
          </w:tcPr>
          <w:p>
            <w:pPr>
              <w:jc w:val="right"/>
              <w:ind w:right="8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80" w:type="dxa"/>
            <w:vAlign w:val="bottom"/>
          </w:tcPr>
          <w:p>
            <w:pPr>
              <w:spacing w:after="0"/>
              <w:rPr>
                <w:sz w:val="13"/>
                <w:szCs w:val="13"/>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Pr>
          <w:p>
            <w:pPr>
              <w:spacing w:after="0"/>
              <w:rPr>
                <w:sz w:val="13"/>
                <w:szCs w:val="13"/>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80" w:type="dxa"/>
            <w:vAlign w:val="bottom"/>
          </w:tcPr>
          <w:p>
            <w:pPr>
              <w:spacing w:after="0"/>
              <w:rPr>
                <w:sz w:val="13"/>
                <w:szCs w:val="13"/>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60" w:type="dxa"/>
            <w:vAlign w:val="bottom"/>
          </w:tcPr>
          <w:p>
            <w:pPr>
              <w:jc w:val="right"/>
              <w:ind w:right="8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80" w:type="dxa"/>
            <w:vAlign w:val="bottom"/>
          </w:tcPr>
          <w:p>
            <w:pPr>
              <w:spacing w:after="0"/>
              <w:rPr>
                <w:sz w:val="13"/>
                <w:szCs w:val="13"/>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Pr>
          <w:p>
            <w:pPr>
              <w:spacing w:after="0"/>
              <w:rPr>
                <w:sz w:val="13"/>
                <w:szCs w:val="13"/>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80" w:type="dxa"/>
            <w:vAlign w:val="bottom"/>
          </w:tcPr>
          <w:p>
            <w:pPr>
              <w:spacing w:after="0"/>
              <w:rPr>
                <w:sz w:val="13"/>
                <w:szCs w:val="13"/>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349"/>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earnings per common share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960" w:type="dxa"/>
            <w:vAlign w:val="bottom"/>
            <w:vMerge w:val="restart"/>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24"/>
                <w:szCs w:val="24"/>
                <w:color w:val="auto"/>
              </w:rPr>
            </w:pPr>
          </w:p>
        </w:tc>
        <w:tc>
          <w:tcPr>
            <w:tcW w:w="960" w:type="dxa"/>
            <w:vAlign w:val="bottom"/>
            <w:vMerge w:val="restart"/>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24"/>
                <w:szCs w:val="24"/>
                <w:color w:val="auto"/>
              </w:rPr>
            </w:pPr>
          </w:p>
        </w:tc>
        <w:tc>
          <w:tcPr>
            <w:tcW w:w="800" w:type="dxa"/>
            <w:vAlign w:val="bottom"/>
            <w:vMerge w:val="restart"/>
          </w:tcPr>
          <w:p>
            <w:pPr>
              <w:jc w:val="right"/>
              <w:ind w:right="662"/>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80" w:type="dxa"/>
            <w:vAlign w:val="bottom"/>
          </w:tcPr>
          <w:p>
            <w:pPr>
              <w:spacing w:after="0"/>
              <w:rPr>
                <w:sz w:val="24"/>
                <w:szCs w:val="24"/>
                <w:color w:val="auto"/>
              </w:rPr>
            </w:pPr>
          </w:p>
        </w:tc>
        <w:tc>
          <w:tcPr>
            <w:tcW w:w="320" w:type="dxa"/>
            <w:vAlign w:val="bottom"/>
            <w:vMerge w:val="restart"/>
          </w:tcPr>
          <w:p>
            <w:pPr>
              <w:jc w:val="right"/>
              <w:ind w:right="178"/>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49"/>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60" w:type="dxa"/>
            <w:vAlign w:val="bottom"/>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15"/>
                <w:szCs w:val="15"/>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5"/>
                <w:szCs w:val="15"/>
                <w:color w:val="auto"/>
              </w:rPr>
            </w:pPr>
          </w:p>
        </w:tc>
        <w:tc>
          <w:tcPr>
            <w:tcW w:w="800" w:type="dxa"/>
            <w:vAlign w:val="bottom"/>
          </w:tcPr>
          <w:p>
            <w:pPr>
              <w:jc w:val="right"/>
              <w:ind w:right="662"/>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tcPr>
          <w:p>
            <w:pPr>
              <w:spacing w:after="0"/>
              <w:rPr>
                <w:sz w:val="15"/>
                <w:szCs w:val="15"/>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331"/>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80,325</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77,973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79,366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0" w:type="dxa"/>
            <w:vAlign w:val="bottom"/>
          </w:tcPr>
          <w:p>
            <w:pPr>
              <w:spacing w:after="0"/>
              <w:rPr>
                <w:sz w:val="1"/>
                <w:szCs w:val="1"/>
                <w:color w:val="auto"/>
              </w:rPr>
            </w:pPr>
          </w:p>
        </w:tc>
      </w:tr>
      <w:tr>
        <w:trPr>
          <w:trHeight w:val="177"/>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81,116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Adjusted EPS in a non-GAAP earnings measure. See Adjusted EPS reconciliation for further detail.</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285"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30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464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56,978</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35,042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0" w:type="dxa"/>
            <w:vAlign w:val="bottom"/>
          </w:tcPr>
          <w:p>
            <w:pPr>
              <w:spacing w:after="0"/>
              <w:rPr>
                <w:sz w:val="1"/>
                <w:szCs w:val="1"/>
                <w:color w:val="auto"/>
              </w:rPr>
            </w:pPr>
          </w:p>
        </w:tc>
      </w:tr>
      <w:tr>
        <w:trPr>
          <w:trHeight w:val="155"/>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w:t>
            </w:r>
          </w:p>
        </w:tc>
        <w:tc>
          <w:tcPr>
            <w:tcW w:w="2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1,187,417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0" w:type="dxa"/>
            <w:vAlign w:val="bottom"/>
          </w:tcPr>
          <w:p>
            <w:pPr>
              <w:spacing w:after="0"/>
              <w:rPr>
                <w:sz w:val="1"/>
                <w:szCs w:val="1"/>
                <w:color w:val="auto"/>
              </w:rPr>
            </w:pPr>
          </w:p>
        </w:tc>
      </w:tr>
      <w:tr>
        <w:trPr>
          <w:trHeight w:val="140"/>
        </w:trPr>
        <w:tc>
          <w:tcPr>
            <w:tcW w:w="46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1,386,600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382,388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302,435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24,100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0" w:type="dxa"/>
            <w:vAlign w:val="bottom"/>
          </w:tcPr>
          <w:p>
            <w:pPr>
              <w:spacing w:after="0"/>
              <w:rPr>
                <w:sz w:val="1"/>
                <w:szCs w:val="1"/>
                <w:color w:val="auto"/>
              </w:rPr>
            </w:pPr>
          </w:p>
        </w:tc>
      </w:tr>
      <w:tr>
        <w:trPr>
          <w:trHeight w:val="142"/>
        </w:trPr>
        <w:tc>
          <w:tcPr>
            <w:tcW w:w="46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5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2,217,132</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Stockholders' Deficit and NCI</w:t>
            </w: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40" w:type="dxa"/>
            <w:vAlign w:val="bottom"/>
            <w:vMerge w:val="continue"/>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65,731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0" w:type="dxa"/>
            <w:vAlign w:val="bottom"/>
          </w:tcPr>
          <w:p>
            <w:pPr>
              <w:spacing w:after="0"/>
              <w:rPr>
                <w:sz w:val="1"/>
                <w:szCs w:val="1"/>
                <w:color w:val="auto"/>
              </w:rPr>
            </w:pPr>
          </w:p>
        </w:tc>
      </w:tr>
      <w:tr>
        <w:trPr>
          <w:trHeight w:val="155"/>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w:t>
            </w:r>
          </w:p>
        </w:tc>
        <w:tc>
          <w:tcPr>
            <w:tcW w:w="2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1,188,071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0" w:type="dxa"/>
            <w:vAlign w:val="bottom"/>
          </w:tcPr>
          <w:p>
            <w:pPr>
              <w:spacing w:after="0"/>
              <w:rPr>
                <w:sz w:val="1"/>
                <w:szCs w:val="1"/>
                <w:color w:val="auto"/>
              </w:rPr>
            </w:pPr>
          </w:p>
        </w:tc>
      </w:tr>
      <w:tr>
        <w:trPr>
          <w:trHeight w:val="140"/>
        </w:trPr>
        <w:tc>
          <w:tcPr>
            <w:tcW w:w="46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1,304,630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997,549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23,467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0" w:type="dxa"/>
            <w:vAlign w:val="bottom"/>
          </w:tcPr>
          <w:p>
            <w:pPr>
              <w:spacing w:after="0"/>
              <w:rPr>
                <w:sz w:val="1"/>
                <w:szCs w:val="1"/>
                <w:color w:val="auto"/>
              </w:rPr>
            </w:pPr>
          </w:p>
        </w:tc>
      </w:tr>
      <w:tr>
        <w:trPr>
          <w:trHeight w:val="142"/>
        </w:trPr>
        <w:tc>
          <w:tcPr>
            <w:tcW w:w="46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2,325,646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0" w:type="dxa"/>
            <w:vAlign w:val="bottom"/>
          </w:tcPr>
          <w:p>
            <w:pPr>
              <w:spacing w:after="0"/>
              <w:rPr>
                <w:sz w:val="1"/>
                <w:szCs w:val="1"/>
                <w:color w:val="auto"/>
              </w:rPr>
            </w:pPr>
          </w:p>
        </w:tc>
      </w:tr>
      <w:tr>
        <w:trPr>
          <w:trHeight w:val="131"/>
        </w:trPr>
        <w:tc>
          <w:tcPr>
            <w:tcW w:w="46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Stockholders' deficit:</w:t>
            </w:r>
          </w:p>
        </w:tc>
        <w:tc>
          <w:tcPr>
            <w:tcW w:w="2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55"/>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(100,399)</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0" w:type="dxa"/>
            <w:vAlign w:val="bottom"/>
          </w:tcPr>
          <w:p>
            <w:pPr>
              <w:spacing w:after="0"/>
              <w:rPr>
                <w:sz w:val="1"/>
                <w:szCs w:val="1"/>
                <w:color w:val="auto"/>
              </w:rPr>
            </w:pPr>
          </w:p>
        </w:tc>
      </w:tr>
      <w:tr>
        <w:trPr>
          <w:trHeight w:val="140"/>
        </w:trPr>
        <w:tc>
          <w:tcPr>
            <w:tcW w:w="46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(110,298)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0" w:type="dxa"/>
            <w:vAlign w:val="bottom"/>
          </w:tcPr>
          <w:p>
            <w:pPr>
              <w:spacing w:after="0"/>
              <w:rPr>
                <w:sz w:val="1"/>
                <w:szCs w:val="1"/>
                <w:color w:val="auto"/>
              </w:rPr>
            </w:pPr>
          </w:p>
        </w:tc>
      </w:tr>
      <w:tr>
        <w:trPr>
          <w:trHeight w:val="155"/>
        </w:trPr>
        <w:tc>
          <w:tcPr>
            <w:tcW w:w="4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0" w:type="dxa"/>
            <w:vAlign w:val="bottom"/>
          </w:tcPr>
          <w:p>
            <w:pPr>
              <w:spacing w:after="0"/>
              <w:rPr>
                <w:sz w:val="1"/>
                <w:szCs w:val="1"/>
                <w:color w:val="auto"/>
              </w:rPr>
            </w:pPr>
          </w:p>
        </w:tc>
      </w:tr>
      <w:tr>
        <w:trPr>
          <w:trHeight w:val="142"/>
        </w:trPr>
        <w:tc>
          <w:tcPr>
            <w:tcW w:w="4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(108,514)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0" w:type="dxa"/>
            <w:vAlign w:val="bottom"/>
          </w:tcPr>
          <w:p>
            <w:pPr>
              <w:spacing w:after="0"/>
              <w:rPr>
                <w:sz w:val="1"/>
                <w:szCs w:val="1"/>
                <w:color w:val="auto"/>
              </w:rPr>
            </w:pPr>
          </w:p>
        </w:tc>
      </w:tr>
      <w:tr>
        <w:trPr>
          <w:trHeight w:val="142"/>
        </w:trPr>
        <w:tc>
          <w:tcPr>
            <w:tcW w:w="4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NCI</w:t>
            </w:r>
          </w:p>
        </w:tc>
        <w:tc>
          <w:tcPr>
            <w:tcW w:w="25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2,217,132</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540" w:type="dxa"/>
            <w:vAlign w:val="bottom"/>
            <w:vMerge w:val="restart"/>
          </w:tcPr>
          <w:p>
            <w:pPr>
              <w:jc w:val="right"/>
              <w:ind w:right="1420"/>
              <w:spacing w:after="0"/>
              <w:rPr>
                <w:sz w:val="20"/>
                <w:szCs w:val="20"/>
                <w:color w:val="auto"/>
              </w:rPr>
            </w:pPr>
            <w:r>
              <w:rPr>
                <w:rFonts w:ascii="Times New Roman" w:cs="Times New Roman" w:eastAsia="Times New Roman" w:hAnsi="Times New Roman"/>
                <w:sz w:val="12"/>
                <w:szCs w:val="12"/>
                <w:color w:val="auto"/>
              </w:rPr>
              <w:t>10</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3" w:name="page14"/>
    <w:bookmarkEnd w:id="13"/>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40" w:type="dxa"/>
            <w:vAlign w:val="bottom"/>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20" w:type="dxa"/>
            <w:vAlign w:val="bottom"/>
            <w:vMerge w:val="continue"/>
          </w:tcPr>
          <w:p>
            <w:pPr>
              <w:spacing w:after="0"/>
              <w:rPr>
                <w:sz w:val="11"/>
                <w:szCs w:val="11"/>
                <w:color w:val="auto"/>
              </w:rPr>
            </w:pP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422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46,735</w:t>
            </w:r>
          </w:p>
        </w:tc>
        <w:tc>
          <w:tcPr>
            <w:tcW w:w="80" w:type="dxa"/>
            <w:vAlign w:val="bottom"/>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16,795</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42,992</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deferred consideration</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Bargain purchase gain</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(15,712)</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(2,054)</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(2,808)</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Notes receivable</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12,864</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Accrued residuals commissions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0" w:type="dxa"/>
            <w:vAlign w:val="bottom"/>
          </w:tcPr>
          <w:p>
            <w:pPr>
              <w:spacing w:after="0"/>
              <w:rPr>
                <w:sz w:val="1"/>
                <w:szCs w:val="1"/>
                <w:color w:val="auto"/>
              </w:rPr>
            </w:pPr>
          </w:p>
        </w:tc>
      </w:tr>
      <w:tr>
        <w:trPr>
          <w:trHeight w:val="155"/>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noncurrent assets and liabilities, net</w:t>
            </w:r>
          </w:p>
        </w:tc>
        <w:tc>
          <w:tcPr>
            <w:tcW w:w="32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(5,998)</w:t>
            </w:r>
          </w:p>
        </w:tc>
        <w:tc>
          <w:tcPr>
            <w:tcW w:w="0" w:type="dxa"/>
            <w:vAlign w:val="bottom"/>
          </w:tcPr>
          <w:p>
            <w:pPr>
              <w:spacing w:after="0"/>
              <w:rPr>
                <w:sz w:val="1"/>
                <w:szCs w:val="1"/>
                <w:color w:val="auto"/>
              </w:rPr>
            </w:pP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2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63,161</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61,852</w:t>
            </w:r>
          </w:p>
        </w:tc>
        <w:tc>
          <w:tcPr>
            <w:tcW w:w="0" w:type="dxa"/>
            <w:vAlign w:val="bottom"/>
          </w:tcPr>
          <w:p>
            <w:pPr>
              <w:spacing w:after="0"/>
              <w:rPr>
                <w:sz w:val="1"/>
                <w:szCs w:val="1"/>
                <w:color w:val="auto"/>
              </w:rPr>
            </w:pPr>
          </w:p>
        </w:tc>
      </w:tr>
      <w:tr>
        <w:trPr>
          <w:trHeight w:val="131"/>
        </w:trPr>
        <w:tc>
          <w:tcPr>
            <w:tcW w:w="48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businesses, net of cash acquired</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(77,369)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(18,952)</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(17,044)</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0" w:type="dxa"/>
            <w:vAlign w:val="bottom"/>
          </w:tcPr>
          <w:p>
            <w:pPr>
              <w:spacing w:after="0"/>
              <w:rPr>
                <w:sz w:val="1"/>
                <w:szCs w:val="1"/>
                <w:color w:val="auto"/>
              </w:rPr>
            </w:pPr>
          </w:p>
        </w:tc>
      </w:tr>
      <w:tr>
        <w:trPr>
          <w:trHeight w:val="155"/>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32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(50,517)</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(7,474)</w:t>
            </w:r>
          </w:p>
        </w:tc>
        <w:tc>
          <w:tcPr>
            <w:tcW w:w="0" w:type="dxa"/>
            <w:vAlign w:val="bottom"/>
          </w:tcPr>
          <w:p>
            <w:pPr>
              <w:spacing w:after="0"/>
              <w:rPr>
                <w:sz w:val="1"/>
                <w:szCs w:val="1"/>
                <w:color w:val="auto"/>
              </w:rPr>
            </w:pP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2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(151,898)</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(24,734)</w:t>
            </w:r>
          </w:p>
        </w:tc>
        <w:tc>
          <w:tcPr>
            <w:tcW w:w="0" w:type="dxa"/>
            <w:vAlign w:val="bottom"/>
          </w:tcPr>
          <w:p>
            <w:pPr>
              <w:spacing w:after="0"/>
              <w:rPr>
                <w:sz w:val="1"/>
                <w:szCs w:val="1"/>
                <w:color w:val="auto"/>
              </w:rPr>
            </w:pPr>
          </w:p>
        </w:tc>
      </w:tr>
      <w:tr>
        <w:trPr>
          <w:trHeight w:val="131"/>
        </w:trPr>
        <w:tc>
          <w:tcPr>
            <w:tcW w:w="48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1,019,714</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830,200</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(6,901)</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(656,460)</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PHOT redeemable NCI</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shares withheld for taxes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senior preferred stock</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(136,936)</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accumulated unpaid dividend on redeemable senior preferred stock</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(30,819)</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(22,099)</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 net</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247,531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116,065</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deferred/contingent consideration related to business combination</w:t>
            </w:r>
          </w:p>
        </w:tc>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(19,756)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(4,996)</w:t>
            </w:r>
          </w:p>
        </w:tc>
        <w:tc>
          <w:tcPr>
            <w:tcW w:w="0" w:type="dxa"/>
            <w:vAlign w:val="bottom"/>
          </w:tcPr>
          <w:p>
            <w:pPr>
              <w:spacing w:after="0"/>
              <w:rPr>
                <w:sz w:val="1"/>
                <w:szCs w:val="1"/>
                <w:color w:val="auto"/>
              </w:rPr>
            </w:pPr>
          </w:p>
        </w:tc>
      </w:tr>
      <w:tr>
        <w:trPr>
          <w:trHeight w:val="155"/>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NCI repurchase</w:t>
            </w:r>
          </w:p>
        </w:tc>
        <w:tc>
          <w:tcPr>
            <w:tcW w:w="32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288,634</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84,716</w:t>
            </w:r>
          </w:p>
        </w:tc>
        <w:tc>
          <w:tcPr>
            <w:tcW w:w="0" w:type="dxa"/>
            <w:vAlign w:val="bottom"/>
          </w:tcPr>
          <w:p>
            <w:pPr>
              <w:spacing w:after="0"/>
              <w:rPr>
                <w:sz w:val="1"/>
                <w:szCs w:val="1"/>
                <w:color w:val="auto"/>
              </w:rPr>
            </w:pPr>
          </w:p>
        </w:tc>
      </w:tr>
      <w:tr>
        <w:trPr>
          <w:trHeight w:val="543"/>
        </w:trPr>
        <w:tc>
          <w:tcPr>
            <w:tcW w:w="4820" w:type="dxa"/>
            <w:vAlign w:val="bottom"/>
          </w:tcPr>
          <w:p>
            <w:pPr>
              <w:spacing w:after="0"/>
              <w:rPr>
                <w:sz w:val="24"/>
                <w:szCs w:val="24"/>
                <w:color w:val="auto"/>
              </w:rPr>
            </w:pPr>
          </w:p>
        </w:tc>
        <w:tc>
          <w:tcPr>
            <w:tcW w:w="3240" w:type="dxa"/>
            <w:vAlign w:val="bottom"/>
          </w:tcPr>
          <w:p>
            <w:pPr>
              <w:jc w:val="right"/>
              <w:ind w:right="2300"/>
              <w:spacing w:after="0"/>
              <w:rPr>
                <w:sz w:val="20"/>
                <w:szCs w:val="20"/>
                <w:color w:val="auto"/>
              </w:rPr>
            </w:pPr>
            <w:r>
              <w:rPr>
                <w:rFonts w:ascii="Times New Roman" w:cs="Times New Roman" w:eastAsia="Times New Roman" w:hAnsi="Times New Roman"/>
                <w:sz w:val="12"/>
                <w:szCs w:val="12"/>
                <w:color w:val="auto"/>
              </w:rPr>
              <w:t>11</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Restricted cash</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(restricted in nature)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ind w:left="104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1" w:lineRule="exact"/>
        <w:rPr>
          <w:sz w:val="20"/>
          <w:szCs w:val="20"/>
          <w:color w:val="auto"/>
        </w:rPr>
      </w:pPr>
    </w:p>
    <w:tbl>
      <w:tblPr>
        <w:tblLayout w:type="fixed"/>
        <w:tblInd w:w="384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284"/>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199,897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121,834</w:t>
            </w:r>
          </w:p>
        </w:tc>
      </w:tr>
      <w:tr>
        <w:trPr>
          <w:trHeight w:val="155"/>
        </w:trPr>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993,864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r>
      <w:tr>
        <w:trPr>
          <w:trHeight w:val="142"/>
        </w:trPr>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1,193,761</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918,057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70"/>
        </w:trPr>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56,978</w:t>
            </w:r>
          </w:p>
        </w:tc>
        <w:tc>
          <w:tcPr>
            <w:tcW w:w="80" w:type="dxa"/>
            <w:vAlign w:val="bottom"/>
          </w:tcPr>
          <w:p>
            <w:pPr>
              <w:spacing w:after="0"/>
              <w:rPr>
                <w:sz w:val="24"/>
                <w:szCs w:val="2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41,072</w:t>
            </w:r>
          </w:p>
        </w:tc>
      </w:tr>
      <w:tr>
        <w:trPr>
          <w:trHeight w:val="153"/>
        </w:trPr>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12,984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13,398</w:t>
            </w:r>
          </w:p>
        </w:tc>
      </w:tr>
      <w:tr>
        <w:trPr>
          <w:trHeight w:val="155"/>
        </w:trPr>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1,123,799</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863,587</w:t>
            </w:r>
          </w:p>
        </w:tc>
      </w:tr>
      <w:tr>
        <w:trPr>
          <w:trHeight w:val="142"/>
        </w:trPr>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1,193,761</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918,057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2">
            <w:col w:w="3760" w:space="460"/>
            <w:col w:w="7080"/>
          </w:cols>
          <w:pgMar w:left="300" w:top="122" w:right="299" w:bottom="1440" w:gutter="0" w:footer="0" w:header="0"/>
        </w:sectPr>
      </w:pPr>
    </w:p>
    <w:bookmarkStart w:id="15" w:name="page16"/>
    <w:bookmarkEnd w:id="15"/>
    <w:p>
      <w:pPr>
        <w:ind w:left="4688"/>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8"/>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8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51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0"/>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161,874</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158,770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476,794</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457,875</w:t>
            </w:r>
          </w:p>
        </w:tc>
      </w:tr>
      <w:tr>
        <w:trPr>
          <w:trHeight w:val="155"/>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r>
      <w:tr>
        <w:trPr>
          <w:trHeight w:val="331"/>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18,469,447</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18,076,156</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54,822,837</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53,428,816</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transaction count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230,741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223,700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671,233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642,827</w:t>
            </w:r>
          </w:p>
        </w:tc>
      </w:tr>
      <w:tr>
        <w:trPr>
          <w:trHeight w:val="331"/>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25,162</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74,113</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65,368</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r>
      <w:tr>
        <w:trPr>
          <w:trHeight w:val="295"/>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Buyer funded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789,700</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700,510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2,295,100</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2,082,590</w:t>
            </w:r>
          </w:p>
        </w:tc>
      </w:tr>
      <w:tr>
        <w:trPr>
          <w:trHeight w:val="153"/>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Supplier funded issuing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230,882</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255,323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688,399</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732,589</w:t>
            </w:r>
          </w:p>
        </w:tc>
      </w:tr>
      <w:tr>
        <w:trPr>
          <w:trHeight w:val="155"/>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ACH transaction count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29,621</w:t>
            </w:r>
          </w:p>
        </w:tc>
      </w:tr>
      <w:tr>
        <w:trPr>
          <w:trHeight w:val="331"/>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55,684</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47,099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158,430</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131,758</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r>
      <w:tr>
        <w:trPr>
          <w:trHeight w:val="322"/>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1,054,238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832,351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995,660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766,370</w:t>
            </w:r>
          </w:p>
        </w:tc>
      </w:tr>
      <w:tr>
        <w:trPr>
          <w:trHeight w:val="149"/>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enrollments</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61,185</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62,875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58,316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57,281</w:t>
            </w:r>
          </w:p>
        </w:tc>
      </w:tr>
      <w:tr>
        <w:trPr>
          <w:trHeight w:val="204"/>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total account balances</w:t>
            </w:r>
            <w:r>
              <w:rPr>
                <w:rFonts w:ascii="Times New Roman" w:cs="Times New Roman" w:eastAsia="Times New Roman" w:hAnsi="Times New Roman"/>
                <w:sz w:val="15"/>
                <w:szCs w:val="15"/>
                <w:color w:val="auto"/>
                <w:vertAlign w:val="superscript"/>
              </w:rPr>
              <w:t>(1)</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1,248,432</w:t>
            </w:r>
          </w:p>
        </w:tc>
        <w:tc>
          <w:tcPr>
            <w:tcW w:w="80" w:type="dxa"/>
            <w:vAlign w:val="bottom"/>
          </w:tcPr>
          <w:p>
            <w:pPr>
              <w:spacing w:after="0"/>
              <w:rPr>
                <w:sz w:val="17"/>
                <w:szCs w:val="17"/>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900,690</w:t>
            </w:r>
          </w:p>
        </w:tc>
        <w:tc>
          <w:tcPr>
            <w:tcW w:w="80" w:type="dxa"/>
            <w:vAlign w:val="bottom"/>
          </w:tcPr>
          <w:p>
            <w:pPr>
              <w:spacing w:after="0"/>
              <w:rPr>
                <w:sz w:val="17"/>
                <w:szCs w:val="17"/>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1,145,164</w:t>
            </w:r>
          </w:p>
        </w:tc>
        <w:tc>
          <w:tcPr>
            <w:tcW w:w="80" w:type="dxa"/>
            <w:vAlign w:val="bottom"/>
          </w:tcPr>
          <w:p>
            <w:pPr>
              <w:spacing w:after="0"/>
              <w:rPr>
                <w:sz w:val="17"/>
                <w:szCs w:val="17"/>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847,486</w:t>
            </w:r>
          </w:p>
        </w:tc>
      </w:tr>
    </w:tbl>
    <w:p>
      <w:pPr>
        <w:spacing w:after="0" w:line="14" w:lineRule="exact"/>
        <w:rPr>
          <w:sz w:val="20"/>
          <w:szCs w:val="20"/>
          <w:color w:val="auto"/>
        </w:rPr>
      </w:pPr>
    </w:p>
    <w:p>
      <w:pPr>
        <w:ind w:left="8" w:right="180" w:hanging="8"/>
        <w:spacing w:after="0" w:line="250" w:lineRule="auto"/>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This represents the average total account balance during the three and nine months ended on September 30, 2025, in the Treasury solutions segment, and excludes the deposits and balances maintained in the Merchant Solution and Payables segment. The total account and deposit balances as of September 30, 2025, were $1.6 billion.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88"/>
          </w:cols>
          <w:pgMar w:left="292" w:top="122" w:right="319" w:bottom="1440" w:gutter="0" w:footer="0" w:header="0"/>
        </w:sectPr>
      </w:pPr>
    </w:p>
    <w:bookmarkStart w:id="16" w:name="page17"/>
    <w:bookmarkEnd w:id="16"/>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2025</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(20,099)</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57,759</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(15,122)</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(2,327)</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19,763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41,576</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(55,638)</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7,387</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20,201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27,588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2025</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(61,496)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165,103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(68,693)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(42,992)</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(4,085)</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(7,119)</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59,960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4,484</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119,687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(150,924)</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33,207</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13,528</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46,735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8"/>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2024</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54,641</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(1,416)</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21,701</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36,603</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(42,330)</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15,507</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(4,899)</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220"/>
          </w:cols>
          <w:pgMar w:left="300" w:top="122" w:right="379" w:bottom="1440" w:gutter="0" w:footer="0" w:header="0"/>
        </w:sectPr>
      </w:pPr>
    </w:p>
    <w:bookmarkStart w:id="17" w:name="page18"/>
    <w:bookmarkEnd w:id="17"/>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(47,853)</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152,532</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(4,469)</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58,187</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(2,362)</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100,382</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(129,416)</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26,791</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(9,996)</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16,795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00" w:top="122" w:right="379"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2025-11-06T06:15:39Z</dcterms:created>
  <dcterms:modified xsi:type="dcterms:W3CDTF">2025-11-06T06:15:39Z</dcterms:modified>
</cp:coreProperties>
</file>