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70"/>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950"/>
        <w:spacing w:after="0"/>
        <w:rPr>
          <w:sz w:val="20"/>
          <w:szCs w:val="20"/>
          <w:color w:val="auto"/>
        </w:rPr>
      </w:pPr>
      <w:r>
        <w:rPr>
          <w:rFonts w:ascii="Arial" w:cs="Arial" w:eastAsia="Arial" w:hAnsi="Arial"/>
          <w:sz w:val="22"/>
          <w:szCs w:val="22"/>
          <w:b w:val="1"/>
          <w:bCs w:val="1"/>
          <w:color w:val="auto"/>
        </w:rPr>
        <w:t>SECURITIES AND EXCHANGE COMMISSION</w:t>
      </w:r>
    </w:p>
    <w:p>
      <w:pPr>
        <w:ind w:left="459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730"/>
        <w:spacing w:after="0"/>
        <w:rPr>
          <w:sz w:val="20"/>
          <w:szCs w:val="20"/>
          <w:color w:val="auto"/>
        </w:rPr>
      </w:pPr>
      <w:r>
        <w:rPr>
          <w:rFonts w:ascii="Arial" w:cs="Arial" w:eastAsia="Arial" w:hAnsi="Arial"/>
          <w:sz w:val="18"/>
          <w:szCs w:val="18"/>
          <w:color w:val="auto"/>
        </w:rPr>
        <w:t>_________________</w:t>
      </w:r>
    </w:p>
    <w:p>
      <w:pPr>
        <w:spacing w:after="0" w:line="9" w:lineRule="exact"/>
        <w:rPr>
          <w:sz w:val="24"/>
          <w:szCs w:val="24"/>
          <w:color w:val="auto"/>
        </w:rPr>
      </w:pPr>
    </w:p>
    <w:p>
      <w:pPr>
        <w:jc w:val="center"/>
        <w:ind w:right="-1010"/>
        <w:spacing w:after="0"/>
        <w:rPr>
          <w:sz w:val="20"/>
          <w:szCs w:val="20"/>
          <w:color w:val="auto"/>
        </w:rPr>
      </w:pPr>
      <w:r>
        <w:rPr>
          <w:rFonts w:ascii="Arial" w:cs="Arial" w:eastAsia="Arial" w:hAnsi="Arial"/>
          <w:sz w:val="22"/>
          <w:szCs w:val="22"/>
          <w:b w:val="1"/>
          <w:bCs w:val="1"/>
          <w:color w:val="auto"/>
        </w:rPr>
        <w:t>SCHEDULE 14A</w:t>
      </w:r>
    </w:p>
    <w:p>
      <w:pPr>
        <w:spacing w:after="0" w:line="232" w:lineRule="exact"/>
        <w:rPr>
          <w:sz w:val="24"/>
          <w:szCs w:val="24"/>
          <w:color w:val="auto"/>
        </w:rPr>
      </w:pPr>
    </w:p>
    <w:p>
      <w:pPr>
        <w:jc w:val="center"/>
        <w:ind w:right="-970"/>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jc w:val="center"/>
        <w:ind w:right="-970"/>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ind w:left="4770"/>
        <w:spacing w:after="0"/>
        <w:rPr>
          <w:sz w:val="20"/>
          <w:szCs w:val="20"/>
          <w:color w:val="auto"/>
        </w:rPr>
      </w:pPr>
      <w:r>
        <w:rPr>
          <w:rFonts w:ascii="Arial" w:cs="Arial" w:eastAsia="Arial" w:hAnsi="Arial"/>
          <w:sz w:val="18"/>
          <w:szCs w:val="18"/>
          <w:color w:val="auto"/>
        </w:rPr>
        <w:t>________________</w:t>
      </w:r>
    </w:p>
    <w:p>
      <w:pPr>
        <w:spacing w:after="0" w:line="9" w:lineRule="exact"/>
        <w:rPr>
          <w:sz w:val="24"/>
          <w:szCs w:val="24"/>
          <w:color w:val="auto"/>
        </w:rPr>
      </w:pPr>
    </w:p>
    <w:p>
      <w:pPr>
        <w:ind w:left="4070"/>
        <w:spacing w:after="0"/>
        <w:rPr>
          <w:sz w:val="20"/>
          <w:szCs w:val="20"/>
          <w:color w:val="auto"/>
        </w:rPr>
      </w:pPr>
      <w:r>
        <w:rPr>
          <w:rFonts w:ascii="Arial" w:cs="Arial" w:eastAsia="Arial" w:hAnsi="Arial"/>
          <w:sz w:val="16"/>
          <w:szCs w:val="16"/>
          <w:color w:val="auto"/>
        </w:rPr>
        <w:t>Filed by the Registrant X</w:t>
      </w:r>
    </w:p>
    <w:p>
      <w:pPr>
        <w:spacing w:after="0" w:line="208" w:lineRule="exact"/>
        <w:rPr>
          <w:sz w:val="24"/>
          <w:szCs w:val="24"/>
          <w:color w:val="auto"/>
        </w:rPr>
      </w:pPr>
    </w:p>
    <w:p>
      <w:pPr>
        <w:jc w:val="center"/>
        <w:ind w:right="-95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78" w:lineRule="exact"/>
        <w:rPr>
          <w:sz w:val="24"/>
          <w:szCs w:val="24"/>
          <w:color w:val="auto"/>
        </w:rPr>
      </w:pPr>
    </w:p>
    <w:p>
      <w:pPr>
        <w:ind w:left="4570"/>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390" w:hanging="374"/>
        <w:spacing w:after="0"/>
        <w:tabs>
          <w:tab w:leader="none" w:pos="39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28" w:lineRule="exact"/>
        <w:rPr>
          <w:sz w:val="24"/>
          <w:szCs w:val="24"/>
          <w:color w:val="auto"/>
        </w:rPr>
      </w:pPr>
    </w:p>
    <w:p>
      <w:pPr>
        <w:ind w:left="390" w:hanging="390"/>
        <w:spacing w:after="0"/>
        <w:tabs>
          <w:tab w:leader="none" w:pos="39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44" w:lineRule="exact"/>
        <w:rPr>
          <w:rFonts w:ascii="MS PGothic" w:cs="MS PGothic" w:eastAsia="MS PGothic" w:hAnsi="MS PGothic"/>
          <w:sz w:val="16"/>
          <w:szCs w:val="16"/>
          <w:color w:val="auto"/>
        </w:rPr>
      </w:pPr>
    </w:p>
    <w:p>
      <w:pPr>
        <w:ind w:left="390" w:hanging="390"/>
        <w:spacing w:after="0"/>
        <w:tabs>
          <w:tab w:leader="none" w:pos="39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32" w:lineRule="exact"/>
        <w:rPr>
          <w:rFonts w:ascii="MS PGothic" w:cs="MS PGothic" w:eastAsia="MS PGothic" w:hAnsi="MS PGothic"/>
          <w:sz w:val="16"/>
          <w:szCs w:val="16"/>
          <w:color w:val="auto"/>
        </w:rPr>
      </w:pPr>
    </w:p>
    <w:p>
      <w:pPr>
        <w:ind w:left="390" w:hanging="390"/>
        <w:spacing w:after="0"/>
        <w:tabs>
          <w:tab w:leader="none" w:pos="39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32" w:lineRule="exact"/>
        <w:rPr>
          <w:rFonts w:ascii="MS PGothic" w:cs="MS PGothic" w:eastAsia="MS PGothic" w:hAnsi="MS PGothic"/>
          <w:sz w:val="16"/>
          <w:szCs w:val="16"/>
          <w:color w:val="auto"/>
        </w:rPr>
      </w:pPr>
    </w:p>
    <w:p>
      <w:pPr>
        <w:ind w:left="390" w:hanging="390"/>
        <w:spacing w:after="0"/>
        <w:tabs>
          <w:tab w:leader="none" w:pos="39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Section 240.14a-12</w:t>
      </w:r>
    </w:p>
    <w:p>
      <w:pPr>
        <w:spacing w:after="0" w:line="321" w:lineRule="exact"/>
        <w:rPr>
          <w:sz w:val="24"/>
          <w:szCs w:val="24"/>
          <w:color w:val="auto"/>
        </w:rPr>
      </w:pPr>
    </w:p>
    <w:p>
      <w:pPr>
        <w:jc w:val="center"/>
        <w:ind w:right="-970"/>
        <w:spacing w:after="0"/>
        <w:rPr>
          <w:sz w:val="20"/>
          <w:szCs w:val="20"/>
          <w:color w:val="auto"/>
        </w:rPr>
      </w:pPr>
      <w:r>
        <w:rPr>
          <w:rFonts w:ascii="Arial" w:cs="Arial" w:eastAsia="Arial" w:hAnsi="Arial"/>
          <w:sz w:val="25"/>
          <w:szCs w:val="25"/>
          <w:b w:val="1"/>
          <w:bCs w:val="1"/>
          <w:u w:val="single" w:color="auto"/>
          <w:color w:val="auto"/>
        </w:rPr>
        <w:t>PRIORITY TECHNOLOGY HOLDINGS, INC.</w:t>
      </w:r>
    </w:p>
    <w:p>
      <w:pPr>
        <w:spacing w:after="0" w:line="34" w:lineRule="exact"/>
        <w:rPr>
          <w:sz w:val="24"/>
          <w:szCs w:val="24"/>
          <w:color w:val="auto"/>
        </w:rPr>
      </w:pPr>
    </w:p>
    <w:p>
      <w:pPr>
        <w:ind w:left="393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Name of Registrant as Specified in Its Charter)</w:t>
      </w:r>
    </w:p>
    <w:p>
      <w:pPr>
        <w:spacing w:after="0" w:line="241" w:lineRule="exact"/>
        <w:rPr>
          <w:sz w:val="24"/>
          <w:szCs w:val="24"/>
          <w:color w:val="auto"/>
        </w:rPr>
      </w:pPr>
    </w:p>
    <w:p>
      <w:pPr>
        <w:ind w:left="2970"/>
        <w:spacing w:after="0"/>
        <w:rPr>
          <w:sz w:val="20"/>
          <w:szCs w:val="20"/>
          <w:color w:val="auto"/>
        </w:rPr>
      </w:pPr>
      <w:r>
        <w:rPr>
          <w:rFonts w:ascii="Arial" w:cs="Arial" w:eastAsia="Arial" w:hAnsi="Arial"/>
          <w:sz w:val="15"/>
          <w:szCs w:val="15"/>
          <w:color w:val="auto"/>
        </w:rPr>
        <w:t>______________________________________________________________</w:t>
      </w:r>
    </w:p>
    <w:p>
      <w:pPr>
        <w:spacing w:after="0" w:line="31" w:lineRule="exact"/>
        <w:rPr>
          <w:sz w:val="24"/>
          <w:szCs w:val="24"/>
          <w:color w:val="auto"/>
        </w:rPr>
      </w:pPr>
    </w:p>
    <w:p>
      <w:pPr>
        <w:jc w:val="center"/>
        <w:ind w:right="-97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34" w:lineRule="exact"/>
        <w:rPr>
          <w:sz w:val="24"/>
          <w:szCs w:val="24"/>
          <w:color w:val="auto"/>
        </w:rPr>
      </w:pPr>
    </w:p>
    <w:p>
      <w:pPr>
        <w:ind w:left="3790"/>
        <w:spacing w:after="0"/>
        <w:rPr>
          <w:sz w:val="20"/>
          <w:szCs w:val="20"/>
          <w:color w:val="auto"/>
        </w:rPr>
      </w:pPr>
      <w:r>
        <w:rPr>
          <w:rFonts w:ascii="Arial" w:cs="Arial" w:eastAsia="Arial" w:hAnsi="Arial"/>
          <w:sz w:val="16"/>
          <w:szCs w:val="16"/>
          <w:color w:val="auto"/>
        </w:rPr>
        <w:t>Payment of Filing Fee (Check the appropriate box):</w:t>
      </w:r>
    </w:p>
    <w:p>
      <w:pPr>
        <w:spacing w:after="0" w:line="140" w:lineRule="exact"/>
        <w:rPr>
          <w:sz w:val="24"/>
          <w:szCs w:val="24"/>
          <w:color w:val="auto"/>
        </w:rPr>
      </w:pPr>
    </w:p>
    <w:p>
      <w:pPr>
        <w:ind w:left="390" w:hanging="374"/>
        <w:spacing w:after="0"/>
        <w:tabs>
          <w:tab w:leader="none" w:pos="39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194" w:lineRule="exact"/>
        <w:rPr>
          <w:sz w:val="24"/>
          <w:szCs w:val="24"/>
          <w:color w:val="auto"/>
        </w:rPr>
      </w:pPr>
    </w:p>
    <w:p>
      <w:pPr>
        <w:ind w:left="390" w:hanging="390"/>
        <w:spacing w:after="0"/>
        <w:tabs>
          <w:tab w:leader="none" w:pos="39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94" w:lineRule="exact"/>
        <w:rPr>
          <w:rFonts w:ascii="MS PGothic" w:cs="MS PGothic" w:eastAsia="MS PGothic" w:hAnsi="MS PGothic"/>
          <w:sz w:val="16"/>
          <w:szCs w:val="16"/>
          <w:color w:val="auto"/>
        </w:rPr>
      </w:pPr>
    </w:p>
    <w:p>
      <w:pPr>
        <w:ind w:left="890" w:hanging="404"/>
        <w:spacing w:after="0"/>
        <w:tabs>
          <w:tab w:leader="none" w:pos="890"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7" w:lineRule="exact"/>
        <w:rPr>
          <w:rFonts w:ascii="Arial" w:cs="Arial" w:eastAsia="Arial" w:hAnsi="Arial"/>
          <w:sz w:val="16"/>
          <w:szCs w:val="16"/>
          <w:color w:val="auto"/>
        </w:rPr>
      </w:pPr>
    </w:p>
    <w:p>
      <w:pPr>
        <w:ind w:left="890" w:hanging="404"/>
        <w:spacing w:after="0"/>
        <w:tabs>
          <w:tab w:leader="none" w:pos="890"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7" w:lineRule="exact"/>
        <w:rPr>
          <w:rFonts w:ascii="Arial" w:cs="Arial" w:eastAsia="Arial" w:hAnsi="Arial"/>
          <w:sz w:val="16"/>
          <w:szCs w:val="16"/>
          <w:color w:val="auto"/>
        </w:rPr>
      </w:pPr>
    </w:p>
    <w:p>
      <w:pPr>
        <w:ind w:left="890" w:right="1679" w:hanging="404"/>
        <w:spacing w:after="0" w:line="310" w:lineRule="auto"/>
        <w:tabs>
          <w:tab w:leader="none" w:pos="890"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of other underlying value of transaction computed pursuant to Exchange Act Rule 0-11 (set forth the amount on which the filing fee is calculated and state how it was determined):</w:t>
      </w:r>
    </w:p>
    <w:p>
      <w:pPr>
        <w:spacing w:after="0" w:line="132" w:lineRule="exact"/>
        <w:rPr>
          <w:rFonts w:ascii="Arial" w:cs="Arial" w:eastAsia="Arial" w:hAnsi="Arial"/>
          <w:sz w:val="16"/>
          <w:szCs w:val="16"/>
          <w:color w:val="auto"/>
        </w:rPr>
      </w:pPr>
    </w:p>
    <w:p>
      <w:pPr>
        <w:ind w:left="890" w:hanging="404"/>
        <w:spacing w:after="0"/>
        <w:tabs>
          <w:tab w:leader="none" w:pos="890"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7" w:lineRule="exact"/>
        <w:rPr>
          <w:rFonts w:ascii="Arial" w:cs="Arial" w:eastAsia="Arial" w:hAnsi="Arial"/>
          <w:sz w:val="16"/>
          <w:szCs w:val="16"/>
          <w:color w:val="auto"/>
        </w:rPr>
      </w:pPr>
    </w:p>
    <w:p>
      <w:pPr>
        <w:ind w:left="890" w:hanging="404"/>
        <w:spacing w:after="0"/>
        <w:tabs>
          <w:tab w:leader="none" w:pos="89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390" w:hanging="390"/>
        <w:spacing w:after="0"/>
        <w:tabs>
          <w:tab w:leader="none" w:pos="39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94" w:lineRule="exact"/>
        <w:rPr>
          <w:rFonts w:ascii="MS PGothic" w:cs="MS PGothic" w:eastAsia="MS PGothic" w:hAnsi="MS PGothic"/>
          <w:sz w:val="16"/>
          <w:szCs w:val="16"/>
          <w:color w:val="auto"/>
        </w:rPr>
      </w:pPr>
    </w:p>
    <w:p>
      <w:pPr>
        <w:ind w:left="390" w:right="1879" w:hanging="390"/>
        <w:spacing w:after="0" w:line="296" w:lineRule="auto"/>
        <w:tabs>
          <w:tab w:leader="none" w:pos="40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9" w:lineRule="exact"/>
        <w:rPr>
          <w:rFonts w:ascii="MS PGothic" w:cs="MS PGothic" w:eastAsia="MS PGothic" w:hAnsi="MS PGothic"/>
          <w:sz w:val="16"/>
          <w:szCs w:val="16"/>
          <w:color w:val="auto"/>
        </w:rPr>
      </w:pPr>
    </w:p>
    <w:p>
      <w:pPr>
        <w:ind w:left="890" w:hanging="404"/>
        <w:spacing w:after="0"/>
        <w:tabs>
          <w:tab w:leader="none" w:pos="890" w:val="left"/>
        </w:tabs>
        <w:numPr>
          <w:ilvl w:val="1"/>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7" w:lineRule="exact"/>
        <w:rPr>
          <w:rFonts w:ascii="Arial" w:cs="Arial" w:eastAsia="Arial" w:hAnsi="Arial"/>
          <w:sz w:val="16"/>
          <w:szCs w:val="16"/>
          <w:color w:val="auto"/>
        </w:rPr>
      </w:pPr>
    </w:p>
    <w:p>
      <w:pPr>
        <w:ind w:left="890" w:hanging="404"/>
        <w:spacing w:after="0"/>
        <w:tabs>
          <w:tab w:leader="none" w:pos="890" w:val="left"/>
        </w:tabs>
        <w:numPr>
          <w:ilvl w:val="1"/>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8" w:lineRule="exact"/>
        <w:rPr>
          <w:rFonts w:ascii="Arial" w:cs="Arial" w:eastAsia="Arial" w:hAnsi="Arial"/>
          <w:sz w:val="16"/>
          <w:szCs w:val="16"/>
          <w:color w:val="auto"/>
        </w:rPr>
      </w:pPr>
    </w:p>
    <w:p>
      <w:pPr>
        <w:ind w:left="890" w:hanging="404"/>
        <w:spacing w:after="0"/>
        <w:tabs>
          <w:tab w:leader="none" w:pos="890" w:val="left"/>
        </w:tabs>
        <w:numPr>
          <w:ilvl w:val="1"/>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61" w:lineRule="exact"/>
        <w:rPr>
          <w:rFonts w:ascii="Arial" w:cs="Arial" w:eastAsia="Arial" w:hAnsi="Arial"/>
          <w:sz w:val="16"/>
          <w:szCs w:val="16"/>
          <w:color w:val="auto"/>
        </w:rPr>
      </w:pPr>
    </w:p>
    <w:p>
      <w:pPr>
        <w:ind w:left="890" w:hanging="404"/>
        <w:spacing w:after="0"/>
        <w:tabs>
          <w:tab w:leader="none" w:pos="890" w:val="left"/>
        </w:tabs>
        <w:numPr>
          <w:ilvl w:val="1"/>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553085</wp:posOffset>
            </wp:positionH>
            <wp:positionV relativeFrom="paragraph">
              <wp:posOffset>146685</wp:posOffset>
            </wp:positionV>
            <wp:extent cx="64636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-127000</wp:posOffset>
            </wp:positionV>
            <wp:extent cx="64636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-410210</wp:posOffset>
            </wp:positionV>
            <wp:extent cx="64636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63665"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-684530</wp:posOffset>
            </wp:positionV>
            <wp:extent cx="6463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63665"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-1781810</wp:posOffset>
            </wp:positionV>
            <wp:extent cx="64636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-2064385</wp:posOffset>
            </wp:positionV>
            <wp:extent cx="64636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-2313305</wp:posOffset>
            </wp:positionV>
            <wp:extent cx="6463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-2698750</wp:posOffset>
            </wp:positionV>
            <wp:extent cx="6463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-2947670</wp:posOffset>
            </wp:positionV>
            <wp:extent cx="64636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ectPr>
          <w:pgSz w:w="11900" w:h="16838" w:orient="portrait"/>
          <w:cols w:equalWidth="0" w:num="1">
            <w:col w:w="9989"/>
          </w:cols>
          <w:pgMar w:left="470" w:top="1003" w:right="1440" w:bottom="1440"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1194435</wp:posOffset>
            </wp:positionV>
            <wp:extent cx="1825625" cy="685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40"/>
          <w:szCs w:val="40"/>
          <w:b w:val="1"/>
          <w:bCs w:val="1"/>
          <w:color w:val="auto"/>
        </w:rPr>
        <w:t>PROXY STATEMENT AND NOTICE OF</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40"/>
          <w:szCs w:val="40"/>
          <w:b w:val="1"/>
          <w:bCs w:val="1"/>
          <w:color w:val="auto"/>
        </w:rPr>
        <w:t>2021 ANNUAL MEETING OF STOCKHOLDERS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Wednesday, June 9, 2021</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9:30 a.m. EDT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 Date and Meeting Method Subject to Change Due to the COVID-19 Pandemic **</w:t>
      </w:r>
    </w:p>
    <w:p>
      <w:pPr>
        <w:spacing w:after="0" w:line="200" w:lineRule="exact"/>
        <w:rPr>
          <w:sz w:val="20"/>
          <w:szCs w:val="20"/>
          <w:color w:val="auto"/>
        </w:rPr>
      </w:pPr>
    </w:p>
    <w:p>
      <w:pPr>
        <w:spacing w:after="0" w:line="3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 Technology Holdings, Inc., a Delaware corporation, is a leading provider of merchant acquiring and commercial payment solutions, offering unique product capabilities to small and mid-sized businesses, enterprises and distribution partners (retail and wholesale independent sales organizations, financial institutions and independent software vendors) in the United States. Its common stock is listed on the Nasdaq Global Market under the symbol ''PRTH."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1349375</wp:posOffset>
            </wp:positionV>
            <wp:extent cx="1825625"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and officers of Priority Technology Holdings Inc. join me in extending to you a cordial invitation to attend our 2021 Annual Meeting of Stockholders. The meeting will be held on Wednesday, June 9, 2021, at 9:30 a.m. Eastern Daylight Time.</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 coronavirus, or COVID-19 pandemic and for the safety of all of our stakeholders, and taking into account recent federal, state and local guidance that has been issued, we have determined that the Annual Meeting will be held in a virtual meeting format only, via the Internet, with no physical in-person meeting. Stockholders will be able to attend, vote and submit questions (both before, and for a portion of, the meeting) from any location via the Internet at www.virtualshareholdermeeting.com/PRTH2021. If you plan to participate in the virtual meeting, please see “Proxy Statement Q&amp;A.”</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annual meeting, stockholders will be asked to vote on two proposals set forth in the Notice of 2021 Annual Meeting of Stockholders and the proxy statement following this letter.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Whether or not you plan to attend the virtual annual meeting, it is important that your shares of stock are represented and voted regardless of the size of your holdings. We urge you to vote promptly and submit your proxy via the Internet, by telephone or by signing, dating and returning the enclosed proxy card in the enclosed envelope. If you decide to attend the virtual annual meeting, you will be able to vote in person, even if you have submitted your proxy previously.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have any questions concerning the annual meeting and you are the stockholder of record of your shares of stock, please contact our Investor Relations representative at dave.faupel@prth.com or (229) 588-8354. If your shares of stock are held by a broker or other nominee (that is, in ''street name''), please contact your broker or other nominee for questions concerning the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speaking with you on June 9th.</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Thomas C. Priore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Thomas C. Priore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577850</wp:posOffset>
            </wp:positionV>
            <wp:extent cx="1825625" cy="685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2001 Westside Parkway</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Alpharetta, GA 30004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2021 ANNUAL MEETING OF STOCKHOLDERS</w:t>
      </w:r>
    </w:p>
    <w:p>
      <w:pPr>
        <w:spacing w:after="0" w:line="200" w:lineRule="exact"/>
        <w:rPr>
          <w:sz w:val="20"/>
          <w:szCs w:val="20"/>
          <w:color w:val="auto"/>
        </w:rPr>
      </w:pPr>
    </w:p>
    <w:p>
      <w:pPr>
        <w:spacing w:after="0" w:line="2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Notice is hereby given that the 2021 Annual Meeting of Stockholders (the "Annual Meeting") of Priority Technology Holdings, Inc. (the "Company") will be held at 9:30 a.m. EDT on June 9, 2021. Our Annual Meeting can be accessed virtually via the Internet at: www.virtualshareholdermeeting.com/PRTH2021.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the Company's stockholders will be asked to vote on the following proposals:</w:t>
      </w:r>
    </w:p>
    <w:p>
      <w:pPr>
        <w:spacing w:after="0" w:line="2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six directors nominated by our board of directors and named in the proxy statement.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Priority Technology Holdings Inc. 2021 Employee Stock Purchase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an amendment to our Second Amended and Restated Certificate of Incorporation to eliminate supermajority voting requirements.</w:t>
      </w:r>
    </w:p>
    <w:p>
      <w:pPr>
        <w:spacing w:after="0" w:line="32" w:lineRule="exact"/>
        <w:rPr>
          <w:rFonts w:ascii="Arial" w:cs="Arial" w:eastAsia="Arial" w:hAnsi="Arial"/>
          <w:sz w:val="16"/>
          <w:szCs w:val="16"/>
          <w:color w:val="auto"/>
        </w:rPr>
      </w:pPr>
    </w:p>
    <w:p>
      <w:pPr>
        <w:ind w:left="660" w:right="52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reappointment of Ernst and Young LLP (or "EY") as the Company's independent registered public accounting firm for the year ending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each of the proposals listed above.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stockholders may also transact any other business that may properly come before the Annual Meeting or any adjournments or postponements thereof.</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Close of business on April 9, 2021.</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solicitation of the enclosed proxy is made on behalf of the Board of Directors for use at the Annual Meeting to be held on June 9, 2021. It is expected that this Proxy Statement and related materials will first be provided to shareholders on or about April 29, 2021. Only stockholders of record at the close of business on April 9, 2020 are entitled to receive notice of, and to vote at, the virtual Annual Meeting or any adjournment or postponement thereof. If you do not attend the virtual Annual Meeting, you may vote your shares of stock via the Internet or by mail or telephone, as instructed in the proxy statement. Your vote is important.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Submitting your proxy does not affect your right to vote in person if you attend the virtual Annual Meeting. Therefore, we urge you to submit your proxy as soon as possible, regardless of whether you expect to attend the Annual Meeting.</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light of the current COVID-19 pandemic, we will monitor the need to change the time or date of our 2021 Annual Meeting of Stockholders, as permitted by guidance issued from the U.S. Securities and Exchange Commission ("SEC") and NASDAQ.</w:t>
      </w:r>
    </w:p>
    <w:p>
      <w:pPr>
        <w:spacing w:after="0" w:line="200" w:lineRule="exact"/>
        <w:rPr>
          <w:sz w:val="20"/>
          <w:szCs w:val="20"/>
          <w:color w:val="auto"/>
        </w:rPr>
      </w:pPr>
    </w:p>
    <w:p>
      <w:pPr>
        <w:spacing w:after="0" w:line="20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/s/ Bradley Miller</w:t>
      </w:r>
    </w:p>
    <w:p>
      <w:pPr>
        <w:spacing w:after="0" w:line="2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Bradley Miller</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General Counsel, Chief Risk Officer, and Corporate Secretary</w:t>
      </w:r>
    </w:p>
    <w:p>
      <w:pPr>
        <w:spacing w:after="0" w:line="2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Alpharetta, Georgia</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April 29, 2021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IMPORTANT NOTICE REGARDING THE AVAILABILITY OF MATERIALS FOR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proxy statement and our Annual Report are available via the Internet at [</w:t>
      </w:r>
      <w:r>
        <w:rPr>
          <w:rFonts w:ascii="Arial" w:cs="Arial" w:eastAsia="Arial" w:hAnsi="Arial"/>
          <w:sz w:val="16"/>
          <w:szCs w:val="16"/>
          <w:b w:val="1"/>
          <w:bCs w:val="1"/>
          <w:color w:val="auto"/>
        </w:rPr>
        <w:t>http://materials.proxyvote.com/74275G]</w:t>
      </w:r>
      <w:r>
        <w:rPr>
          <w:rFonts w:ascii="Arial" w:cs="Arial" w:eastAsia="Arial" w:hAnsi="Arial"/>
          <w:sz w:val="16"/>
          <w:szCs w:val="16"/>
          <w:color w:val="auto"/>
        </w:rPr>
        <w:t>.</w:t>
      </w:r>
    </w:p>
    <w:p>
      <w:pPr>
        <w:spacing w:after="0" w:line="200" w:lineRule="exact"/>
        <w:rPr>
          <w:sz w:val="20"/>
          <w:szCs w:val="20"/>
          <w:color w:val="auto"/>
        </w:rPr>
      </w:pPr>
    </w:p>
    <w:p>
      <w:pPr>
        <w:spacing w:after="0" w:line="3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139"/>
          </w:cols>
          <w:pgMar w:left="320" w:top="1134" w:right="1440" w:bottom="1440" w:gutter="0" w:footer="0" w:header="0"/>
        </w:sectPr>
      </w:pPr>
    </w:p>
    <w:bookmarkStart w:id="6" w:name="page7"/>
    <w:bookmarkEnd w:id="6"/>
    <w:p>
      <w:pPr>
        <w:ind w:left="4040"/>
        <w:spacing w:after="0"/>
        <w:rPr>
          <w:sz w:val="20"/>
          <w:szCs w:val="20"/>
          <w:color w:val="auto"/>
        </w:rPr>
      </w:pPr>
      <w:r>
        <w:rPr>
          <w:rFonts w:ascii="Arial" w:cs="Arial" w:eastAsia="Arial" w:hAnsi="Arial"/>
          <w:sz w:val="29"/>
          <w:szCs w:val="29"/>
          <w:b w:val="1"/>
          <w:bCs w:val="1"/>
          <w:color w:val="auto"/>
        </w:rPr>
        <w:t>Proxy Statement</w:t>
      </w:r>
    </w:p>
    <w:p>
      <w:pPr>
        <w:spacing w:after="0" w:line="247" w:lineRule="exact"/>
        <w:rPr>
          <w:sz w:val="20"/>
          <w:szCs w:val="20"/>
          <w:color w:val="auto"/>
        </w:rPr>
      </w:pPr>
    </w:p>
    <w:p>
      <w:pPr>
        <w:ind w:left="3980"/>
        <w:spacing w:after="0"/>
        <w:rPr>
          <w:sz w:val="20"/>
          <w:szCs w:val="20"/>
          <w:color w:val="auto"/>
        </w:rPr>
      </w:pPr>
      <w:r>
        <w:rPr>
          <w:rFonts w:ascii="Arial" w:cs="Arial" w:eastAsia="Arial" w:hAnsi="Arial"/>
          <w:sz w:val="29"/>
          <w:szCs w:val="29"/>
          <w:b w:val="1"/>
          <w:bCs w:val="1"/>
          <w:color w:val="auto"/>
        </w:rPr>
        <w:t>Table of Contents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Page</w:t>
            </w:r>
          </w:p>
        </w:tc>
      </w:tr>
      <w:tr>
        <w:trPr>
          <w:trHeight w:val="142"/>
        </w:trPr>
        <w:tc>
          <w:tcPr>
            <w:tcW w:w="86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Information about the Proxy Materials and the Annual Meeting</w:t>
            </w:r>
          </w:p>
        </w:tc>
        <w:tc>
          <w:tcPr>
            <w:tcW w:w="1520" w:type="dxa"/>
            <w:vAlign w:val="bottom"/>
            <w:shd w:val="clear" w:color="auto" w:fill="CCEEFF"/>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1</w:t>
              </w:r>
            </w:hyperlink>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Executive Officers and Board of Directors</w:t>
            </w:r>
          </w:p>
        </w:tc>
        <w:tc>
          <w:tcPr>
            <w:tcW w:w="1520" w:type="dxa"/>
            <w:vAlign w:val="bottom"/>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6</w:t>
              </w:r>
            </w:hyperlink>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Governance</w:t>
            </w:r>
          </w:p>
        </w:tc>
        <w:tc>
          <w:tcPr>
            <w:tcW w:w="1520" w:type="dxa"/>
            <w:vAlign w:val="bottom"/>
            <w:shd w:val="clear" w:color="auto" w:fill="CCEEFF"/>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9</w:t>
              </w:r>
            </w:hyperlink>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Report of the Audit Committee</w:t>
            </w:r>
          </w:p>
        </w:tc>
        <w:tc>
          <w:tcPr>
            <w:tcW w:w="1520" w:type="dxa"/>
            <w:vAlign w:val="bottom"/>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12</w:t>
              </w:r>
            </w:hyperlink>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Delinquent Section 16(a) Reports</w:t>
            </w:r>
          </w:p>
        </w:tc>
        <w:tc>
          <w:tcPr>
            <w:tcW w:w="1520" w:type="dxa"/>
            <w:vAlign w:val="bottom"/>
            <w:shd w:val="clear" w:color="auto" w:fill="CCEEFF"/>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13</w:t>
              </w:r>
            </w:hyperlink>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Compensation of Executive Officers</w:t>
            </w:r>
          </w:p>
        </w:tc>
        <w:tc>
          <w:tcPr>
            <w:tcW w:w="1520" w:type="dxa"/>
            <w:vAlign w:val="bottom"/>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14</w:t>
              </w:r>
            </w:hyperlink>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of Directors</w:t>
            </w:r>
          </w:p>
        </w:tc>
        <w:tc>
          <w:tcPr>
            <w:tcW w:w="1520" w:type="dxa"/>
            <w:vAlign w:val="bottom"/>
            <w:shd w:val="clear" w:color="auto" w:fill="CCEEFF"/>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16</w:t>
              </w:r>
            </w:hyperlink>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Outstanding Equity Awards at 2020 Year End</w:t>
            </w:r>
          </w:p>
        </w:tc>
        <w:tc>
          <w:tcPr>
            <w:tcW w:w="1520" w:type="dxa"/>
            <w:vAlign w:val="bottom"/>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17</w:t>
              </w:r>
            </w:hyperlink>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Ownership of Certain Beneficial Owners, Directors, and Executive Officers</w:t>
            </w:r>
          </w:p>
        </w:tc>
        <w:tc>
          <w:tcPr>
            <w:tcW w:w="1520" w:type="dxa"/>
            <w:vAlign w:val="bottom"/>
            <w:shd w:val="clear" w:color="auto" w:fill="CCEEFF"/>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18</w:t>
              </w:r>
            </w:hyperlink>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Transactions with Related Persons, Promoters, and Certain Control Persons</w:t>
            </w:r>
          </w:p>
        </w:tc>
        <w:tc>
          <w:tcPr>
            <w:tcW w:w="1520" w:type="dxa"/>
            <w:vAlign w:val="bottom"/>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20</w:t>
              </w:r>
            </w:hyperlink>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Proposal Number One - Election of Directors</w:t>
            </w:r>
          </w:p>
        </w:tc>
        <w:tc>
          <w:tcPr>
            <w:tcW w:w="1520" w:type="dxa"/>
            <w:vAlign w:val="bottom"/>
            <w:shd w:val="clear" w:color="auto" w:fill="CCEEFF"/>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21</w:t>
              </w:r>
            </w:hyperlink>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Proposal Number Two - Approval of the 2021 Employee Stock Purchase Plan</w:t>
            </w:r>
          </w:p>
        </w:tc>
        <w:tc>
          <w:tcPr>
            <w:tcW w:w="1520" w:type="dxa"/>
            <w:vAlign w:val="bottom"/>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22</w:t>
              </w:r>
            </w:hyperlink>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Proposal Number Three - Approval of Amendment to Eliminate Supermajority Voting Requirements</w:t>
            </w:r>
          </w:p>
        </w:tc>
        <w:tc>
          <w:tcPr>
            <w:tcW w:w="1520" w:type="dxa"/>
            <w:vAlign w:val="bottom"/>
            <w:shd w:val="clear" w:color="auto" w:fill="CCEEFF"/>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27</w:t>
              </w:r>
            </w:hyperlink>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Proposal Number Four - Ratification of Independent Registered Public Accounting Firm</w:t>
            </w:r>
          </w:p>
        </w:tc>
        <w:tc>
          <w:tcPr>
            <w:tcW w:w="152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29</w:t>
              </w:r>
            </w:hyperlink>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Matters</w:t>
            </w:r>
          </w:p>
        </w:tc>
        <w:tc>
          <w:tcPr>
            <w:tcW w:w="1520" w:type="dxa"/>
            <w:vAlign w:val="bottom"/>
            <w:shd w:val="clear" w:color="auto" w:fill="CCEEFF"/>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30</w:t>
              </w:r>
            </w:hyperlink>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Proxy Card</w:t>
            </w:r>
          </w:p>
        </w:tc>
        <w:tc>
          <w:tcPr>
            <w:tcW w:w="1520" w:type="dxa"/>
            <w:vAlign w:val="bottom"/>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31</w:t>
              </w:r>
            </w:hyperlink>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Appendix 1: 2021 Stock Purchase Plan</w:t>
            </w:r>
          </w:p>
        </w:tc>
        <w:tc>
          <w:tcPr>
            <w:tcW w:w="1520" w:type="dxa"/>
            <w:vAlign w:val="bottom"/>
            <w:shd w:val="clear" w:color="auto" w:fill="CCEEFF"/>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Appendix 1</w:t>
              </w:r>
            </w:hyperlink>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Annex 1: Certificate of Amendment to our Certificate</w:t>
            </w:r>
          </w:p>
        </w:tc>
        <w:tc>
          <w:tcPr>
            <w:tcW w:w="1520" w:type="dxa"/>
            <w:vAlign w:val="bottom"/>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Annex 1</w:t>
              </w:r>
            </w:hyperlink>
          </w:p>
        </w:tc>
      </w:tr>
    </w:tbl>
    <w:p>
      <w:pPr>
        <w:sectPr>
          <w:pgSz w:w="11900" w:h="16838" w:orient="portrait"/>
          <w:cols w:equalWidth="0" w:num="1">
            <w:col w:w="10140"/>
          </w:cols>
          <w:pgMar w:left="880" w:top="877" w:right="8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366395</wp:posOffset>
            </wp:positionV>
            <wp:extent cx="1825625"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ABOUT THE PROXY MATERIALS AND THE ANNUAL MEETING</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this proxy statement?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of Directors (the "Board") of Priority Technology Holdings, Inc. ("we," "us," "our," "Priority," "PRTH," or the "Company") is soliciting proxies for our 2021 Annual Meeting of Stockholders on June 9, 2021 (the "Annual Meeting"). This proxy statement and accompanying proxy card are being mailed on or about April 29, 2021 to stockholders of record as of April 9, 2021, the record date (the "Record Date") for the Annual Meeting.</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are receiving this proxy statement because you owned shares of the Company's common stock on the Record Date and are, therefore, entitled to vote at the Annual Meeting. By use of a proxy, you can vote regardless of whether you attend the Annual Meeting. This proxy statement provides information on the matters on which the Board would like you to vote so that you can make an informed decision.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Annual Meeting is for the Company's stockholders to vote on the following proposals:</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six directors nominated by our Board and named in the proxy statement.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Priority Technology Holdings Inc. 2021 Employee Stock Purchase Plan (the "ESPP").</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our Second Amended and Restated Certificate of Incorporation to eliminate supermajority voting requirements (the “Amendment”).</w:t>
      </w:r>
    </w:p>
    <w:p>
      <w:pPr>
        <w:ind w:left="660" w:right="52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reappointment of Ernst and Young LLP (or "EY") as the Company's independent registered public accounting firm for the year ending December 31, 2021.</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Who is asking for my vote and approximately how much will these solicitation activities cost?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soliciting your proxy on behalf of the Board. Solicitation of proxies is being made by the Company through the mail, in person and by telecommunications. The cost of this solicitation will be borne by the Company.</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Who can attend the Annual Meeting?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stockholders of record, or their duly appointed proxies, may attend the Annual Meeting. Beneficial holders who hold shares of common stock "in street name" may also attend provided they obtain the appropriate documents from their broker or other nominee and present them at the Annual Meeting. As of the Record Date, there were 68,232,366 shares of common stock issued and 67,781,142 outstanding.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attend the Annual Meeting?</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Stockholders as of the record date may attend and vote virtually at the Annual Meeting by logging in at www.virtualshareholdermeeting.com/PRTH2021. To log in, stockholders (or their authorized representatives) will need the control number provided on their proxy card, voting instruction form or Notice. If you are not a stockholder or do not have a control number, you may still access the meeting as a guest, but you will not be able to participate.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my voting rights?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is entitled to one vote on each matter submitted to stockholders at the Annual Meeting.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ask questions at the Virtual Annual Meeting?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Stockholders as of our record date who attend and participate in our virtual Annual Meeting at www.virtualshareholdermeeting.com/PRTH2021 will have an opportunity to submit questions live via the Internet during a designated portion of the meeting. These stockholders may also submit a question in advance of the Annual Meeting at www.proxyvote.com. In both cases, stockholders must have available their control number provided on their proxy card, voting instruction form or Notice.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the difference between holding shares of common stock as a stockholder of record and as a beneficial owner "in street name"?</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your shares of common stock are registered directly in your name with the Company's transfer agent, American Stock Transfer &amp; Trust Company, you are considered the stockholder of record for these shares of stock. As the stockholder of record, you have the right to grant your voting proxy directly to the persons listed on your proxy card or vote in person at the Annual Meeting.</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your shares of stock are held in a brokerage account or through another nominee, such as a trustee, you are considered the beneficial owner of shares of stock held "in street name." These proxy materials are being forwarded to you together with a voting instruction card. As a beneficial owner, you have the right to direct your broker or other nominee how to vote, and you are also invited to attend the Annual Meeting. Because you are a beneficial owner and not the stockholder of record, you may not vote your shares of stock in person at the Annual Meeting unless you obtain a proxy from the broker or other nominee that holds your shares of stock. Your broker or other nominee should have provided directions for you to instruct the broker, trustee, or nominee on how to vote your shares of stock.</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broker non-vote?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you are a beneficial owner whose shares of stock are held "in street name" and you do not provide voting instructions to your broker, your shares of stock will not be voted on any proposal as to which the broker does not have discretionary authority to vote. This is called a "broker non-vote." Your broker has discretionary authority to vote only on Proposal Number Two (ratification of auditor appointment). Therefore, your broker will not have discretion to vote on any other proposal unless you specifically instruct your broker how to vote your shares of stock by returning your completed and signed voting instruction card.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quorum is the minimum number of shares of stock required to be present to transact business at the Annual Meeting. Pursuant to the Company's bylaws, the presence at the Annual Meeting, in person, by proxy, or by remote communication, of the holders of at least a majority of the shares of stock entitled to be voted will constitute a quorum. Broker non-votes and abstentions will be counted as shares of stock that are present at the meeting for purposes of determining a quorum. If a quorum is not present, the meeting will be adjourned until a quorum is obtained.</w:t>
      </w:r>
    </w:p>
    <w:p>
      <w:pPr>
        <w:spacing w:after="0" w:line="200" w:lineRule="exact"/>
        <w:rPr>
          <w:sz w:val="20"/>
          <w:szCs w:val="20"/>
          <w:color w:val="auto"/>
        </w:rPr>
      </w:pPr>
    </w:p>
    <w:p>
      <w:pPr>
        <w:spacing w:after="0" w:line="24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What are my choices when casting a vote with respect to the election of the six nominated directors, and what vote is needed to elect the director nominees?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voting on the election of the director nominees ("Proposal Number One"), stockholders may:</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for any of the nominees;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against any of the nominees; or</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abstain from voting on any of the nominees.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our bylaws, a nominee must receive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200" w:lineRule="exact"/>
        <w:rPr>
          <w:sz w:val="20"/>
          <w:szCs w:val="20"/>
          <w:color w:val="auto"/>
        </w:rPr>
      </w:pPr>
    </w:p>
    <w:p>
      <w:pPr>
        <w:spacing w:after="0" w:line="2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What are my choices when voting on the approval of the Priority Technology Holdings, Inc. 2021 Employee Stock Purchase Plan, and what vote is needed to approve this proposal?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voting on the approval of the ESPP ("Proposal Number Two"), stockholders may:</w:t>
      </w:r>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vote to approve the ESPP;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vote against approval of the ESPP;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abstain from voting on approval of the ESPP.</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approval of Proposal Number Two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What are my choices when voting on the approval to amend our Second Amended and Restated Certificate of Incorporation to eliminate supermajority voting requirements, and what vote is needed to approve this proposal?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voting on the approval of the Amendment ("Proposal Number Three"), stockholders may:</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vote to approve the Amendment;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vote against approval of the Amendment;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abstain from voting on approval of the Amendment.</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approval of Proposal Number Three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What are my choices when voting on the ratification of the appointment of EY as the Company's independent registered public accounting firm for the year ending December 31, 2021, and what vote is needed to approve this proposal?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voting on the ratification of EY ("Proposal Number Four"), stockholders may:</w:t>
      </w:r>
    </w:p>
    <w:p>
      <w:pPr>
        <w:spacing w:after="0" w:line="25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vote to ratify EY's appointment;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vote against ratifying EY's appointment;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abstain from voting on ratifying EY's appointment.</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approval of Proposal Number Four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a vote:</w:t>
      </w:r>
    </w:p>
    <w:p>
      <w:pPr>
        <w:spacing w:after="0" w:line="24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six nominated directors (Proposal Number One);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ESPP (Proposal Number Two);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Amendment (Proposal Number Three);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EY(Proposal Number Four).</w:t>
      </w:r>
    </w:p>
    <w:p>
      <w:pPr>
        <w:sectPr>
          <w:pgSz w:w="11900" w:h="16838" w:orient="portrait"/>
          <w:cols w:equalWidth="0" w:num="1">
            <w:col w:w="11240"/>
          </w:cols>
          <w:pgMar w:left="320" w:top="125" w:right="339"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 may vote in one of four ways.</w:t>
      </w:r>
    </w:p>
    <w:p>
      <w:pPr>
        <w:spacing w:after="0" w:line="252" w:lineRule="exact"/>
        <w:rPr>
          <w:sz w:val="20"/>
          <w:szCs w:val="20"/>
          <w:color w:val="auto"/>
        </w:rPr>
      </w:pPr>
    </w:p>
    <w:p>
      <w:pPr>
        <w:ind w:left="660" w:right="3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First, you may vote over the Internet by completing the voting instructions form found at www.proxyvote.com. You will need your proxy card when voting over the Internet.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Second, you may vote by touch-tone telephone by calling 1-800-690-6903.</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 you may vote by mail by signing, dating, and mailing your proxy card in the enclosed envelope.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Fourth, you may vote in person at the virtual Annual Meeting.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your shares of stock are held in a brokerage account or by another nominee, these proxy materials are being forwarded to you together with a voting instruction card from your broker or nominee. Follow the instructions on the voting instruction card in order to vote your shares of stock by proxy or in person.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Yes. Even after you have submitted your proxy card, you may change or revoke your vote at any time before your proxy votes your shares of stock by submitting written notice of revocation to Mr. Miller, the Company's General Counsel, Chief Risk Officer, and Corporate Secretary, at the Company's address set forth in the 2021 Notice of Annual Meeting, or by submitting another proxy card bearing a later date. Alternatively, if you have voted over the Internet or by telephone, you may change your vote by calling 1-800-690-6903 and following the instructions. Attendance at the virtual Annual Meeting will not constitute a revocation of a previously provided proxy unless you affirmatively indicate at the virtual Annual Meeting that you intend to vote your shares of stock in person by completing and delivering a written ballot.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hold your shares of stock through a broker or other custodian and would like to change your voting instructions, please review the directions provided to you by that broker or custodian.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vote confidentially?</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Yes. Our policy is to keep your individual votes confidential, except as appropriate to meet legal requirements, to allow for the tabulation and certification of votes, or to facilitate proxy solicitation.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count the votes?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Bradley Miller, our General Counsel, Chief Risk Officer, and Corporate Secretary, will count the votes and act as the inspector of election for the Annual Meeting.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the voting results of the Annual Meeting?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announce preliminary voting results at the Annual Meeting and publish final results in our current report on Form 8-K within four business days after the Annual Meeting.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"householding" of the Annual Meeting materials?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U.S. Securities and Exchange Commission (the "SEC") has adopted rules that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The Company and some brokers "household" proxy materials, delivering a single proxy statement and annual report to multiple stockholders</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sharing an address unless contrary instructions have been received from the affected stockholders.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of stock are held in a brokerage account, or the Company if you hold shares of stock registered directly in your name. You can notify the Company by sending a written request to Mr. Miller at the Company's address set forth in the 2021 Notice of Annual Meeting or by calling us at (404) 952-2192.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obtain a copy of the Company's Annual Report?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copy of our 2020 Annual Report on Form 10-K (the "Annual Report") is available at www.prth.com. Stockholders may also obtain a free copy of our Annual Report by sending a request in writing to Mr. Miller at the Company's address set forth in the 2021 Notice of Annual Meeting or by calling us at (404) 952-2192.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help answer my questions?</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you have any questions about the Annual Meeting or how to submit or revoke your proxy, or to request an invitation to the Annual Meeting, contact Mr. Miller at the Company's address set forth in the 2021 Notice of Annual Meeting or by calling us at (404) 952-2192.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with respect to our executive officers and directors, as of the date of this proxy statement:</w:t>
      </w:r>
    </w:p>
    <w:p>
      <w:pPr>
        <w:spacing w:after="0" w:line="145" w:lineRule="exact"/>
        <w:rPr>
          <w:sz w:val="20"/>
          <w:szCs w:val="20"/>
          <w:color w:val="auto"/>
        </w:rPr>
      </w:pPr>
    </w:p>
    <w:tbl>
      <w:tblPr>
        <w:tblLayout w:type="fixed"/>
        <w:tblInd w:w="960" w:type="dxa"/>
        <w:tblCellMar>
          <w:top w:w="0" w:type="dxa"/>
          <w:left w:w="0" w:type="dxa"/>
          <w:bottom w:w="0" w:type="dxa"/>
          <w:right w:w="0" w:type="dxa"/>
        </w:tblCellMar>
      </w:tblPr>
      <w:tr>
        <w:trPr>
          <w:trHeight w:val="229"/>
        </w:trPr>
        <w:tc>
          <w:tcPr>
            <w:tcW w:w="2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Name</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Age</w:t>
            </w:r>
          </w:p>
        </w:tc>
        <w:tc>
          <w:tcPr>
            <w:tcW w:w="59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2180" w:type="dxa"/>
            <w:vAlign w:val="bottom"/>
          </w:tcPr>
          <w:p>
            <w:pPr>
              <w:spacing w:after="0"/>
              <w:rPr>
                <w:sz w:val="20"/>
                <w:szCs w:val="20"/>
                <w:color w:val="auto"/>
              </w:rPr>
            </w:pPr>
            <w:r>
              <w:rPr>
                <w:rFonts w:ascii="Arial" w:cs="Arial" w:eastAsia="Arial" w:hAnsi="Arial"/>
                <w:sz w:val="18"/>
                <w:szCs w:val="18"/>
                <w:color w:val="auto"/>
              </w:rPr>
              <w:t>Thomas Priore</w:t>
            </w:r>
          </w:p>
        </w:tc>
        <w:tc>
          <w:tcPr>
            <w:tcW w:w="1200" w:type="dxa"/>
            <w:vAlign w:val="bottom"/>
          </w:tcPr>
          <w:p>
            <w:pPr>
              <w:ind w:left="640"/>
              <w:spacing w:after="0"/>
              <w:rPr>
                <w:sz w:val="20"/>
                <w:szCs w:val="20"/>
                <w:color w:val="auto"/>
              </w:rPr>
            </w:pPr>
            <w:r>
              <w:rPr>
                <w:rFonts w:ascii="Arial" w:cs="Arial" w:eastAsia="Arial" w:hAnsi="Arial"/>
                <w:sz w:val="18"/>
                <w:szCs w:val="18"/>
                <w:color w:val="auto"/>
              </w:rPr>
              <w:t>52</w:t>
            </w:r>
          </w:p>
        </w:tc>
        <w:tc>
          <w:tcPr>
            <w:tcW w:w="5960" w:type="dxa"/>
            <w:vAlign w:val="bottom"/>
          </w:tcPr>
          <w:p>
            <w:pPr>
              <w:ind w:left="260"/>
              <w:spacing w:after="0"/>
              <w:rPr>
                <w:sz w:val="20"/>
                <w:szCs w:val="20"/>
                <w:color w:val="auto"/>
              </w:rPr>
            </w:pPr>
            <w:r>
              <w:rPr>
                <w:rFonts w:ascii="Arial" w:cs="Arial" w:eastAsia="Arial" w:hAnsi="Arial"/>
                <w:sz w:val="18"/>
                <w:szCs w:val="18"/>
                <w:color w:val="auto"/>
              </w:rPr>
              <w:t>President, Chief Executive Officer and Chairman</w:t>
            </w:r>
          </w:p>
        </w:tc>
      </w:tr>
      <w:tr>
        <w:trPr>
          <w:trHeight w:val="229"/>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Michael Vollkommer</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62</w:t>
            </w:r>
          </w:p>
        </w:tc>
        <w:tc>
          <w:tcPr>
            <w:tcW w:w="5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Chief Financial Officer</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Sean Kiewiet</w:t>
            </w:r>
          </w:p>
        </w:tc>
        <w:tc>
          <w:tcPr>
            <w:tcW w:w="1200" w:type="dxa"/>
            <w:vAlign w:val="bottom"/>
          </w:tcPr>
          <w:p>
            <w:pPr>
              <w:ind w:left="640"/>
              <w:spacing w:after="0"/>
              <w:rPr>
                <w:sz w:val="20"/>
                <w:szCs w:val="20"/>
                <w:color w:val="auto"/>
              </w:rPr>
            </w:pPr>
            <w:r>
              <w:rPr>
                <w:rFonts w:ascii="Arial" w:cs="Arial" w:eastAsia="Arial" w:hAnsi="Arial"/>
                <w:sz w:val="18"/>
                <w:szCs w:val="18"/>
                <w:color w:val="auto"/>
              </w:rPr>
              <w:t>49</w:t>
            </w:r>
          </w:p>
        </w:tc>
        <w:tc>
          <w:tcPr>
            <w:tcW w:w="5960" w:type="dxa"/>
            <w:vAlign w:val="bottom"/>
          </w:tcPr>
          <w:p>
            <w:pPr>
              <w:ind w:left="260"/>
              <w:spacing w:after="0"/>
              <w:rPr>
                <w:sz w:val="20"/>
                <w:szCs w:val="20"/>
                <w:color w:val="auto"/>
              </w:rPr>
            </w:pPr>
            <w:r>
              <w:rPr>
                <w:rFonts w:ascii="Arial" w:cs="Arial" w:eastAsia="Arial" w:hAnsi="Arial"/>
                <w:sz w:val="18"/>
                <w:szCs w:val="18"/>
                <w:color w:val="auto"/>
              </w:rPr>
              <w:t>Chief Technology Officer</w:t>
            </w:r>
          </w:p>
        </w:tc>
      </w:tr>
      <w:tr>
        <w:trPr>
          <w:trHeight w:val="229"/>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Bradley Miller</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50</w:t>
            </w:r>
          </w:p>
        </w:tc>
        <w:tc>
          <w:tcPr>
            <w:tcW w:w="5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Counsel, Chief Risk Officer, and Corporate Secretary</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Ranjana Ram</w:t>
            </w:r>
          </w:p>
        </w:tc>
        <w:tc>
          <w:tcPr>
            <w:tcW w:w="1200" w:type="dxa"/>
            <w:vAlign w:val="bottom"/>
          </w:tcPr>
          <w:p>
            <w:pPr>
              <w:ind w:left="640"/>
              <w:spacing w:after="0"/>
              <w:rPr>
                <w:sz w:val="20"/>
                <w:szCs w:val="20"/>
                <w:color w:val="auto"/>
              </w:rPr>
            </w:pPr>
            <w:r>
              <w:rPr>
                <w:rFonts w:ascii="Arial" w:cs="Arial" w:eastAsia="Arial" w:hAnsi="Arial"/>
                <w:sz w:val="18"/>
                <w:szCs w:val="18"/>
                <w:color w:val="auto"/>
              </w:rPr>
              <w:t>38</w:t>
            </w:r>
          </w:p>
        </w:tc>
        <w:tc>
          <w:tcPr>
            <w:tcW w:w="5960" w:type="dxa"/>
            <w:vAlign w:val="bottom"/>
          </w:tcPr>
          <w:p>
            <w:pPr>
              <w:ind w:left="260"/>
              <w:spacing w:after="0"/>
              <w:rPr>
                <w:sz w:val="20"/>
                <w:szCs w:val="20"/>
                <w:color w:val="auto"/>
              </w:rPr>
            </w:pPr>
            <w:r>
              <w:rPr>
                <w:rFonts w:ascii="Arial" w:cs="Arial" w:eastAsia="Arial" w:hAnsi="Arial"/>
                <w:sz w:val="18"/>
                <w:szCs w:val="18"/>
                <w:color w:val="auto"/>
              </w:rPr>
              <w:t>EVP, M&amp;A and Corporate Development</w:t>
            </w:r>
          </w:p>
        </w:tc>
      </w:tr>
      <w:tr>
        <w:trPr>
          <w:trHeight w:val="229"/>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Dave Faupel</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50</w:t>
            </w:r>
          </w:p>
        </w:tc>
        <w:tc>
          <w:tcPr>
            <w:tcW w:w="5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Chief Marketing Officer</w:t>
            </w: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John Priore</w:t>
            </w:r>
          </w:p>
        </w:tc>
        <w:tc>
          <w:tcPr>
            <w:tcW w:w="1200" w:type="dxa"/>
            <w:vAlign w:val="bottom"/>
          </w:tcPr>
          <w:p>
            <w:pPr>
              <w:ind w:left="640"/>
              <w:spacing w:after="0"/>
              <w:rPr>
                <w:sz w:val="20"/>
                <w:szCs w:val="20"/>
                <w:color w:val="auto"/>
              </w:rPr>
            </w:pPr>
            <w:r>
              <w:rPr>
                <w:rFonts w:ascii="Arial" w:cs="Arial" w:eastAsia="Arial" w:hAnsi="Arial"/>
                <w:sz w:val="18"/>
                <w:szCs w:val="18"/>
                <w:color w:val="auto"/>
              </w:rPr>
              <w:t>57</w:t>
            </w:r>
          </w:p>
        </w:tc>
        <w:tc>
          <w:tcPr>
            <w:tcW w:w="5960" w:type="dxa"/>
            <w:vAlign w:val="bottom"/>
          </w:tcPr>
          <w:p>
            <w:pPr>
              <w:ind w:left="260"/>
              <w:spacing w:after="0"/>
              <w:rPr>
                <w:sz w:val="20"/>
                <w:szCs w:val="20"/>
                <w:color w:val="auto"/>
              </w:rPr>
            </w:pPr>
            <w:r>
              <w:rPr>
                <w:rFonts w:ascii="Arial" w:cs="Arial" w:eastAsia="Arial" w:hAnsi="Arial"/>
                <w:sz w:val="18"/>
                <w:szCs w:val="18"/>
                <w:color w:val="auto"/>
              </w:rPr>
              <w:t>Director</w:t>
            </w:r>
          </w:p>
        </w:tc>
      </w:tr>
      <w:tr>
        <w:trPr>
          <w:trHeight w:val="230"/>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Marietta Davis</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61</w:t>
            </w:r>
          </w:p>
        </w:tc>
        <w:tc>
          <w:tcPr>
            <w:tcW w:w="5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Director</w:t>
            </w:r>
          </w:p>
        </w:tc>
      </w:tr>
      <w:tr>
        <w:trPr>
          <w:trHeight w:val="229"/>
        </w:trPr>
        <w:tc>
          <w:tcPr>
            <w:tcW w:w="2180" w:type="dxa"/>
            <w:vAlign w:val="bottom"/>
          </w:tcPr>
          <w:p>
            <w:pPr>
              <w:spacing w:after="0"/>
              <w:rPr>
                <w:sz w:val="20"/>
                <w:szCs w:val="20"/>
                <w:color w:val="auto"/>
              </w:rPr>
            </w:pPr>
            <w:r>
              <w:rPr>
                <w:rFonts w:ascii="Arial" w:cs="Arial" w:eastAsia="Arial" w:hAnsi="Arial"/>
                <w:sz w:val="18"/>
                <w:szCs w:val="18"/>
                <w:color w:val="auto"/>
              </w:rPr>
              <w:t>Christina Favilla</w:t>
            </w:r>
          </w:p>
        </w:tc>
        <w:tc>
          <w:tcPr>
            <w:tcW w:w="1200" w:type="dxa"/>
            <w:vAlign w:val="bottom"/>
          </w:tcPr>
          <w:p>
            <w:pPr>
              <w:ind w:left="640"/>
              <w:spacing w:after="0"/>
              <w:rPr>
                <w:sz w:val="20"/>
                <w:szCs w:val="20"/>
                <w:color w:val="auto"/>
              </w:rPr>
            </w:pPr>
            <w:r>
              <w:rPr>
                <w:rFonts w:ascii="Arial" w:cs="Arial" w:eastAsia="Arial" w:hAnsi="Arial"/>
                <w:sz w:val="18"/>
                <w:szCs w:val="18"/>
                <w:color w:val="auto"/>
              </w:rPr>
              <w:t>54</w:t>
            </w:r>
          </w:p>
        </w:tc>
        <w:tc>
          <w:tcPr>
            <w:tcW w:w="5960" w:type="dxa"/>
            <w:vAlign w:val="bottom"/>
          </w:tcPr>
          <w:p>
            <w:pPr>
              <w:ind w:left="260"/>
              <w:spacing w:after="0"/>
              <w:rPr>
                <w:sz w:val="20"/>
                <w:szCs w:val="20"/>
                <w:color w:val="auto"/>
              </w:rPr>
            </w:pPr>
            <w:r>
              <w:rPr>
                <w:rFonts w:ascii="Arial" w:cs="Arial" w:eastAsia="Arial" w:hAnsi="Arial"/>
                <w:sz w:val="18"/>
                <w:szCs w:val="18"/>
                <w:color w:val="auto"/>
              </w:rPr>
              <w:t>Director</w:t>
            </w:r>
          </w:p>
        </w:tc>
      </w:tr>
      <w:tr>
        <w:trPr>
          <w:trHeight w:val="229"/>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Stephen Hipp</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53</w:t>
            </w:r>
          </w:p>
        </w:tc>
        <w:tc>
          <w:tcPr>
            <w:tcW w:w="5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Director</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Michael Passilla</w:t>
            </w:r>
          </w:p>
        </w:tc>
        <w:tc>
          <w:tcPr>
            <w:tcW w:w="1200" w:type="dxa"/>
            <w:vAlign w:val="bottom"/>
          </w:tcPr>
          <w:p>
            <w:pPr>
              <w:ind w:left="640"/>
              <w:spacing w:after="0"/>
              <w:rPr>
                <w:sz w:val="20"/>
                <w:szCs w:val="20"/>
                <w:color w:val="auto"/>
              </w:rPr>
            </w:pPr>
            <w:r>
              <w:rPr>
                <w:rFonts w:ascii="Arial" w:cs="Arial" w:eastAsia="Arial" w:hAnsi="Arial"/>
                <w:sz w:val="18"/>
                <w:szCs w:val="18"/>
                <w:color w:val="auto"/>
              </w:rPr>
              <w:t>54</w:t>
            </w:r>
          </w:p>
        </w:tc>
        <w:tc>
          <w:tcPr>
            <w:tcW w:w="5960" w:type="dxa"/>
            <w:vAlign w:val="bottom"/>
          </w:tcPr>
          <w:p>
            <w:pPr>
              <w:ind w:left="2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Thomas Priore </w:t>
      </w:r>
      <w:r>
        <w:rPr>
          <w:rFonts w:ascii="Arial" w:cs="Arial" w:eastAsia="Arial" w:hAnsi="Arial"/>
          <w:sz w:val="17"/>
          <w:szCs w:val="17"/>
          <w:color w:val="auto"/>
        </w:rPr>
        <w:t>has served as President, Chief Executive Officer and Chairman since December 2018 and as Executive Chairman and founding member of</w:t>
      </w:r>
      <w:r>
        <w:rPr>
          <w:rFonts w:ascii="Arial" w:cs="Arial" w:eastAsia="Arial" w:hAnsi="Arial"/>
          <w:sz w:val="17"/>
          <w:szCs w:val="17"/>
          <w:b w:val="1"/>
          <w:bCs w:val="1"/>
          <w:color w:val="auto"/>
        </w:rPr>
        <w:t xml:space="preserve"> </w:t>
      </w:r>
      <w:r>
        <w:rPr>
          <w:rFonts w:ascii="Arial" w:cs="Arial" w:eastAsia="Arial" w:hAnsi="Arial"/>
          <w:sz w:val="17"/>
          <w:szCs w:val="17"/>
          <w:color w:val="auto"/>
        </w:rPr>
        <w:t>Priority from August 2005 through November 2018. Under Mr. Priore's strategic direction, Priority has emerged from a start-up organization to become the 13th largest merchant acquirer in the U.S. and a leading provider of commercial payment solutions to major global institutions.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Thomas Priore is the brother of John Priore, Priority's Vice-Chairman.</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Michael Vollkommer </w:t>
      </w:r>
      <w:r>
        <w:rPr>
          <w:rFonts w:ascii="Arial" w:cs="Arial" w:eastAsia="Arial" w:hAnsi="Arial"/>
          <w:sz w:val="16"/>
          <w:szCs w:val="16"/>
          <w:color w:val="auto"/>
        </w:rPr>
        <w:t>has served as Chief Financial Officer of Priority since December 2018. Mr. Vollkommer is a CPA who has over 30 years of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a variety of industries, serving in executive-level positions within several global corporations. Prior to joining Priority, Mr. Vollkommer most recently served as the Chief Financial Officer of Vesta Corporation, an international provider of comprehensive fraud and payment solutions for online commerce, from October 2013 to October 2015, and before that was the Chief Financial Officer of Mueller Water Products from May 2007 to July 2008. From 2001 to 2006, Mr. Vollkommer was Executive Vice President and Chief Financial Officer of Certegy Inc., a public payment services company that was spun off from Equifax in 2001 and merged with certain divisions of Fidelity National Financial in 2006 to create FIS.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Sean Kiewiet </w:t>
      </w:r>
      <w:r>
        <w:rPr>
          <w:rFonts w:ascii="Arial" w:cs="Arial" w:eastAsia="Arial" w:hAnsi="Arial"/>
          <w:sz w:val="18"/>
          <w:szCs w:val="18"/>
          <w:color w:val="auto"/>
        </w:rPr>
        <w:t>co-founded Priority after serving as the Director of Technology for Cornerstone Payment Systems. Mr. Kiewiet has served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Officer of Priority since August 2005. Mr. Kiewiet previously worked in software development and architecture for Hypercom and Syntellect. Mr. Kiewiet's technology development background drives his vision for Priority to develop high-performing teams that deliberately target technologies at areas where the industry has been complacent and customers have been under-served.</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Bradley Miller </w:t>
      </w:r>
      <w:r>
        <w:rPr>
          <w:rFonts w:ascii="Arial" w:cs="Arial" w:eastAsia="Arial" w:hAnsi="Arial"/>
          <w:sz w:val="18"/>
          <w:szCs w:val="18"/>
          <w:color w:val="222222"/>
        </w:rPr>
        <w:t>has served as Priority’s General Counsel and Chief Risk Officer since February 2020. Mr. Miller has over 25 years of legal and financial</w:t>
      </w:r>
      <w:r>
        <w:rPr>
          <w:rFonts w:ascii="Arial" w:cs="Arial" w:eastAsia="Arial" w:hAnsi="Arial"/>
          <w:sz w:val="18"/>
          <w:szCs w:val="18"/>
          <w:b w:val="1"/>
          <w:bCs w:val="1"/>
          <w:color w:val="auto"/>
        </w:rPr>
        <w:t xml:space="preserve"> </w:t>
      </w:r>
      <w:r>
        <w:rPr>
          <w:rFonts w:ascii="Arial" w:cs="Arial" w:eastAsia="Arial" w:hAnsi="Arial"/>
          <w:sz w:val="18"/>
          <w:szCs w:val="18"/>
          <w:color w:val="222222"/>
        </w:rPr>
        <w:t>industry experience having served as EVP &amp; General Counsel of United Community Banks, Inc. (UCBI), for over 12 years. Mr. Miller also served as Chief Risk Officer of UCBI for over five years while continuing to serve as its General Counsel, responsible for the oversight of all legal, compliance, and enterprise risk functions. Prior to UCBI, Mr. Miller began his career with the international firm of Kilpatrick Stockton LLP (now Kilpatrick Townsend LLP) focusing his practice on consumer and commercial litigation, privacy, and regulatory matters. Mr. Miller is responsible for all facets of Priority’s legal, risk and compliance functions.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222222"/>
        </w:rPr>
        <w:t xml:space="preserve">Ranjana Ram </w:t>
      </w:r>
      <w:r>
        <w:rPr>
          <w:rFonts w:ascii="Arial" w:cs="Arial" w:eastAsia="Arial" w:hAnsi="Arial"/>
          <w:sz w:val="18"/>
          <w:szCs w:val="18"/>
          <w:color w:val="222222"/>
        </w:rPr>
        <w:t>currently leads corporate development and acquisition strategies at Priority. Ms. Ram is a CFA charterholder and has been focused on</w:t>
      </w:r>
      <w:r>
        <w:rPr>
          <w:rFonts w:ascii="Arial" w:cs="Arial" w:eastAsia="Arial" w:hAnsi="Arial"/>
          <w:sz w:val="18"/>
          <w:szCs w:val="18"/>
          <w:b w:val="1"/>
          <w:bCs w:val="1"/>
          <w:color w:val="222222"/>
        </w:rPr>
        <w:t xml:space="preserve"> </w:t>
      </w:r>
      <w:r>
        <w:rPr>
          <w:rFonts w:ascii="Arial" w:cs="Arial" w:eastAsia="Arial" w:hAnsi="Arial"/>
          <w:sz w:val="18"/>
          <w:szCs w:val="18"/>
          <w:color w:val="222222"/>
        </w:rPr>
        <w:t>executing on strategic growth and investment opportunities for the business going back to inception. Prior to working with Priority, Ms. Ram most recently served as Director at Institutional Credit Partners, an investment bank, where she led over 7 billion in publicly rated structured credit securitizations. Prior to that Ms. Ram worked at Credit Suisse focusing on portfolio and investment strategies.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222222"/>
        </w:rPr>
        <w:t xml:space="preserve">Dave Faupel </w:t>
      </w:r>
      <w:r>
        <w:rPr>
          <w:rFonts w:ascii="Arial" w:cs="Arial" w:eastAsia="Arial" w:hAnsi="Arial"/>
          <w:sz w:val="18"/>
          <w:szCs w:val="18"/>
          <w:color w:val="222222"/>
        </w:rPr>
        <w:t>has served as Priorities Chief Marketing Officer since November 2020. With over 25 years of marketing experience across a wide array of</w:t>
      </w:r>
      <w:r>
        <w:rPr>
          <w:rFonts w:ascii="Arial" w:cs="Arial" w:eastAsia="Arial" w:hAnsi="Arial"/>
          <w:sz w:val="18"/>
          <w:szCs w:val="18"/>
          <w:b w:val="1"/>
          <w:bCs w:val="1"/>
          <w:color w:val="222222"/>
        </w:rPr>
        <w:t xml:space="preserve"> </w:t>
      </w:r>
      <w:r>
        <w:rPr>
          <w:rFonts w:ascii="Arial" w:cs="Arial" w:eastAsia="Arial" w:hAnsi="Arial"/>
          <w:sz w:val="18"/>
          <w:szCs w:val="18"/>
          <w:color w:val="222222"/>
        </w:rPr>
        <w:t>industries, Mr. Faupel has an extensive background building high-performing marketing teams to drive brand awareness and profitable growth at leading fintech, martech and healthcare companies. Before joining Priority, Mr. Faupel was the VP of Marketing for North America for Sage, a global market leader for small and medium businesses to manage finances, operations and people. At Sage, Mr. Faupel helped to increase marketing-driven revenue and launched the newest cloud portfolio for small businesses in the US. Previously, Mr. Faupel served as Head of Worldwide Marketing for IBM Silverpop, leading the global launch of the IBM Marketing Cloud. Mr. Faupel has also held senior marketing roles at McKesson and with some of the largest marketing and communications agencies worldwide.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John Priore </w:t>
      </w:r>
      <w:r>
        <w:rPr>
          <w:rFonts w:ascii="Arial" w:cs="Arial" w:eastAsia="Arial" w:hAnsi="Arial"/>
          <w:sz w:val="18"/>
          <w:szCs w:val="18"/>
          <w:color w:val="auto"/>
        </w:rPr>
        <w:t>is the co-founder of Priority and has served as Vice-Chairman of Priority from December 2018 through March 2021. Prior to that, John Priore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Chief Executive Officer of Priority since August 2005. He has over twenty-five years of experience in the payments industry. Prior to founding Priority, John Priore was the Executive Vice President of Financial Systems at Ingenico, and also served in a variety of positions at other firms, including NOVA, First Data and American Express. Mr. Priore is a member of the Technology Association of Georgia (TAG), a legacy member of the Alpharetta Technology Commission and currently serves on the board of directors for the Electronic Transactions Association. John Priore's commitment to the industry has helped propel Priority to be a leader in payments technology. John Priore is the brother of Thomas Priore, Priority's President, Chief Executive Officer and Chairman.</w:t>
      </w:r>
    </w:p>
    <w:p>
      <w:pPr>
        <w:spacing w:after="0" w:line="216" w:lineRule="exact"/>
        <w:rPr>
          <w:sz w:val="20"/>
          <w:szCs w:val="20"/>
          <w:color w:val="auto"/>
        </w:rPr>
      </w:pPr>
    </w:p>
    <w:p>
      <w:pPr>
        <w:ind w:right="260"/>
        <w:spacing w:after="0" w:line="303" w:lineRule="auto"/>
        <w:rPr>
          <w:sz w:val="20"/>
          <w:szCs w:val="20"/>
          <w:color w:val="auto"/>
        </w:rPr>
      </w:pPr>
      <w:r>
        <w:rPr>
          <w:rFonts w:ascii="Arial" w:cs="Arial" w:eastAsia="Arial" w:hAnsi="Arial"/>
          <w:sz w:val="16"/>
          <w:szCs w:val="16"/>
          <w:b w:val="1"/>
          <w:bCs w:val="1"/>
          <w:color w:val="auto"/>
        </w:rPr>
        <w:t xml:space="preserve">Marietta Davis </w:t>
      </w:r>
      <w:r>
        <w:rPr>
          <w:rFonts w:ascii="Arial" w:cs="Arial" w:eastAsia="Arial" w:hAnsi="Arial"/>
          <w:sz w:val="16"/>
          <w:szCs w:val="16"/>
          <w:color w:val="auto"/>
        </w:rPr>
        <w:t>has served as a director of Priority since January 2021. Ms. Davis works for IBM where she is the World-Wide Vice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Director for the Accenture relationship where she leads a global team focusing on growing IBM’s Cloud and Cognitive Application portfolio. Prior to joining IBM, Davis spent 16 years at Microsoft Corporation in a variety of leadership roles. Davis also serves in an advisory board role for The Posse Foundation, a non-profit organization that identifies, trains and mentors young, diverse leaders as they navigate college and enter the workforce.</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Christina Favilla </w:t>
      </w:r>
      <w:r>
        <w:rPr>
          <w:rFonts w:ascii="Arial" w:cs="Arial" w:eastAsia="Arial" w:hAnsi="Arial"/>
          <w:sz w:val="18"/>
          <w:szCs w:val="18"/>
          <w:color w:val="auto"/>
        </w:rPr>
        <w:t>has served as a director of Priority since October 2019. Ms. Favilla served as Chief Operating Officer of Sterling National Bank from</w:t>
      </w:r>
      <w:r>
        <w:rPr>
          <w:rFonts w:ascii="Arial" w:cs="Arial" w:eastAsia="Arial" w:hAnsi="Arial"/>
          <w:sz w:val="18"/>
          <w:szCs w:val="18"/>
          <w:b w:val="1"/>
          <w:bCs w:val="1"/>
          <w:color w:val="auto"/>
        </w:rPr>
        <w:t xml:space="preserve"> </w:t>
      </w:r>
      <w:r>
        <w:rPr>
          <w:rFonts w:ascii="Arial" w:cs="Arial" w:eastAsia="Arial" w:hAnsi="Arial"/>
          <w:sz w:val="18"/>
          <w:szCs w:val="18"/>
          <w:color w:val="auto"/>
        </w:rPr>
        <w:t>July 2017 until December 2018. She previously served as Chief Operating Officer of GE Capital's lending and leasing business from February 2012 until June 2017. Prior to 2012, she served as President of Discover Bank for six years. She also currently serves as a board member of a privately held fintech company. Ms. Favilla is a seasoned banking and financial services professional with a track record of growing business platforms in volatile regulatory environments. Her core skills include people leadership, risk management, P&amp;L, and IT governance. Ms. Favilla holds an MBA in Information Systems from the Fordham Gabelli School of Business.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Stephen Hipp </w:t>
      </w:r>
      <w:r>
        <w:rPr>
          <w:rFonts w:ascii="Arial" w:cs="Arial" w:eastAsia="Arial" w:hAnsi="Arial"/>
          <w:sz w:val="18"/>
          <w:szCs w:val="18"/>
          <w:color w:val="auto"/>
        </w:rPr>
        <w:t>has served as a director of Priority since December 2020. Mr. Hipp retired from Goldman Sachs where he spent the last 16 years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Director of Specialty Lending Group focusing on financing middle market companies. Prior to Goldman Sachs, Mr. Hipp was the Senior Vice President of underwriting and portfolio management for GE Capital. Mr. Hipp started his career as an Auditor for Ernst and Young in 1990 and maintained his Certified Public Account certificate from July 1992 through July 1999.</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Michael Passilla </w:t>
      </w:r>
      <w:r>
        <w:rPr>
          <w:rFonts w:ascii="Arial" w:cs="Arial" w:eastAsia="Arial" w:hAnsi="Arial"/>
          <w:sz w:val="18"/>
          <w:szCs w:val="18"/>
          <w:color w:val="auto"/>
        </w:rPr>
        <w:t>has served as a director of Priority since June 2019. Mr. Passilla served as Vice Chairman for JP Morgan Chase &amp; Company from July</w:t>
      </w:r>
      <w:r>
        <w:rPr>
          <w:rFonts w:ascii="Arial" w:cs="Arial" w:eastAsia="Arial" w:hAnsi="Arial"/>
          <w:sz w:val="18"/>
          <w:szCs w:val="18"/>
          <w:b w:val="1"/>
          <w:bCs w:val="1"/>
          <w:color w:val="auto"/>
        </w:rPr>
        <w:t xml:space="preserve"> </w:t>
      </w:r>
      <w:r>
        <w:rPr>
          <w:rFonts w:ascii="Arial" w:cs="Arial" w:eastAsia="Arial" w:hAnsi="Arial"/>
          <w:sz w:val="18"/>
          <w:szCs w:val="18"/>
          <w:color w:val="auto"/>
        </w:rPr>
        <w:t>2016 until his retirement in June 2018, after serving as Chief Executive Officer of Chase Merchant Services from May 2013 to June 2016. He previously served as Chief Executive Officer of Elavon - US Bank, Inc. from August 2010 to April 2013, after serving as Executive Vice President of Global Business Development since August 2007. Mr. Passilla received a Bachelor of Business Administration from the University of Notre Dame in 1989 and an MBA from Northwestern University in 1995.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Thomas Priore, our President, Chief Executive Officer and Chairman, and John Priore, a non-employee Director, are brothers.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2015, approximately three years after reaching a civil settlement with regulators on the matter, and without admitting or denying the allegations against him, Thomas Priore consented to the entry of an order by the SEC against him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the Company, or his service as President, Chief Executive Officer or Chairman.</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above, to our knowledge, during the past ten years, none of our directors, executive officers, promoters, control persons, or nominees has been:</w:t>
      </w:r>
    </w:p>
    <w:p>
      <w:pPr>
        <w:spacing w:after="0" w:line="197" w:lineRule="exact"/>
        <w:rPr>
          <w:sz w:val="20"/>
          <w:szCs w:val="20"/>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subject of any bankruptcy petition filed by or against any business of which such person was a general partner or executive officer either at the time of the bankruptcy or within two years prior to that time;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convicted in a criminal proceeding or is subject to a pending criminal proceeding (excluding traffic violations and other minor offenses);</w:t>
      </w:r>
    </w:p>
    <w:p>
      <w:pPr>
        <w:spacing w:after="0" w:line="263"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any order, judgment, or decree, not subsequently reversed, suspended or vacated, of any court of competent jurisdiction or any Federal or State authority, permanently or temporarily enjoining, barring, suspending or otherwise limiting his involvement in any type of business, securities or banking activities;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found by a court of competent jurisdiction (in a civil action), the SEC or the Commodity Futures Trading Commission to have violated a federal or state securities or commodities law;</w:t>
      </w:r>
    </w:p>
    <w:p>
      <w:pPr>
        <w:spacing w:after="0" w:line="197"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subject of, or a party to, any Federal or State judicial or administrative order, judgment, decree, or finding, not subsequently reversed, suspended or vacated, relating to an alleged violation of (a) any Federal or State securities or commodities law or regulation; (b)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(c) any law or regulation prohibiting mail or wire fraud or fraud in connection with any business entity; or</w:t>
      </w:r>
    </w:p>
    <w:p>
      <w:pPr>
        <w:spacing w:after="0" w:line="203" w:lineRule="exact"/>
        <w:rPr>
          <w:rFonts w:ascii="Arial" w:cs="Arial" w:eastAsia="Arial" w:hAnsi="Arial"/>
          <w:sz w:val="17"/>
          <w:szCs w:val="17"/>
          <w:color w:val="auto"/>
        </w:rPr>
      </w:pPr>
    </w:p>
    <w:p>
      <w:pPr>
        <w:jc w:val="both"/>
        <w:ind w:left="660" w:hanging="328"/>
        <w:spacing w:after="0" w:line="29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subject of, or a party to, any sanction or order, not subsequently reversed, suspended or vacated, of any self-regulatory organization (as defined in Section 3(a)(26) of the Securities Exchange Act of 1934, as amended (15 U.S.C. 78c(a)(26))), any registered entity (as defined in Section 1(a)</w:t>
      </w:r>
    </w:p>
    <w:p>
      <w:pPr>
        <w:ind w:left="660" w:hanging="4"/>
        <w:spacing w:after="0" w:line="260"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of the Commodity Exchange Act (7 U.S.C. 1(a)(29))), or any equivalent exchange, association, entity or organization that has disciplinary authority over its members or persons associated with a member.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adopted a Code of Ethics that applies to all of our employees, officers and directors. This includes our principal executive officer, principal financial officer, and principal accounting officer or controller, or persons performing similar functions. The full text of the Code of Ethics is posted on our website at www.prth.com. We intend to disclose on our website any future amendments of the Code of Ethics or waivers that exempt any principal executive officer, principal financial officer, principal accounting officer or controller, persons performing similar functions, or our directors from provisions in the Code of Ethics.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Currently, the positions of Chief Executive Officer and Chairman of the Board are held by one individual, Thomas Priore. Although no formal policy currently exists, the Board has determined that, at present, Mr. Priore is able to devote his time to both the daily execution of the Company's business strategies and to the long-term strategic direction of the Company and having him serve in both roles is in the best interests of our stockholders.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oversees the risk management activities designed and implemented by our management. Our Board executes its oversight responsibility both directly and through its committees. Our Board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and the Audit Committee. Our Board delegates to the Audit Committee oversight of its risk management process, and our other committees also consider risk as they perform their respective committee responsibilities. All committees report to the Board as appropriate, including when a matter rises to the level of material or enterprise risk.</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 our securities trading policy, all covered persons, including all executive officers and directors, are prohibited from purchasing Company securities on margin or pledging Company securities as collateral.</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our common stock being listed on the Nasdaq Stock Market LLC ("NASDAQ"), Priority adheres to the rules of such exchange in determining whether a director is independent. A director is not independent unless the Board affirmatively determines that he or she does not have a relationship which, in the opinion of the Board, would interfere with the exercise of independent judgment in carrying out the responsibilities of a director in accordance with the NASDAQ corporate governance rules for listed companies. The Board has determined that a majority of our directors, specifically, Messrs, Passilla, Favilla, Hipp and Davis, are independent directors. Our independent directors have regularly scheduled meetings at which only independent directors are present.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Nominating and Governance Committee considers persons identified by its members, management, stockholders, investment bankers and others. The guidelines for selecting nominees, which the Nominating and Governance Committee will take into consideration, include, but are not limited to, provide that persons to be nominated:</w:t>
      </w:r>
    </w:p>
    <w:p>
      <w:pPr>
        <w:spacing w:after="0" w:line="2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and bring a range of skills, diverse perspectives and backgrounds to its deliberations; and</w:t>
      </w: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should have the highest ethical standards, a strong sense of professionalism and intense dedication to serving the interest of stockholders.</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Nominating and Governance Committee considers a number of qualifications relating to management and leadership experience, background, diversity of viewpoints, professional experience, education and skills, and integrity and professionalism in evaluating a person's candidacy for membership on the Board. The Nominating and Governance Committee may require certain skills or attributes, such as financial or accounting experience, to meet specific Board needs that arise from</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time to time and will also consider the overall experience and makeup of its members to obtain a broad and diverse mix of Board members. Any shareholder wishing to recommend a candidate for consideration as a possible director nominee for election at an upcoming meeting of shareholders must provide timely, written notice to Bradley Miller, the Company's General Counsel, Chief Risk Officer, and Corporate Secretary, at the Company's address set forth in the 2021 Notice of Annual Meeting. The Nominating and Governance Committee does not distinguish among nominees recommended by stockholders and other persons.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and Interested Party Communications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Priority's Board does not provide a process for stockholders or other interested parties to send communications to the Board because management believed that it was premature to develop such processes given the limited liquidity of common stock at that time. However, management may establish a process for stockholder and interested party communications in the future.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Directors' Liability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certificate of incorporation and bylaws will indemnify our directors to the fullest extent permitted by the Deleware General Corporation Law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Meetings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met seven times during 2020. Also during 2020, the Audit Committee met five times, the Nominating and Governance Committee met two times, and the Compensation Committee met four times. All of our then directors attended all of the Board meetings during 2020 and all of our then members of the Audit Committee, the Nominating and Governance Committee, and the Compensation Committee attended all of the respective committee meetings during 2020.</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Regarding Attendance at Annual Meetings of Stockholders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director of the Company is expected to be present at annual meetings of stockholders, absent exigent circumstances that prevents their attendance. Where a director is unable to attend an annual meeting in person but is able to do so by electronic conferencing, the Company will arrange for the director's participation by means where the director can hear, and be heard, by those present at the meeting.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Executive sessions of non-management directors are held regularly throughout the year.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Board has the following standing committees: Audit Committee, Compensation Committee, and Nominating and Governance Committee. The charters for each committee are available in the investor relations section of our website at www.prth.com or in print by contacting Mr. Miller at the Company's address. The Board may also establish other committees to assist in the discharge of its responsibilities.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identifies the committee members and committee chairperson (as indicated by a "C") as of the date of this proxy statement:</w:t>
      </w:r>
    </w:p>
    <w:p>
      <w:pPr>
        <w:spacing w:after="0" w:line="113"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37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c>
          <w:tcPr>
            <w:tcW w:w="20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5"/>
              </w:rPr>
              <w:t>Audit</w:t>
            </w:r>
          </w:p>
        </w:tc>
        <w:tc>
          <w:tcPr>
            <w:tcW w:w="20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Compensation</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Nominating and</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gridSpan w:val="2"/>
            <w:vMerge w:val="continue"/>
            <w:shd w:val="clear" w:color="auto" w:fill="CCEEFF"/>
          </w:tcPr>
          <w:p>
            <w:pPr>
              <w:spacing w:after="0"/>
              <w:rPr>
                <w:sz w:val="19"/>
                <w:szCs w:val="19"/>
                <w:color w:val="auto"/>
              </w:rPr>
            </w:pPr>
          </w:p>
        </w:tc>
        <w:tc>
          <w:tcPr>
            <w:tcW w:w="2060" w:type="dxa"/>
            <w:vAlign w:val="bottom"/>
            <w:gridSpan w:val="2"/>
            <w:vMerge w:val="continue"/>
            <w:shd w:val="clear" w:color="auto" w:fill="CCEEFF"/>
          </w:tcPr>
          <w:p>
            <w:pPr>
              <w:spacing w:after="0"/>
              <w:rPr>
                <w:sz w:val="19"/>
                <w:szCs w:val="19"/>
                <w:color w:val="auto"/>
              </w:rPr>
            </w:pPr>
          </w:p>
        </w:tc>
        <w:tc>
          <w:tcPr>
            <w:tcW w:w="2040" w:type="dxa"/>
            <w:vAlign w:val="bottom"/>
            <w:gridSpan w:val="2"/>
            <w:vMerge w:val="continue"/>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Corporate Governance</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3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Thomas Priore</w:t>
            </w:r>
          </w:p>
        </w:tc>
        <w:tc>
          <w:tcPr>
            <w:tcW w:w="100" w:type="dxa"/>
            <w:vAlign w:val="bottom"/>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Priore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Marietta Davis *</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Christina Favilla *</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X</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X</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Stephen Hipp *</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w:t>
            </w:r>
          </w:p>
        </w:tc>
        <w:tc>
          <w:tcPr>
            <w:tcW w:w="19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Passilla *</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X</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40"/>
        </w:trPr>
        <w:tc>
          <w:tcPr>
            <w:tcW w:w="4300" w:type="dxa"/>
            <w:vAlign w:val="bottom"/>
            <w:gridSpan w:val="3"/>
          </w:tcPr>
          <w:p>
            <w:pPr>
              <w:spacing w:after="0"/>
              <w:rPr>
                <w:sz w:val="20"/>
                <w:szCs w:val="20"/>
                <w:color w:val="auto"/>
              </w:rPr>
            </w:pPr>
            <w:r>
              <w:rPr>
                <w:rFonts w:ascii="Arial" w:cs="Arial" w:eastAsia="Arial" w:hAnsi="Arial"/>
                <w:sz w:val="18"/>
                <w:szCs w:val="18"/>
                <w:color w:val="auto"/>
              </w:rPr>
              <w:t>* Independent director</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Board has established an Audit Committee comprised of independent directors. The Audit Committee consists of Michael Passilla, Marietta Davis, Christina Favilla and Stephen Hipp with Mr. Passilla as the chairman of the Audit Committee. Each member of the Audit Committee is independent under NASDAQ listing standards. The Audit Committee has a written charter. The purpose of the Audit Committee is, among other things, to appoint, retain, set compensation of, and supervise our independent accountants, review the results and scope of the audit and other accounting related services and review our accounting practices and systems of internal accounting and disclosure controls.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 income statement and cash flow statement. In addition, Priority is required to certify to the exchange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Mr. Passilla serves as the financial expert on the Audit Committee.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has established a Compensation Committee consisting of Stephen Hipp, Christina Favilla and Michael Passilla, with Mr. Hipp as the chairman of the Compensation Committee. The Compensation Committee has a written charter. Each member of the Compensation Committee is independent under NASDAQ listing standards. The purpose of the Compensation Committee is to review and approve compensation paid to our executive officers and directors and to administer incentive compensation plans, including authority to make and modify awards under such plans. Although the Compensation Committee values and solicits our executive officers’ input regarding executive and director compensation, it retains and exercises sole authority to make decisions regarding such compensation.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Nominating and Governance Committee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has established a Nominating and Governance Committee comprised of Christina Favilla, Marietta Davis, Stephen Hipp and Michael Passilla, with Ms. Favilla as the chairwoman of the Nominating and Governance Committee. Each member of the Nominating and Governance Committee is independent under NASDAQ listing standards. The Nominating and Governance Committee has a written charter. The Nominating and Governance Committee is responsible for overseeing the selection of persons to be nominated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Audit Committee operates pursuant to a charter that is reviewed annually by the Audit Committee. Additionally, a brief description of the primary responsibilities of the Audit Committee is included in this proxy statement under "Corporate Governance-Board Committees-Audit Committee." Under the Audit Committee charter, management is responsible for the preparation, presentation and integrity of the Company's financial statements, the application of accounting and financial reporting principles and our internal controls and procedures designed to assure compliance with accounting standards and applicable laws and regulations. EY, our independent registered public accounting firm, is responsible for auditing our financial statements and expressing an opinion as to their conformity with accounting principles generally accepted in the United States of America.</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performance of its oversight function, the Audit Committee reviewed and discussed the audited financial statements with management and EY. The Audit Committee also discussed with EY the matters required to be discussed by applicable requirements of the Public Company Accounting Oversight Board and the Securities and Exchange Commission. In addition, the Audit Committee received the written disclosures and the letters from EY required by applicable requirements of the Public Company Accounting Oversight Board regarding EY's communications with the Audit Committee concerning independence, and discussed with EY their independence.</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upon the review and discussions described in the preceding paragraph, the Audit Committee recommended to the Board that the audited financial statements of the Company be included in its Annual Report on Form 10-K for the year ended December 31, 2020, filed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Michael Passilla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Marietta Davis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Christina Favilla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Hipp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DELINQUENT SECTION 16(a) REPORTS</w:t>
      </w:r>
    </w:p>
    <w:p>
      <w:pPr>
        <w:spacing w:after="0" w:line="2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Section 16(a) of the Securities Exchange Act of 1934, as amended, requires the Company's directors, executive officers and stockholders who own more than 10% of the Company's stock to file forms with the SEC to report their ownership of the Company's stock and any changes in ownership. The Company assists its directors and executive officers by identifying reportable transactions of which it is aware and preparing and filing their forms on their behalf. All persons required to file forms with the SEC must also send copies of the forms to the Company. We have reviewed all forms provided to us. Given the remote working environment during the COVID-19 Pandemic and the challenges arising from obtaining the necessary signatures, the following Form 3s were late: Anthony Bonventre (1); Marietta Davis (1); Stephen Hipp (1); Ranjana Ram (1); and Pamela Tefft (1) and the following Form 4s were late: Sean Kiewiet (2). All Form 3s and Form 4s have since been filed.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 has opted to comply with the executive compensation disclosure rules applicable to "emerging growth companies" and "smaller reporting companies" as such terms are under the rules promulgated under the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or "NEOs."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NEOs for Priority's year ended December 31, 2020 were:</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Thomas Priore, its President, Chief Executive Officer and Chairman;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Michael Vollkommer, its Chief Financial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Bradley Miller, its General Counsel, Chief Risk Officer, and Corporate Secretary as of February 2020.</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Priority's years ended December 31, 2020 and 2019 for the Named Executive Officers: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9"/>
              </w:rPr>
              <w:t>Non-Equity</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b w:val="1"/>
                <w:bCs w:val="1"/>
                <w:color w:val="auto"/>
                <w:w w:val="85"/>
              </w:rPr>
              <w:t>Change in Pension</w:t>
            </w:r>
          </w:p>
        </w:tc>
        <w:tc>
          <w:tcPr>
            <w:tcW w:w="1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7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b w:val="1"/>
                <w:bCs w:val="1"/>
                <w:color w:val="auto"/>
              </w:rPr>
              <w:t>Option</w:t>
            </w:r>
          </w:p>
        </w:tc>
        <w:tc>
          <w:tcPr>
            <w:tcW w:w="1200" w:type="dxa"/>
            <w:vAlign w:val="bottom"/>
            <w:gridSpan w:val="2"/>
            <w:vMerge w:val="continue"/>
            <w:shd w:val="clear" w:color="auto" w:fill="CCEEFF"/>
          </w:tcPr>
          <w:p>
            <w:pPr>
              <w:spacing w:after="0"/>
              <w:rPr>
                <w:sz w:val="10"/>
                <w:szCs w:val="10"/>
                <w:color w:val="auto"/>
              </w:rPr>
            </w:pPr>
          </w:p>
        </w:tc>
        <w:tc>
          <w:tcPr>
            <w:tcW w:w="120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Value and Deferred</w:t>
            </w:r>
          </w:p>
        </w:tc>
        <w:tc>
          <w:tcPr>
            <w:tcW w:w="1100" w:type="dxa"/>
            <w:vAlign w:val="bottom"/>
            <w:vMerge w:val="restart"/>
            <w:shd w:val="clear" w:color="auto" w:fill="CCEEFF"/>
          </w:tcPr>
          <w:p>
            <w:pPr>
              <w:jc w:val="right"/>
              <w:ind w:right="237"/>
              <w:spacing w:after="0"/>
              <w:rPr>
                <w:sz w:val="20"/>
                <w:szCs w:val="20"/>
                <w:color w:val="auto"/>
              </w:rPr>
            </w:pPr>
            <w:r>
              <w:rPr>
                <w:rFonts w:ascii="Arial" w:cs="Arial" w:eastAsia="Arial" w:hAnsi="Arial"/>
                <w:sz w:val="13"/>
                <w:szCs w:val="13"/>
                <w:b w:val="1"/>
                <w:bCs w:val="1"/>
                <w:color w:val="auto"/>
              </w:rPr>
              <w:t>All Other</w:t>
            </w: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20" w:type="dxa"/>
            <w:vAlign w:val="bottom"/>
            <w:vMerge w:val="restart"/>
            <w:shd w:val="clear" w:color="auto" w:fill="CCEEFF"/>
          </w:tcPr>
          <w:p>
            <w:pPr>
              <w:ind w:left="100"/>
              <w:spacing w:after="0"/>
              <w:rPr>
                <w:sz w:val="20"/>
                <w:szCs w:val="20"/>
                <w:color w:val="auto"/>
              </w:rPr>
            </w:pPr>
            <w:r>
              <w:rPr>
                <w:rFonts w:ascii="Arial" w:cs="Arial" w:eastAsia="Arial" w:hAnsi="Arial"/>
                <w:sz w:val="13"/>
                <w:szCs w:val="13"/>
                <w:b w:val="1"/>
                <w:bCs w:val="1"/>
                <w:color w:val="auto"/>
                <w:w w:val="91"/>
              </w:rPr>
              <w:t>Name and Principal Position</w:t>
            </w:r>
          </w:p>
        </w:tc>
        <w:tc>
          <w:tcPr>
            <w:tcW w:w="56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b w:val="1"/>
                <w:bCs w:val="1"/>
                <w:color w:val="auto"/>
              </w:rPr>
              <w:t>Year</w:t>
            </w: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Salary $</w:t>
            </w:r>
          </w:p>
        </w:tc>
        <w:tc>
          <w:tcPr>
            <w:tcW w:w="32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ind w:left="280"/>
              <w:spacing w:after="0"/>
              <w:rPr>
                <w:sz w:val="20"/>
                <w:szCs w:val="20"/>
                <w:color w:val="auto"/>
              </w:rPr>
            </w:pPr>
            <w:r>
              <w:rPr>
                <w:rFonts w:ascii="Arial" w:cs="Arial" w:eastAsia="Arial" w:hAnsi="Arial"/>
                <w:sz w:val="13"/>
                <w:szCs w:val="13"/>
                <w:b w:val="1"/>
                <w:bCs w:val="1"/>
                <w:color w:val="auto"/>
              </w:rPr>
              <w:t>Bonus $</w:t>
            </w:r>
          </w:p>
        </w:tc>
        <w:tc>
          <w:tcPr>
            <w:tcW w:w="114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Stock Awards $</w:t>
            </w:r>
          </w:p>
        </w:tc>
        <w:tc>
          <w:tcPr>
            <w:tcW w:w="400" w:type="dxa"/>
            <w:vAlign w:val="bottom"/>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120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Incentive</w:t>
            </w:r>
          </w:p>
        </w:tc>
        <w:tc>
          <w:tcPr>
            <w:tcW w:w="1200" w:type="dxa"/>
            <w:vAlign w:val="bottom"/>
            <w:gridSpan w:val="2"/>
            <w:shd w:val="clear" w:color="auto" w:fill="CCEEFF"/>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Compensation</w:t>
            </w:r>
          </w:p>
        </w:tc>
        <w:tc>
          <w:tcPr>
            <w:tcW w:w="1100" w:type="dxa"/>
            <w:vAlign w:val="bottom"/>
            <w:vMerge w:val="continue"/>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137"/>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70"/>
        </w:trPr>
        <w:tc>
          <w:tcPr>
            <w:tcW w:w="1720" w:type="dxa"/>
            <w:vAlign w:val="bottom"/>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Awards $</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4"/>
              </w:rPr>
              <w:t>Compensation $</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7"/>
              </w:rPr>
              <w:t>Earnings $</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94"/>
              </w:rPr>
              <w:t>Compensation $</w:t>
            </w:r>
          </w:p>
        </w:tc>
        <w:tc>
          <w:tcPr>
            <w:tcW w:w="3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7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Thomas Priore</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2020</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737,500</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874,682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874,682</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2,886,864</w:t>
            </w:r>
          </w:p>
        </w:tc>
        <w:tc>
          <w:tcPr>
            <w:tcW w:w="0" w:type="dxa"/>
            <w:vAlign w:val="bottom"/>
          </w:tcPr>
          <w:p>
            <w:pPr>
              <w:spacing w:after="0"/>
              <w:rPr>
                <w:sz w:val="1"/>
                <w:szCs w:val="1"/>
                <w:color w:val="auto"/>
              </w:rPr>
            </w:pPr>
          </w:p>
        </w:tc>
      </w:tr>
      <w:tr>
        <w:trPr>
          <w:trHeight w:val="122"/>
        </w:trPr>
        <w:tc>
          <w:tcPr>
            <w:tcW w:w="1720" w:type="dxa"/>
            <w:vAlign w:val="bottom"/>
          </w:tcPr>
          <w:p>
            <w:pPr>
              <w:ind w:left="140"/>
              <w:spacing w:after="0" w:line="122" w:lineRule="exact"/>
              <w:rPr>
                <w:sz w:val="20"/>
                <w:szCs w:val="20"/>
                <w:color w:val="auto"/>
              </w:rPr>
            </w:pPr>
            <w:r>
              <w:rPr>
                <w:rFonts w:ascii="Arial" w:cs="Arial" w:eastAsia="Arial" w:hAnsi="Arial"/>
                <w:sz w:val="13"/>
                <w:szCs w:val="13"/>
                <w:i w:val="1"/>
                <w:iCs w:val="1"/>
                <w:color w:val="auto"/>
              </w:rPr>
              <w:t>President, Chief Executive</w:t>
            </w:r>
          </w:p>
        </w:tc>
        <w:tc>
          <w:tcPr>
            <w:tcW w:w="440" w:type="dxa"/>
            <w:vAlign w:val="bottom"/>
            <w:vMerge w:val="restart"/>
          </w:tcPr>
          <w:p>
            <w:pPr>
              <w:ind w:left="100"/>
              <w:spacing w:after="0"/>
              <w:rPr>
                <w:sz w:val="20"/>
                <w:szCs w:val="20"/>
                <w:color w:val="auto"/>
              </w:rPr>
            </w:pPr>
            <w:r>
              <w:rPr>
                <w:rFonts w:ascii="Arial" w:cs="Arial" w:eastAsia="Arial" w:hAnsi="Arial"/>
                <w:sz w:val="13"/>
                <w:szCs w:val="13"/>
                <w:color w:val="auto"/>
              </w:rPr>
              <w:t>2019</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500,000</w:t>
            </w:r>
          </w:p>
        </w:tc>
        <w:tc>
          <w:tcPr>
            <w:tcW w:w="3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600,000</w:t>
            </w:r>
          </w:p>
        </w:tc>
        <w:tc>
          <w:tcPr>
            <w:tcW w:w="10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ind w:left="920"/>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ind w:left="920"/>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1,100,000</w:t>
            </w:r>
          </w:p>
        </w:tc>
        <w:tc>
          <w:tcPr>
            <w:tcW w:w="0" w:type="dxa"/>
            <w:vAlign w:val="bottom"/>
          </w:tcPr>
          <w:p>
            <w:pPr>
              <w:spacing w:after="0"/>
              <w:rPr>
                <w:sz w:val="1"/>
                <w:szCs w:val="1"/>
                <w:color w:val="auto"/>
              </w:rPr>
            </w:pPr>
          </w:p>
        </w:tc>
      </w:tr>
      <w:tr>
        <w:trPr>
          <w:trHeight w:val="168"/>
        </w:trPr>
        <w:tc>
          <w:tcPr>
            <w:tcW w:w="1720" w:type="dxa"/>
            <w:vAlign w:val="bottom"/>
          </w:tcPr>
          <w:p>
            <w:pPr>
              <w:ind w:left="140"/>
              <w:spacing w:after="0"/>
              <w:rPr>
                <w:sz w:val="20"/>
                <w:szCs w:val="20"/>
                <w:color w:val="auto"/>
              </w:rPr>
            </w:pPr>
            <w:r>
              <w:rPr>
                <w:rFonts w:ascii="Arial" w:cs="Arial" w:eastAsia="Arial" w:hAnsi="Arial"/>
                <w:sz w:val="13"/>
                <w:szCs w:val="13"/>
                <w:i w:val="1"/>
                <w:iCs w:val="1"/>
                <w:color w:val="auto"/>
              </w:rPr>
              <w:t>Officer, and Chairman</w:t>
            </w: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20"/>
              <w:spacing w:after="0"/>
              <w:rPr>
                <w:sz w:val="20"/>
                <w:szCs w:val="20"/>
                <w:color w:val="auto"/>
              </w:rPr>
            </w:pPr>
            <w:r>
              <w:rPr>
                <w:rFonts w:ascii="Arial" w:cs="Arial" w:eastAsia="Arial" w:hAnsi="Arial"/>
                <w:sz w:val="13"/>
                <w:szCs w:val="13"/>
                <w:color w:val="auto"/>
              </w:rPr>
              <w:t>Michael Vollkommer</w:t>
            </w:r>
          </w:p>
        </w:tc>
        <w:tc>
          <w:tcPr>
            <w:tcW w:w="440" w:type="dxa"/>
            <w:vAlign w:val="bottom"/>
          </w:tcPr>
          <w:p>
            <w:pPr>
              <w:ind w:left="100"/>
              <w:spacing w:after="0"/>
              <w:rPr>
                <w:sz w:val="20"/>
                <w:szCs w:val="20"/>
                <w:color w:val="auto"/>
              </w:rPr>
            </w:pPr>
            <w:r>
              <w:rPr>
                <w:rFonts w:ascii="Arial" w:cs="Arial" w:eastAsia="Arial" w:hAnsi="Arial"/>
                <w:sz w:val="13"/>
                <w:szCs w:val="13"/>
                <w:color w:val="auto"/>
              </w:rPr>
              <w:t>2020</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425,000</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287,500</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750,000</w:t>
            </w:r>
          </w:p>
        </w:tc>
        <w:tc>
          <w:tcPr>
            <w:tcW w:w="400" w:type="dxa"/>
            <w:vAlign w:val="bottom"/>
          </w:tcPr>
          <w:p>
            <w:pPr>
              <w:jc w:val="right"/>
              <w:spacing w:after="0"/>
              <w:rPr>
                <w:sz w:val="20"/>
                <w:szCs w:val="20"/>
                <w:color w:val="auto"/>
              </w:rPr>
            </w:pPr>
            <w:r>
              <w:rPr>
                <w:rFonts w:ascii="Arial" w:cs="Arial" w:eastAsia="Arial" w:hAnsi="Arial"/>
                <w:sz w:val="13"/>
                <w:szCs w:val="13"/>
                <w:color w:val="auto"/>
              </w:rPr>
              <w:t>(3)</w:t>
            </w:r>
          </w:p>
        </w:tc>
        <w:tc>
          <w:tcPr>
            <w:tcW w:w="7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11,400</w:t>
            </w:r>
          </w:p>
        </w:tc>
        <w:tc>
          <w:tcPr>
            <w:tcW w:w="340" w:type="dxa"/>
            <w:vAlign w:val="bottom"/>
          </w:tcPr>
          <w:p>
            <w:pPr>
              <w:jc w:val="right"/>
              <w:spacing w:after="0"/>
              <w:rPr>
                <w:sz w:val="20"/>
                <w:szCs w:val="20"/>
                <w:color w:val="auto"/>
              </w:rPr>
            </w:pPr>
            <w:r>
              <w:rPr>
                <w:rFonts w:ascii="Arial" w:cs="Arial" w:eastAsia="Arial" w:hAnsi="Arial"/>
                <w:sz w:val="13"/>
                <w:szCs w:val="13"/>
                <w:color w:val="auto"/>
              </w:rPr>
              <w:t>(4)</w:t>
            </w:r>
          </w:p>
        </w:tc>
        <w:tc>
          <w:tcPr>
            <w:tcW w:w="780" w:type="dxa"/>
            <w:vAlign w:val="bottom"/>
          </w:tcPr>
          <w:p>
            <w:pPr>
              <w:jc w:val="right"/>
              <w:spacing w:after="0"/>
              <w:rPr>
                <w:sz w:val="20"/>
                <w:szCs w:val="20"/>
                <w:color w:val="auto"/>
              </w:rPr>
            </w:pPr>
            <w:r>
              <w:rPr>
                <w:rFonts w:ascii="Arial" w:cs="Arial" w:eastAsia="Arial" w:hAnsi="Arial"/>
                <w:sz w:val="13"/>
                <w:szCs w:val="13"/>
                <w:color w:val="auto"/>
              </w:rPr>
              <w:t>1,473,900</w:t>
            </w: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Chief Financial Officer</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2019</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425,000</w:t>
            </w:r>
          </w:p>
        </w:tc>
        <w:tc>
          <w:tcPr>
            <w:tcW w:w="3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253,927</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8,859</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678,927</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Bradley Miller</w:t>
            </w:r>
          </w:p>
        </w:tc>
        <w:tc>
          <w:tcPr>
            <w:tcW w:w="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2020</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273,689</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157,500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691,499</w:t>
            </w:r>
          </w:p>
        </w:tc>
        <w:tc>
          <w:tcPr>
            <w:tcW w:w="0" w:type="dxa"/>
            <w:vAlign w:val="bottom"/>
          </w:tcPr>
          <w:p>
            <w:pPr>
              <w:spacing w:after="0"/>
              <w:rPr>
                <w:sz w:val="1"/>
                <w:szCs w:val="1"/>
                <w:color w:val="auto"/>
              </w:rPr>
            </w:pPr>
          </w:p>
        </w:tc>
      </w:tr>
      <w:tr>
        <w:trPr>
          <w:trHeight w:val="122"/>
        </w:trPr>
        <w:tc>
          <w:tcPr>
            <w:tcW w:w="1720" w:type="dxa"/>
            <w:vAlign w:val="bottom"/>
          </w:tcPr>
          <w:p>
            <w:pPr>
              <w:ind w:left="140"/>
              <w:spacing w:after="0" w:line="122" w:lineRule="exact"/>
              <w:rPr>
                <w:sz w:val="20"/>
                <w:szCs w:val="20"/>
                <w:color w:val="auto"/>
              </w:rPr>
            </w:pPr>
            <w:r>
              <w:rPr>
                <w:rFonts w:ascii="Arial" w:cs="Arial" w:eastAsia="Arial" w:hAnsi="Arial"/>
                <w:sz w:val="13"/>
                <w:szCs w:val="13"/>
                <w:i w:val="1"/>
                <w:iCs w:val="1"/>
                <w:color w:val="auto"/>
                <w:w w:val="95"/>
              </w:rPr>
              <w:t>General Counsel, Chief Risk</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20" w:type="dxa"/>
            <w:vAlign w:val="bottom"/>
          </w:tcPr>
          <w:p>
            <w:pPr>
              <w:ind w:left="140"/>
              <w:spacing w:after="0" w:line="122" w:lineRule="exact"/>
              <w:rPr>
                <w:sz w:val="20"/>
                <w:szCs w:val="20"/>
                <w:color w:val="auto"/>
              </w:rPr>
            </w:pPr>
            <w:r>
              <w:rPr>
                <w:rFonts w:ascii="Arial" w:cs="Arial" w:eastAsia="Arial" w:hAnsi="Arial"/>
                <w:sz w:val="13"/>
                <w:szCs w:val="13"/>
                <w:i w:val="1"/>
                <w:iCs w:val="1"/>
                <w:color w:val="auto"/>
              </w:rPr>
              <w:t>Officer, and Corporate</w:t>
            </w:r>
          </w:p>
        </w:tc>
        <w:tc>
          <w:tcPr>
            <w:tcW w:w="440" w:type="dxa"/>
            <w:vAlign w:val="bottom"/>
            <w:vMerge w:val="restart"/>
          </w:tcPr>
          <w:p>
            <w:pPr>
              <w:ind w:left="100"/>
              <w:spacing w:after="0"/>
              <w:rPr>
                <w:sz w:val="20"/>
                <w:szCs w:val="20"/>
                <w:color w:val="auto"/>
              </w:rPr>
            </w:pPr>
            <w:r>
              <w:rPr>
                <w:rFonts w:ascii="Arial" w:cs="Arial" w:eastAsia="Arial" w:hAnsi="Arial"/>
                <w:sz w:val="13"/>
                <w:szCs w:val="13"/>
                <w:color w:val="auto"/>
              </w:rPr>
              <w:t>2019</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ind w:left="920"/>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ind w:left="920"/>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720" w:type="dxa"/>
            <w:vAlign w:val="bottom"/>
          </w:tcPr>
          <w:p>
            <w:pPr>
              <w:ind w:left="140"/>
              <w:spacing w:after="0"/>
              <w:rPr>
                <w:sz w:val="20"/>
                <w:szCs w:val="20"/>
                <w:color w:val="auto"/>
              </w:rPr>
            </w:pPr>
            <w:r>
              <w:rPr>
                <w:rFonts w:ascii="Arial" w:cs="Arial" w:eastAsia="Arial" w:hAnsi="Arial"/>
                <w:sz w:val="13"/>
                <w:szCs w:val="13"/>
                <w:i w:val="1"/>
                <w:iCs w:val="1"/>
                <w:color w:val="auto"/>
              </w:rPr>
              <w:t>Secretary</w:t>
            </w:r>
          </w:p>
        </w:tc>
        <w:tc>
          <w:tcPr>
            <w:tcW w:w="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340" w:hanging="332"/>
        <w:spacing w:after="0" w:line="25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an equity award agreement executed in February 2021 between the Company and Mr. Priore the board granted restricted stock units for 102,542 shares of the Company's common stock with a grant-date fair value of $874,682.</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special transaction-related cash bonus of $400,000 was awarded by the Priority Real Estate Technology LLC (“PRET”) Board of Directors to Mr. Priore in connection with the sale of RentPayments in September 2020.</w:t>
      </w:r>
    </w:p>
    <w:p>
      <w:pPr>
        <w:jc w:val="both"/>
        <w:ind w:left="34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Pursuant to the terms of an employment agreement and an equity award agreement executed in December 2018 between the Company and Mr. Vollkommer that provide for potential annual equity grants in December of each of the years 2018, 2019, 2020, 2021, and 2022, subject to annual approval by the Board. For 2020, the Board granted restricted stock units for 140,713 shares of the Company's common stock in December 2020 with a grant-date fair value of $750,000. For 2019, the Board granted restricted stock units for 107,143 shares of the Company's common stock in February 2020 with a grant-date fair value of $253,927. At vesting of the awards, the Company has not guaranteed that the vested award will have any specific monetary value, nor may Mr. Vollkommer or the Company elect settlement in any deliverable other than shares of the Company's common stock.</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a 401(k) plan matching contribution for Mr. Vollkommer.</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Miller joined the Company in February 2020. This reflects his salary from his start date in 2020. Accordingly, Mr. Miller did not receive any compensation from the Company in 2019.</w:t>
      </w:r>
    </w:p>
    <w:p>
      <w:pPr>
        <w:ind w:left="340" w:hanging="332"/>
        <w:spacing w:after="0"/>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For 2020, the Board in February 2020 granted restricted stock units for 104,603 shares of the Company's common stock with a grant-date fair value of $250,000.</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Reflects a 401(k) plan matching contribution for Mr. Miller.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Thomas Priore</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Mr. Thomas Priore is party to a director agreement among the Priority Payment Systems Holdings LLC and Pipeline Cynergy Holdings, LLC (together referred to as the "Employers") and Priority, dated May 21, 2014 (which we refer to as the "Thomas Priore Director Agreement"). In 2017 and through November 30, 2018, he served as Executive Chairman of Priority as an independent contractor. Effective December 1, 2018, he also became our President and Chief Executive Officer. As Chief Executive Officer, the Compensation Committee set performance goals for Mr. Priore based upon revenue, adjusted EBITDA (a non-GAAP measure), and personal performance goals for determining his short-term and long-term incentive. The 2020 target for both short-term and long-term incentives was $750,000. Mr. Priore exceeded his performance goals and, as a result, the Compensation Committee awarded him a short-term cash bonus incentive of $874,682 and a long-term stock award incentive of $874,682, vesting prospectively over two years.</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Michael Vollkommer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Mr. Michael Vollkommer was appointed as our Chief Financial Officer, effective as of December 3, 2018. On December 21, 2018, Priority and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Vollkommer entered into an Executive Employment Agreement (the "Vollkommer Employment Agreement") dated as of December 20, 2018.</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Vollkommer Employment Agreement, Mr. Vollkommer's receives an annual base salary ($425,000 in both 2020 and 2019) and is eligible for an annual discretionary bonus with a target ranging from 25%-50% of Mr. Vollkommer's annual base salary. No cash bonus was awarded for 2019. If Mr. Vollkommer is terminated for any reason other than Cause or if Mr. Vollkommer terminates his employment for Good Reason, then subject to his execution of a release, he would be entitled to continued payment of his base salary for a period of six months following the date of his termination.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Based on Mr. Vollkommer’s performance in 2020, the Compensation Committee awarded Mr. Vollkommer a discretionary bonus of $287,500.</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Bradley Miller</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has set a discretionary target bonus for Mr. Miller in the range of 25% - 50% of his base salary. Additionally, Mr. Miller may be awarded equity grants from time to time in the discretion of the Compensation Committee. Mr. Miller was granted 209,205 shares when he joined the Company in February 2020 which vest over three years subject to his achieving certain performance goals. Based on his performance in 2020, Mr. Miller was awarded 104,602 shares.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maintains a tax-qualified 401(k) defined contribution plan available to substantially all of our employees. The 401(k) plan is available on the same terms to all of its U.S. employees, including Mr. Miller and Mr. Vollkommer. Mr. Priore does not participate in the plan. Each participant may elect to make a voluntary contribution of an amount between 0% to 100% of his or her eligible compensation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DIRECTORS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Priority's year ended December 31, 2020 for our non-employee directors:</w:t>
      </w:r>
    </w:p>
    <w:p>
      <w:pPr>
        <w:spacing w:after="0" w:line="62"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15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Fees Earned or</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3"/>
                <w:szCs w:val="13"/>
                <w:b w:val="1"/>
                <w:bCs w:val="1"/>
                <w:color w:val="auto"/>
                <w:w w:val="84"/>
              </w:rPr>
              <w:t>Stock</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3"/>
                <w:szCs w:val="13"/>
                <w:b w:val="1"/>
                <w:bCs w:val="1"/>
                <w:color w:val="auto"/>
                <w:w w:val="90"/>
              </w:rPr>
              <w:t>Option</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Non-Equity Incentive</w:t>
            </w:r>
          </w:p>
        </w:tc>
        <w:tc>
          <w:tcPr>
            <w:tcW w:w="1620" w:type="dxa"/>
            <w:vAlign w:val="bottom"/>
            <w:shd w:val="clear" w:color="auto" w:fill="CCEEFF"/>
          </w:tcPr>
          <w:p>
            <w:pPr>
              <w:jc w:val="center"/>
              <w:ind w:right="17"/>
              <w:spacing w:after="0"/>
              <w:rPr>
                <w:sz w:val="20"/>
                <w:szCs w:val="20"/>
                <w:color w:val="auto"/>
              </w:rPr>
            </w:pPr>
            <w:r>
              <w:rPr>
                <w:rFonts w:ascii="Arial" w:cs="Arial" w:eastAsia="Arial" w:hAnsi="Arial"/>
                <w:sz w:val="13"/>
                <w:szCs w:val="13"/>
                <w:b w:val="1"/>
                <w:bCs w:val="1"/>
                <w:color w:val="auto"/>
                <w:w w:val="86"/>
              </w:rPr>
              <w:t>Change in Pension Value</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20" w:type="dxa"/>
            <w:vAlign w:val="bottom"/>
            <w:vMerge w:val="restart"/>
            <w:shd w:val="clear" w:color="auto" w:fill="CCEEFF"/>
          </w:tcPr>
          <w:p>
            <w:pPr>
              <w:ind w:left="340"/>
              <w:spacing w:after="0"/>
              <w:rPr>
                <w:sz w:val="20"/>
                <w:szCs w:val="20"/>
                <w:color w:val="auto"/>
              </w:rPr>
            </w:pPr>
            <w:r>
              <w:rPr>
                <w:rFonts w:ascii="Arial" w:cs="Arial" w:eastAsia="Arial" w:hAnsi="Arial"/>
                <w:sz w:val="13"/>
                <w:szCs w:val="13"/>
                <w:b w:val="1"/>
                <w:bCs w:val="1"/>
                <w:color w:val="auto"/>
              </w:rPr>
              <w:t>Name of Director</w:t>
            </w:r>
          </w:p>
        </w:tc>
        <w:tc>
          <w:tcPr>
            <w:tcW w:w="120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400" w:type="dxa"/>
            <w:vAlign w:val="bottom"/>
            <w:vMerge w:val="continue"/>
            <w:shd w:val="clear" w:color="auto" w:fill="CCEEFF"/>
          </w:tcPr>
          <w:p>
            <w:pPr>
              <w:spacing w:after="0"/>
              <w:rPr>
                <w:sz w:val="10"/>
                <w:szCs w:val="10"/>
                <w:color w:val="auto"/>
              </w:rPr>
            </w:pPr>
          </w:p>
        </w:tc>
        <w:tc>
          <w:tcPr>
            <w:tcW w:w="1620" w:type="dxa"/>
            <w:vAlign w:val="bottom"/>
            <w:shd w:val="clear" w:color="auto" w:fill="CCEEFF"/>
          </w:tcPr>
          <w:p>
            <w:pPr>
              <w:jc w:val="center"/>
              <w:ind w:right="17"/>
              <w:spacing w:after="0" w:line="122" w:lineRule="exact"/>
              <w:rPr>
                <w:sz w:val="20"/>
                <w:szCs w:val="20"/>
                <w:color w:val="auto"/>
              </w:rPr>
            </w:pPr>
            <w:r>
              <w:rPr>
                <w:rFonts w:ascii="Arial" w:cs="Arial" w:eastAsia="Arial" w:hAnsi="Arial"/>
                <w:sz w:val="13"/>
                <w:szCs w:val="13"/>
                <w:b w:val="1"/>
                <w:bCs w:val="1"/>
                <w:color w:val="auto"/>
                <w:w w:val="89"/>
              </w:rPr>
              <w:t>and Non-qualified</w:t>
            </w:r>
          </w:p>
        </w:tc>
        <w:tc>
          <w:tcPr>
            <w:tcW w:w="1140" w:type="dxa"/>
            <w:vAlign w:val="bottom"/>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76"/>
        </w:trPr>
        <w:tc>
          <w:tcPr>
            <w:tcW w:w="1520" w:type="dxa"/>
            <w:vAlign w:val="bottom"/>
            <w:vMerge w:val="continue"/>
            <w:shd w:val="clear" w:color="auto" w:fill="CCEEFF"/>
          </w:tcPr>
          <w:p>
            <w:pPr>
              <w:spacing w:after="0"/>
              <w:rPr>
                <w:sz w:val="15"/>
                <w:szCs w:val="15"/>
                <w:color w:val="auto"/>
              </w:rPr>
            </w:pPr>
          </w:p>
        </w:tc>
        <w:tc>
          <w:tcPr>
            <w:tcW w:w="1200" w:type="dxa"/>
            <w:vAlign w:val="bottom"/>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Paid in Cash $</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6"/>
              </w:rPr>
              <w:t>Awards $</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6"/>
              </w:rPr>
              <w:t>Awards $</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7"/>
              </w:rPr>
              <w:t>Plan Compensation $</w:t>
            </w:r>
          </w:p>
        </w:tc>
        <w:tc>
          <w:tcPr>
            <w:tcW w:w="1620" w:type="dxa"/>
            <w:vAlign w:val="bottom"/>
            <w:shd w:val="clear" w:color="auto" w:fill="CCEEFF"/>
          </w:tcPr>
          <w:p>
            <w:pPr>
              <w:jc w:val="center"/>
              <w:ind w:right="17"/>
              <w:spacing w:after="0"/>
              <w:rPr>
                <w:sz w:val="20"/>
                <w:szCs w:val="20"/>
                <w:color w:val="auto"/>
              </w:rPr>
            </w:pPr>
            <w:r>
              <w:rPr>
                <w:rFonts w:ascii="Arial" w:cs="Arial" w:eastAsia="Arial" w:hAnsi="Arial"/>
                <w:sz w:val="13"/>
                <w:szCs w:val="13"/>
                <w:b w:val="1"/>
                <w:bCs w:val="1"/>
                <w:color w:val="auto"/>
                <w:w w:val="87"/>
              </w:rPr>
              <w:t>Deferred Compensation $</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6"/>
              </w:rPr>
              <w:t>Compensation $</w:t>
            </w:r>
          </w:p>
        </w:tc>
        <w:tc>
          <w:tcPr>
            <w:tcW w:w="46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John Priore</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350,000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18,070</w:t>
            </w:r>
          </w:p>
        </w:tc>
        <w:tc>
          <w:tcPr>
            <w:tcW w:w="4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368,070</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Marietta Davis *</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Christina Favilla</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55,000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100,000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155,000</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William Gahan **</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41,667</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100,000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141,667</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Stephen Hipp</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2,823</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2,823</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Matthew Kearney ***</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62,500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100,000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162,500</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Michael Passilla</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62,500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100,000</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162,500</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 Ms. Davis joined the Board on January 1, 2021.</w:t>
      </w:r>
    </w:p>
    <w:p>
      <w:pPr>
        <w:spacing w:after="0" w:line="19"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Gahan retired from the Board and became an employee of Priority as of December 10, 2020.</w:t>
      </w:r>
    </w:p>
    <w:p>
      <w:pPr>
        <w:spacing w:after="0" w:line="5" w:lineRule="exact"/>
        <w:rPr>
          <w:rFonts w:ascii="Arial" w:cs="Arial" w:eastAsia="Arial" w:hAnsi="Arial"/>
          <w:sz w:val="16"/>
          <w:szCs w:val="16"/>
          <w:color w:val="auto"/>
        </w:rPr>
      </w:pPr>
    </w:p>
    <w:p>
      <w:pPr>
        <w:ind w:left="300" w:hanging="292"/>
        <w:spacing w:after="0"/>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Mr. Kearney retired from the Board as of December 31, 2020.</w:t>
      </w:r>
    </w:p>
    <w:p>
      <w:pPr>
        <w:spacing w:after="0" w:line="234" w:lineRule="exact"/>
        <w:rPr>
          <w:sz w:val="20"/>
          <w:szCs w:val="20"/>
          <w:color w:val="auto"/>
        </w:rPr>
      </w:pPr>
    </w:p>
    <w:p>
      <w:pPr>
        <w:ind w:firstLine="8"/>
        <w:spacing w:after="0" w:line="275" w:lineRule="auto"/>
        <w:tabs>
          <w:tab w:leader="none" w:pos="245"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$18,070 in payments to Mr. John Priore for reimbursement of health insurance premiums for Mr. Priore and his eligible dependents, pursuant to his former employment agreement dated May 14, 2014 and amended November 13, 2018.</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Director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John Priore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Until November 30, 2018, Mr. John Priore served as our President and Chief Executive Officer. Effective as of December 1, 2018, Mr. John Priore was appointed as our Vice-Chairman and served in that role through March 31, 2021.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John Priore entered into a Director Agreement with the Company dated December 1, 2018 (the “John Priore Director Agreement”). Pursuant to the John Priore Director Agreement, Mr. John Priore received a monthly fee of $20,833.34 ($250,000 per year) as Vice-Chairman. He was also eligible to receive a performance fee of up to $12,500 per quarter (up to $50,000 per year). Effective March 31, 2021, the John Priore Director Agreement terminated by its terms. Mr. John Priore, however, remains a director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Independent Director Compensation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independent directors have each entered an agreement to which each receives cash compensation of $50,000 per year, payable in monthly installments and a grant of restricted stock with a grant date fair value $100,000 which vests over four quarters. The chair of the Audit Committee received $15,000 in 2020 in addition to their director cash compensation. The chair of the Nominating and Corporate Governance Committee received $5,000 in 2020 in addition to their director cash compensation.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The independent directors are reimbursed for reasonable and documented out-of-pocket expenses incurred by him in the performance of his duties.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2020 YEAR END</w:t>
      </w:r>
    </w:p>
    <w:p>
      <w:pPr>
        <w:spacing w:after="0" w:line="200" w:lineRule="exact"/>
        <w:rPr>
          <w:sz w:val="20"/>
          <w:szCs w:val="20"/>
          <w:color w:val="auto"/>
        </w:rPr>
      </w:pPr>
    </w:p>
    <w:p>
      <w:pPr>
        <w:spacing w:after="0" w:line="2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information regarding unexercised stock options, stock that has not yet vested, and equity incentive plan awards for each NEO outstanding as of the end of 2020. Each outstanding award is represented by a separate row that indicates the number of securities underlying the award.</w:t>
      </w:r>
    </w:p>
    <w:p>
      <w:pPr>
        <w:spacing w:after="0" w:line="103" w:lineRule="exact"/>
        <w:rPr>
          <w:sz w:val="20"/>
          <w:szCs w:val="20"/>
          <w:color w:val="auto"/>
        </w:rPr>
      </w:pPr>
    </w:p>
    <w:tbl>
      <w:tblPr>
        <w:tblLayout w:type="fixed"/>
        <w:tblInd w:w="380" w:type="dxa"/>
        <w:tblCellMar>
          <w:top w:w="0" w:type="dxa"/>
          <w:left w:w="0" w:type="dxa"/>
          <w:bottom w:w="0" w:type="dxa"/>
          <w:right w:w="0" w:type="dxa"/>
        </w:tblCellMar>
      </w:tblPr>
      <w:tr>
        <w:trPr>
          <w:trHeight w:val="189"/>
        </w:trPr>
        <w:tc>
          <w:tcPr>
            <w:tcW w:w="174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600" w:type="dxa"/>
            <w:vAlign w:val="bottom"/>
            <w:tcBorders>
              <w:bottom w:val="single" w:sz="8" w:color="auto"/>
            </w:tcBorders>
            <w:gridSpan w:val="4"/>
            <w:shd w:val="clear" w:color="auto" w:fill="CCEEFF"/>
          </w:tcPr>
          <w:p>
            <w:pPr>
              <w:ind w:left="1120"/>
              <w:spacing w:after="0"/>
              <w:rPr>
                <w:sz w:val="20"/>
                <w:szCs w:val="20"/>
                <w:color w:val="auto"/>
              </w:rPr>
            </w:pPr>
            <w:r>
              <w:rPr>
                <w:rFonts w:ascii="Arial" w:cs="Arial" w:eastAsia="Arial" w:hAnsi="Arial"/>
                <w:sz w:val="14"/>
                <w:szCs w:val="14"/>
                <w:b w:val="1"/>
                <w:bCs w:val="1"/>
                <w:color w:val="auto"/>
              </w:rPr>
              <w:t>Option Awards</w:t>
            </w:r>
          </w:p>
        </w:tc>
        <w:tc>
          <w:tcPr>
            <w:tcW w:w="7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940" w:type="dxa"/>
            <w:vAlign w:val="bottom"/>
            <w:tcBorders>
              <w:bottom w:val="single" w:sz="8" w:color="auto"/>
            </w:tcBorders>
            <w:gridSpan w:val="3"/>
            <w:shd w:val="clear" w:color="auto" w:fill="CCEEFF"/>
          </w:tcPr>
          <w:p>
            <w:pPr>
              <w:jc w:val="right"/>
              <w:ind w:right="98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Equity Incentive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Equity Incentive</w:t>
            </w:r>
          </w:p>
        </w:tc>
        <w:tc>
          <w:tcPr>
            <w:tcW w:w="13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Plan Awards: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Plan Awards:</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Market or Payout</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Number of</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Value of Unearned</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Securities</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Securities</w:t>
            </w:r>
          </w:p>
        </w:tc>
        <w:tc>
          <w:tcPr>
            <w:tcW w:w="11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Securities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Unearned Shares of</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Shares of Stock,</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Underlying</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Underlying</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060" w:type="dxa"/>
            <w:vAlign w:val="bottom"/>
            <w:tcBorders>
              <w:right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80" w:type="dxa"/>
            <w:vAlign w:val="bottom"/>
          </w:tcPr>
          <w:p>
            <w:pPr>
              <w:spacing w:after="0"/>
              <w:rPr>
                <w:sz w:val="11"/>
                <w:szCs w:val="11"/>
                <w:color w:val="auto"/>
              </w:rPr>
            </w:pPr>
          </w:p>
        </w:tc>
        <w:tc>
          <w:tcPr>
            <w:tcW w:w="16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Stock, Units, or</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Units or Other</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Unexercised</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Unexercised</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Unexercised</w:t>
            </w:r>
          </w:p>
        </w:tc>
        <w:tc>
          <w:tcPr>
            <w:tcW w:w="880" w:type="dxa"/>
            <w:vAlign w:val="bottom"/>
            <w:gridSpan w:val="2"/>
            <w:vMerge w:val="continue"/>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Other Rights That</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Rights That Have</w:t>
            </w:r>
          </w:p>
        </w:tc>
        <w:tc>
          <w:tcPr>
            <w:tcW w:w="0" w:type="dxa"/>
            <w:vAlign w:val="bottom"/>
          </w:tcPr>
          <w:p>
            <w:pPr>
              <w:spacing w:after="0"/>
              <w:rPr>
                <w:sz w:val="1"/>
                <w:szCs w:val="1"/>
                <w:color w:val="auto"/>
              </w:rPr>
            </w:pPr>
          </w:p>
        </w:tc>
      </w:tr>
      <w:tr>
        <w:trPr>
          <w:trHeight w:val="135"/>
        </w:trPr>
        <w:tc>
          <w:tcPr>
            <w:tcW w:w="1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Options</w:t>
            </w: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Options</w:t>
            </w:r>
          </w:p>
        </w:tc>
        <w:tc>
          <w:tcPr>
            <w:tcW w:w="1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Unearned</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tcBorders>
              <w:right w:val="single" w:sz="8" w:color="auto"/>
            </w:tcBorders>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Expiration</w:t>
            </w:r>
          </w:p>
        </w:tc>
        <w:tc>
          <w:tcPr>
            <w:tcW w:w="80" w:type="dxa"/>
            <w:vAlign w:val="bottom"/>
          </w:tcPr>
          <w:p>
            <w:pPr>
              <w:spacing w:after="0"/>
              <w:rPr>
                <w:sz w:val="11"/>
                <w:szCs w:val="11"/>
                <w:color w:val="auto"/>
              </w:rPr>
            </w:pPr>
          </w:p>
        </w:tc>
        <w:tc>
          <w:tcPr>
            <w:tcW w:w="16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Have Not Yet Vested</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Not Yet Vested ($)</w:t>
            </w:r>
          </w:p>
        </w:tc>
        <w:tc>
          <w:tcPr>
            <w:tcW w:w="0" w:type="dxa"/>
            <w:vAlign w:val="bottom"/>
          </w:tcPr>
          <w:p>
            <w:pPr>
              <w:spacing w:after="0"/>
              <w:rPr>
                <w:sz w:val="1"/>
                <w:szCs w:val="1"/>
                <w:color w:val="auto"/>
              </w:rPr>
            </w:pPr>
          </w:p>
        </w:tc>
      </w:tr>
      <w:tr>
        <w:trPr>
          <w:trHeight w:val="188"/>
        </w:trPr>
        <w:tc>
          <w:tcPr>
            <w:tcW w:w="1740" w:type="dxa"/>
            <w:vAlign w:val="bottom"/>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(Exercisable) (#)</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(Unexercisable) (#)</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 (#)</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Price ($)</w:t>
            </w:r>
          </w:p>
        </w:tc>
        <w:tc>
          <w:tcPr>
            <w:tcW w:w="106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0" w:type="dxa"/>
            <w:vAlign w:val="bottom"/>
          </w:tcPr>
          <w:p>
            <w:pPr>
              <w:spacing w:after="0"/>
              <w:rPr>
                <w:sz w:val="1"/>
                <w:szCs w:val="1"/>
                <w:color w:val="auto"/>
              </w:rPr>
            </w:pPr>
          </w:p>
        </w:tc>
      </w:tr>
      <w:tr>
        <w:trPr>
          <w:trHeight w:val="89"/>
        </w:trPr>
        <w:tc>
          <w:tcPr>
            <w:tcW w:w="1740" w:type="dxa"/>
            <w:vAlign w:val="bottom"/>
            <w:tcBorders>
              <w:top w:val="single" w:sz="8" w:color="CCEEFF"/>
            </w:tcBorders>
            <w:shd w:val="clear" w:color="auto" w:fill="CCEEFF"/>
          </w:tcPr>
          <w:p>
            <w:pPr>
              <w:spacing w:after="0"/>
              <w:rPr>
                <w:sz w:val="7"/>
                <w:szCs w:val="7"/>
                <w:color w:val="auto"/>
              </w:rPr>
            </w:pPr>
          </w:p>
        </w:tc>
        <w:tc>
          <w:tcPr>
            <w:tcW w:w="11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3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right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30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130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1740" w:type="dxa"/>
            <w:vAlign w:val="bottom"/>
          </w:tcPr>
          <w:p>
            <w:pPr>
              <w:ind w:left="20"/>
              <w:spacing w:after="0"/>
              <w:rPr>
                <w:sz w:val="20"/>
                <w:szCs w:val="20"/>
                <w:color w:val="auto"/>
              </w:rPr>
            </w:pPr>
            <w:r>
              <w:rPr>
                <w:rFonts w:ascii="Arial" w:cs="Arial" w:eastAsia="Arial" w:hAnsi="Arial"/>
                <w:sz w:val="14"/>
                <w:szCs w:val="14"/>
                <w:color w:val="auto"/>
              </w:rPr>
              <w:t>Thomas Priore</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6"/>
                <w:szCs w:val="16"/>
                <w:color w:val="auto"/>
              </w:rPr>
            </w:pPr>
          </w:p>
        </w:tc>
        <w:tc>
          <w:tcPr>
            <w:tcW w:w="16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1"/>
        </w:trPr>
        <w:tc>
          <w:tcPr>
            <w:tcW w:w="17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740" w:type="dxa"/>
            <w:vAlign w:val="bottom"/>
          </w:tcPr>
          <w:p>
            <w:pPr>
              <w:ind w:left="20"/>
              <w:spacing w:after="0"/>
              <w:rPr>
                <w:sz w:val="20"/>
                <w:szCs w:val="20"/>
                <w:color w:val="auto"/>
              </w:rPr>
            </w:pPr>
            <w:r>
              <w:rPr>
                <w:rFonts w:ascii="Arial" w:cs="Arial" w:eastAsia="Arial" w:hAnsi="Arial"/>
                <w:sz w:val="14"/>
                <w:szCs w:val="14"/>
                <w:color w:val="auto"/>
              </w:rPr>
              <w:t>Michael Vollkommer</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6"/>
                <w:szCs w:val="16"/>
                <w:color w:val="auto"/>
              </w:rPr>
            </w:pPr>
          </w:p>
        </w:tc>
        <w:tc>
          <w:tcPr>
            <w:tcW w:w="1640" w:type="dxa"/>
            <w:vAlign w:val="bottom"/>
            <w:gridSpan w:val="2"/>
          </w:tcPr>
          <w:p>
            <w:pPr>
              <w:ind w:left="760"/>
              <w:spacing w:after="0"/>
              <w:rPr>
                <w:sz w:val="20"/>
                <w:szCs w:val="20"/>
                <w:color w:val="auto"/>
              </w:rPr>
            </w:pPr>
            <w:r>
              <w:rPr>
                <w:rFonts w:ascii="Arial" w:cs="Arial" w:eastAsia="Arial" w:hAnsi="Arial"/>
                <w:sz w:val="14"/>
                <w:szCs w:val="14"/>
                <w:color w:val="auto"/>
              </w:rPr>
              <w:t>194,284 (b)</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1,367,759</w:t>
            </w:r>
          </w:p>
        </w:tc>
        <w:tc>
          <w:tcPr>
            <w:tcW w:w="0" w:type="dxa"/>
            <w:vAlign w:val="bottom"/>
          </w:tcPr>
          <w:p>
            <w:pPr>
              <w:spacing w:after="0"/>
              <w:rPr>
                <w:sz w:val="1"/>
                <w:szCs w:val="1"/>
                <w:color w:val="auto"/>
              </w:rPr>
            </w:pPr>
          </w:p>
        </w:tc>
      </w:tr>
      <w:tr>
        <w:trPr>
          <w:trHeight w:val="98"/>
        </w:trPr>
        <w:tc>
          <w:tcPr>
            <w:tcW w:w="17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4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740" w:type="dxa"/>
            <w:vAlign w:val="bottom"/>
          </w:tcPr>
          <w:p>
            <w:pPr>
              <w:ind w:left="20"/>
              <w:spacing w:after="0"/>
              <w:rPr>
                <w:sz w:val="20"/>
                <w:szCs w:val="20"/>
                <w:color w:val="auto"/>
              </w:rPr>
            </w:pPr>
            <w:r>
              <w:rPr>
                <w:rFonts w:ascii="Arial" w:cs="Arial" w:eastAsia="Arial" w:hAnsi="Arial"/>
                <w:sz w:val="14"/>
                <w:szCs w:val="14"/>
                <w:color w:val="auto"/>
              </w:rPr>
              <w:t>Bradley Miller</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6"/>
                <w:szCs w:val="16"/>
                <w:color w:val="auto"/>
              </w:rPr>
            </w:pPr>
          </w:p>
        </w:tc>
        <w:tc>
          <w:tcPr>
            <w:tcW w:w="1640" w:type="dxa"/>
            <w:vAlign w:val="bottom"/>
            <w:gridSpan w:val="2"/>
          </w:tcPr>
          <w:p>
            <w:pPr>
              <w:ind w:left="760"/>
              <w:spacing w:after="0"/>
              <w:rPr>
                <w:sz w:val="20"/>
                <w:szCs w:val="20"/>
                <w:color w:val="auto"/>
              </w:rPr>
            </w:pPr>
            <w:r>
              <w:rPr>
                <w:rFonts w:ascii="Arial" w:cs="Arial" w:eastAsia="Arial" w:hAnsi="Arial"/>
                <w:sz w:val="14"/>
                <w:szCs w:val="14"/>
                <w:color w:val="auto"/>
              </w:rPr>
              <w:t>104,603 (c)</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736,405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left="880" w:hanging="224"/>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the closing price per share of the Company's common stock of $7.04 as traded on the Nasdaq Global Market on December 31, 2020.</w:t>
      </w:r>
    </w:p>
    <w:p>
      <w:pPr>
        <w:spacing w:after="0" w:line="194" w:lineRule="exact"/>
        <w:rPr>
          <w:rFonts w:ascii="Arial" w:cs="Arial" w:eastAsia="Arial" w:hAnsi="Arial"/>
          <w:sz w:val="16"/>
          <w:szCs w:val="16"/>
          <w:color w:val="auto"/>
        </w:rPr>
      </w:pPr>
    </w:p>
    <w:p>
      <w:pPr>
        <w:jc w:val="both"/>
        <w:ind w:left="660" w:hanging="4"/>
        <w:spacing w:after="0" w:line="251" w:lineRule="auto"/>
        <w:tabs>
          <w:tab w:leader="none" w:pos="8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December 2018 equity award agreement also allows Mr. Vollkommer the eligibility to receive additional annual equity grants with a fair value of up to $750,000 each in December of each of the years 2019, 2020, 2021, and 2022, subject to Board approval. In February 2020, the Board approved the annual award for December 2019 by granting Mr. Vollkommer an additional 107,142 time-based restricted stock units of which 53,571 units vested on December 3, 2020 and 53,571 units are scheduled to vest on December 3, 2021. In December 2020, the Board approved the annual award for December 2020 by granting Mr. Vollkommer an additional 140,713 time-based restricted stock units which are scheduled to vest 50% in December 2021 and 50% in 2022. At vesting, the Company has not guaranteed that the vested award will have any specific monetary value, nor may Mr. Vollkommer or the Company elect settlement in any deliverable other than shares of the Company's common stock.</w:t>
      </w:r>
    </w:p>
    <w:p>
      <w:pPr>
        <w:spacing w:after="0" w:line="219" w:lineRule="exact"/>
        <w:rPr>
          <w:rFonts w:ascii="Arial" w:cs="Arial" w:eastAsia="Arial" w:hAnsi="Arial"/>
          <w:sz w:val="16"/>
          <w:szCs w:val="16"/>
          <w:color w:val="auto"/>
        </w:rPr>
      </w:pPr>
    </w:p>
    <w:p>
      <w:pPr>
        <w:ind w:left="660" w:right="20" w:hanging="4"/>
        <w:spacing w:after="0" w:line="310" w:lineRule="auto"/>
        <w:tabs>
          <w:tab w:leader="none" w:pos="8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February 2020 equity award agreement granted Mr. Miller 209,205 performance based and time-based restricted stock units of which 104,602 units vested in February 2021, 52,302 units are scheduled to vest in February 2022 and 52,302 units are scheduled to vest in February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DIRECTORS, AND EXECUTIVE OFFICERS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the Record Date regarding the beneficial ownership of our common stock by:</w:t>
      </w:r>
    </w:p>
    <w:p>
      <w:pPr>
        <w:spacing w:after="0" w:line="25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person known to be the beneficial owner of more than 5% of our outstanding shares of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director and each named executive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current executive officers and directors as a group.</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w:t>
      </w:r>
    </w:p>
    <w:p>
      <w:pPr>
        <w:spacing w:after="0" w:line="68"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52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Name and Address of Beneficial Owner (1)</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2"/>
              </w:rPr>
              <w:t>Amount and Nature of</w:t>
            </w:r>
          </w:p>
        </w:tc>
        <w:tc>
          <w:tcPr>
            <w:tcW w:w="2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9"/>
              </w:rPr>
              <w:t>Approximate Percentage of</w:t>
            </w:r>
          </w:p>
        </w:tc>
        <w:tc>
          <w:tcPr>
            <w:tcW w:w="0" w:type="dxa"/>
            <w:vAlign w:val="bottom"/>
          </w:tcPr>
          <w:p>
            <w:pPr>
              <w:spacing w:after="0"/>
              <w:rPr>
                <w:sz w:val="1"/>
                <w:szCs w:val="1"/>
                <w:color w:val="auto"/>
              </w:rPr>
            </w:pPr>
          </w:p>
        </w:tc>
      </w:tr>
      <w:tr>
        <w:trPr>
          <w:trHeight w:val="213"/>
        </w:trPr>
        <w:tc>
          <w:tcPr>
            <w:tcW w:w="5260" w:type="dxa"/>
            <w:vAlign w:val="bottom"/>
            <w:gridSpan w:val="2"/>
            <w:vMerge w:val="continue"/>
            <w:shd w:val="clear" w:color="auto" w:fill="CCEEFF"/>
          </w:tcPr>
          <w:p>
            <w:pPr>
              <w:spacing w:after="0"/>
              <w:rPr>
                <w:sz w:val="18"/>
                <w:szCs w:val="18"/>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0"/>
              </w:rPr>
              <w:t>Beneficial Ownership</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Outstanding Common Stock (2)</w:t>
            </w:r>
          </w:p>
        </w:tc>
        <w:tc>
          <w:tcPr>
            <w:tcW w:w="0" w:type="dxa"/>
            <w:vAlign w:val="bottom"/>
          </w:tcPr>
          <w:p>
            <w:pPr>
              <w:spacing w:after="0"/>
              <w:rPr>
                <w:sz w:val="1"/>
                <w:szCs w:val="1"/>
                <w:color w:val="auto"/>
              </w:rPr>
            </w:pPr>
          </w:p>
        </w:tc>
      </w:tr>
      <w:tr>
        <w:trPr>
          <w:trHeight w:val="91"/>
        </w:trPr>
        <w:tc>
          <w:tcPr>
            <w:tcW w:w="5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5% or Greater Stockholders (Other than below):</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gridSpan w:val="2"/>
          </w:tcPr>
          <w:p>
            <w:pPr>
              <w:ind w:left="140"/>
              <w:spacing w:after="0"/>
              <w:rPr>
                <w:sz w:val="20"/>
                <w:szCs w:val="20"/>
                <w:color w:val="auto"/>
              </w:rPr>
            </w:pPr>
            <w:r>
              <w:rPr>
                <w:rFonts w:ascii="Arial" w:cs="Arial" w:eastAsia="Arial" w:hAnsi="Arial"/>
                <w:sz w:val="16"/>
                <w:szCs w:val="16"/>
                <w:color w:val="auto"/>
              </w:rPr>
              <w:t>None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60" w:type="dxa"/>
            <w:vAlign w:val="bottom"/>
            <w:gridSpan w:val="2"/>
          </w:tcPr>
          <w:p>
            <w:pPr>
              <w:spacing w:after="0"/>
              <w:rPr>
                <w:sz w:val="20"/>
                <w:szCs w:val="20"/>
                <w:color w:val="auto"/>
              </w:rPr>
            </w:pPr>
            <w:r>
              <w:rPr>
                <w:rFonts w:ascii="Arial" w:cs="Arial" w:eastAsia="Arial" w:hAnsi="Arial"/>
                <w:sz w:val="16"/>
                <w:szCs w:val="16"/>
                <w:i w:val="1"/>
                <w:iCs w:val="1"/>
                <w:color w:val="auto"/>
              </w:rPr>
              <w:t>Directors and Named Executive Officers: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Thomas Priore (3)</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46,113,250</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68.2 %</w:t>
            </w:r>
          </w:p>
        </w:tc>
        <w:tc>
          <w:tcPr>
            <w:tcW w:w="0" w:type="dxa"/>
            <w:vAlign w:val="bottom"/>
          </w:tcPr>
          <w:p>
            <w:pPr>
              <w:spacing w:after="0"/>
              <w:rPr>
                <w:sz w:val="1"/>
                <w:szCs w:val="1"/>
                <w:color w:val="auto"/>
              </w:rPr>
            </w:pPr>
          </w:p>
        </w:tc>
      </w:tr>
      <w:tr>
        <w:trPr>
          <w:trHeight w:val="213"/>
        </w:trPr>
        <w:tc>
          <w:tcPr>
            <w:tcW w:w="5260" w:type="dxa"/>
            <w:vAlign w:val="bottom"/>
            <w:gridSpan w:val="2"/>
          </w:tcPr>
          <w:p>
            <w:pPr>
              <w:ind w:left="140"/>
              <w:spacing w:after="0"/>
              <w:rPr>
                <w:sz w:val="20"/>
                <w:szCs w:val="20"/>
                <w:color w:val="auto"/>
              </w:rPr>
            </w:pPr>
            <w:r>
              <w:rPr>
                <w:rFonts w:ascii="Arial" w:cs="Arial" w:eastAsia="Arial" w:hAnsi="Arial"/>
                <w:sz w:val="16"/>
                <w:szCs w:val="16"/>
                <w:color w:val="auto"/>
              </w:rPr>
              <w:t>John Priore (4)</w:t>
            </w:r>
          </w:p>
        </w:tc>
        <w:tc>
          <w:tcPr>
            <w:tcW w:w="1920" w:type="dxa"/>
            <w:vAlign w:val="bottom"/>
          </w:tcPr>
          <w:p>
            <w:pPr>
              <w:jc w:val="right"/>
              <w:spacing w:after="0"/>
              <w:rPr>
                <w:sz w:val="20"/>
                <w:szCs w:val="20"/>
                <w:color w:val="auto"/>
              </w:rPr>
            </w:pPr>
            <w:r>
              <w:rPr>
                <w:rFonts w:ascii="Arial" w:cs="Arial" w:eastAsia="Arial" w:hAnsi="Arial"/>
                <w:sz w:val="16"/>
                <w:szCs w:val="16"/>
                <w:color w:val="auto"/>
              </w:rPr>
              <w:t>9,295,618</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13.7 %</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Sean Kiewiet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1,861,659</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3"/>
        </w:trPr>
        <w:tc>
          <w:tcPr>
            <w:tcW w:w="5260" w:type="dxa"/>
            <w:vAlign w:val="bottom"/>
            <w:gridSpan w:val="2"/>
          </w:tcPr>
          <w:p>
            <w:pPr>
              <w:ind w:left="140"/>
              <w:spacing w:after="0"/>
              <w:rPr>
                <w:sz w:val="20"/>
                <w:szCs w:val="20"/>
                <w:color w:val="auto"/>
              </w:rPr>
            </w:pPr>
            <w:r>
              <w:rPr>
                <w:rFonts w:ascii="Arial" w:cs="Arial" w:eastAsia="Arial" w:hAnsi="Arial"/>
                <w:sz w:val="16"/>
                <w:szCs w:val="16"/>
                <w:color w:val="auto"/>
              </w:rPr>
              <w:t>Michael Vollkommer</w:t>
            </w:r>
          </w:p>
        </w:tc>
        <w:tc>
          <w:tcPr>
            <w:tcW w:w="1920" w:type="dxa"/>
            <w:vAlign w:val="bottom"/>
          </w:tcPr>
          <w:p>
            <w:pPr>
              <w:jc w:val="right"/>
              <w:spacing w:after="0"/>
              <w:rPr>
                <w:sz w:val="20"/>
                <w:szCs w:val="20"/>
                <w:color w:val="auto"/>
              </w:rPr>
            </w:pPr>
            <w:r>
              <w:rPr>
                <w:rFonts w:ascii="Arial" w:cs="Arial" w:eastAsia="Arial" w:hAnsi="Arial"/>
                <w:sz w:val="16"/>
                <w:szCs w:val="16"/>
                <w:color w:val="auto"/>
              </w:rPr>
              <w:t>160,713</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Bradley Miller</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104,602</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gridSpan w:val="2"/>
          </w:tcPr>
          <w:p>
            <w:pPr>
              <w:ind w:left="140"/>
              <w:spacing w:after="0"/>
              <w:rPr>
                <w:sz w:val="20"/>
                <w:szCs w:val="20"/>
                <w:color w:val="auto"/>
              </w:rPr>
            </w:pPr>
            <w:r>
              <w:rPr>
                <w:rFonts w:ascii="Arial" w:cs="Arial" w:eastAsia="Arial" w:hAnsi="Arial"/>
                <w:sz w:val="16"/>
                <w:szCs w:val="16"/>
                <w:color w:val="auto"/>
              </w:rPr>
              <w:t>Ranjana Ram</w:t>
            </w:r>
          </w:p>
        </w:tc>
        <w:tc>
          <w:tcPr>
            <w:tcW w:w="1920" w:type="dxa"/>
            <w:vAlign w:val="bottom"/>
          </w:tcPr>
          <w:p>
            <w:pPr>
              <w:jc w:val="right"/>
              <w:spacing w:after="0"/>
              <w:rPr>
                <w:sz w:val="20"/>
                <w:szCs w:val="20"/>
                <w:color w:val="auto"/>
              </w:rPr>
            </w:pPr>
            <w:r>
              <w:rPr>
                <w:rFonts w:ascii="Arial" w:cs="Arial" w:eastAsia="Arial" w:hAnsi="Arial"/>
                <w:sz w:val="16"/>
                <w:szCs w:val="16"/>
                <w:color w:val="auto"/>
              </w:rPr>
              <w:t>164,353</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Dave Faupel</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gridSpan w:val="2"/>
          </w:tcPr>
          <w:p>
            <w:pPr>
              <w:ind w:left="140"/>
              <w:spacing w:after="0"/>
              <w:rPr>
                <w:sz w:val="20"/>
                <w:szCs w:val="20"/>
                <w:color w:val="auto"/>
              </w:rPr>
            </w:pPr>
            <w:r>
              <w:rPr>
                <w:rFonts w:ascii="Arial" w:cs="Arial" w:eastAsia="Arial" w:hAnsi="Arial"/>
                <w:sz w:val="16"/>
                <w:szCs w:val="16"/>
                <w:color w:val="auto"/>
              </w:rPr>
              <w:t>Marietta Davis (6)</w:t>
            </w:r>
          </w:p>
        </w:tc>
        <w:tc>
          <w:tcPr>
            <w:tcW w:w="1920" w:type="dxa"/>
            <w:vAlign w:val="bottom"/>
          </w:tcPr>
          <w:p>
            <w:pPr>
              <w:jc w:val="right"/>
              <w:spacing w:after="0"/>
              <w:rPr>
                <w:sz w:val="20"/>
                <w:szCs w:val="20"/>
                <w:color w:val="auto"/>
              </w:rPr>
            </w:pPr>
            <w:r>
              <w:rPr>
                <w:rFonts w:ascii="Arial" w:cs="Arial" w:eastAsia="Arial" w:hAnsi="Arial"/>
                <w:sz w:val="16"/>
                <w:szCs w:val="16"/>
                <w:color w:val="auto"/>
              </w:rPr>
              <w:t>2,931</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Christina Favilla (5)(6)</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56,123</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60" w:type="dxa"/>
            <w:vAlign w:val="bottom"/>
            <w:gridSpan w:val="2"/>
          </w:tcPr>
          <w:p>
            <w:pPr>
              <w:ind w:left="140"/>
              <w:spacing w:after="0"/>
              <w:rPr>
                <w:sz w:val="20"/>
                <w:szCs w:val="20"/>
                <w:color w:val="auto"/>
              </w:rPr>
            </w:pPr>
            <w:r>
              <w:rPr>
                <w:rFonts w:ascii="Arial" w:cs="Arial" w:eastAsia="Arial" w:hAnsi="Arial"/>
                <w:sz w:val="16"/>
                <w:szCs w:val="16"/>
                <w:color w:val="auto"/>
              </w:rPr>
              <w:t>Stephen Hipp (6)</w:t>
            </w:r>
          </w:p>
        </w:tc>
        <w:tc>
          <w:tcPr>
            <w:tcW w:w="1920" w:type="dxa"/>
            <w:vAlign w:val="bottom"/>
          </w:tcPr>
          <w:p>
            <w:pPr>
              <w:jc w:val="right"/>
              <w:spacing w:after="0"/>
              <w:rPr>
                <w:sz w:val="20"/>
                <w:szCs w:val="20"/>
                <w:color w:val="auto"/>
              </w:rPr>
            </w:pPr>
            <w:r>
              <w:rPr>
                <w:rFonts w:ascii="Arial" w:cs="Arial" w:eastAsia="Arial" w:hAnsi="Arial"/>
                <w:sz w:val="16"/>
                <w:szCs w:val="16"/>
                <w:color w:val="auto"/>
              </w:rPr>
              <w:t>2,931</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Michael Passilla (5)(6)</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132,175</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260" w:type="dxa"/>
            <w:vAlign w:val="bottom"/>
            <w:gridSpan w:val="2"/>
          </w:tcPr>
          <w:p>
            <w:pPr>
              <w:ind w:left="140"/>
              <w:spacing w:after="0"/>
              <w:rPr>
                <w:sz w:val="20"/>
                <w:szCs w:val="20"/>
                <w:color w:val="auto"/>
              </w:rPr>
            </w:pPr>
            <w:r>
              <w:rPr>
                <w:rFonts w:ascii="Arial" w:cs="Arial" w:eastAsia="Arial" w:hAnsi="Arial"/>
                <w:sz w:val="16"/>
                <w:szCs w:val="16"/>
                <w:color w:val="auto"/>
              </w:rPr>
              <w:t>All directors and executive officers as a group (11 individuals)</w:t>
            </w:r>
          </w:p>
        </w:tc>
        <w:tc>
          <w:tcPr>
            <w:tcW w:w="1920" w:type="dxa"/>
            <w:vAlign w:val="bottom"/>
          </w:tcPr>
          <w:p>
            <w:pPr>
              <w:jc w:val="right"/>
              <w:spacing w:after="0"/>
              <w:rPr>
                <w:sz w:val="20"/>
                <w:szCs w:val="20"/>
                <w:color w:val="auto"/>
              </w:rPr>
            </w:pPr>
            <w:r>
              <w:rPr>
                <w:rFonts w:ascii="Arial" w:cs="Arial" w:eastAsia="Arial" w:hAnsi="Arial"/>
                <w:sz w:val="16"/>
                <w:szCs w:val="16"/>
                <w:color w:val="auto"/>
              </w:rPr>
              <w:t>57,894,355</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85.4 %</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______________________________</w:t>
      </w:r>
    </w:p>
    <w:p>
      <w:pPr>
        <w:spacing w:after="0" w:line="30" w:lineRule="exact"/>
        <w:rPr>
          <w:sz w:val="20"/>
          <w:szCs w:val="20"/>
          <w:color w:val="auto"/>
        </w:rPr>
      </w:pPr>
    </w:p>
    <w:p>
      <w:pPr>
        <w:ind w:left="320" w:hanging="132"/>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6"/>
          <w:szCs w:val="16"/>
          <w:color w:val="auto"/>
        </w:rPr>
        <w:t>Less than 1%</w:t>
      </w:r>
    </w:p>
    <w:p>
      <w:pPr>
        <w:spacing w:after="0" w:line="239" w:lineRule="exact"/>
        <w:rPr>
          <w:rFonts w:ascii="Arial" w:cs="Arial" w:eastAsia="Arial" w:hAnsi="Arial"/>
          <w:sz w:val="18"/>
          <w:szCs w:val="18"/>
          <w:b w:val="1"/>
          <w:bCs w:val="1"/>
          <w:color w:val="auto"/>
        </w:rPr>
      </w:pPr>
    </w:p>
    <w:p>
      <w:pPr>
        <w:ind w:left="660" w:hanging="4"/>
        <w:spacing w:after="0" w:line="275" w:lineRule="auto"/>
        <w:tabs>
          <w:tab w:leader="none" w:pos="889" w:val="left"/>
        </w:tabs>
        <w:numPr>
          <w:ilvl w:val="1"/>
          <w:numId w:val="23"/>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c/o Priority Technology Holdings, Inc., 2001 Westside Parkway, Alpharetta, GA 30004.</w:t>
      </w:r>
    </w:p>
    <w:p>
      <w:pPr>
        <w:spacing w:after="0" w:line="199" w:lineRule="exact"/>
        <w:rPr>
          <w:rFonts w:ascii="Arial" w:cs="Arial" w:eastAsia="Arial" w:hAnsi="Arial"/>
          <w:sz w:val="16"/>
          <w:szCs w:val="16"/>
          <w:color w:val="auto"/>
        </w:rPr>
      </w:pPr>
    </w:p>
    <w:p>
      <w:pPr>
        <w:jc w:val="both"/>
        <w:ind w:left="660" w:hanging="4"/>
        <w:spacing w:after="0" w:line="261" w:lineRule="auto"/>
        <w:tabs>
          <w:tab w:leader="none" w:pos="903"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percentage of beneficial ownership of Priority is calculated based on 67,781,142 shares of common stock outstanding. Unless otherwise indicated, we believe that all persons named in the table have sole voting and investment power with respect to all shares of common stock beneficially owned by them as of the date indicated.</w:t>
      </w:r>
    </w:p>
    <w:p>
      <w:pPr>
        <w:spacing w:after="0" w:line="209" w:lineRule="exact"/>
        <w:rPr>
          <w:rFonts w:ascii="Arial" w:cs="Arial" w:eastAsia="Arial" w:hAnsi="Arial"/>
          <w:sz w:val="16"/>
          <w:szCs w:val="16"/>
          <w:color w:val="auto"/>
        </w:rPr>
      </w:pPr>
    </w:p>
    <w:p>
      <w:pPr>
        <w:jc w:val="both"/>
        <w:ind w:left="660" w:hanging="4"/>
        <w:spacing w:after="0" w:line="278" w:lineRule="auto"/>
        <w:tabs>
          <w:tab w:leader="none" w:pos="889" w:val="left"/>
        </w:tabs>
        <w:numPr>
          <w:ilvl w:val="1"/>
          <w:numId w:val="23"/>
        </w:numPr>
        <w:rPr>
          <w:rFonts w:ascii="Arial" w:cs="Arial" w:eastAsia="Arial" w:hAnsi="Arial"/>
          <w:sz w:val="15"/>
          <w:szCs w:val="15"/>
          <w:color w:val="auto"/>
        </w:rPr>
      </w:pPr>
      <w:r>
        <w:rPr>
          <w:rFonts w:ascii="Arial" w:cs="Arial" w:eastAsia="Arial" w:hAnsi="Arial"/>
          <w:sz w:val="15"/>
          <w:szCs w:val="15"/>
          <w:color w:val="auto"/>
        </w:rPr>
        <w:t>Includes 10,000,000 shares of the Company's common stock directly held by Lori A. Priore, the spouse of Thomas C. Priore, in her capacity as trustee of the Thomas Priore 2019 GRAT, for the benefit of Lori A. Priore and the children of Thomas C. Priore and Lori A. Priore. Also includes 2,500,000 shares of the Company's common stock held by Lori A. Priore, the spouse of Thomas C. Priore, and Bernard H. Smyers, in their capacity as trustees of the Thomas C. Priore Irrevocable Insurance Trust u/a/d 1/8/2010, for the benefit of Lori A. Priore and the children of Thomas C. Priore and Lori A. Priore.</w:t>
      </w:r>
    </w:p>
    <w:p>
      <w:pPr>
        <w:spacing w:after="0" w:line="200"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As of the Record Date, Thomas Priore had pledged, hypothecated or granted security interests in substantially 46,113,250 shares of our common stock held by him pursuant to a margin loan agreement. In the event of a default under the margin loan agreement, the secured parties may foreclose upon any and all shares of common stock pledged to them.</w:t>
      </w:r>
    </w:p>
    <w:p>
      <w:pPr>
        <w:spacing w:after="0" w:line="210" w:lineRule="exact"/>
        <w:rPr>
          <w:sz w:val="20"/>
          <w:szCs w:val="20"/>
          <w:color w:val="auto"/>
        </w:rPr>
      </w:pPr>
    </w:p>
    <w:p>
      <w:pPr>
        <w:ind w:left="660" w:right="20" w:hanging="4"/>
        <w:spacing w:after="0" w:line="275" w:lineRule="auto"/>
        <w:tabs>
          <w:tab w:leader="none" w:pos="903"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9,295,618 shares of the Company's common stock directly held by AESV Credit Card Consulting LLC, which is controlled by John Priore. John Priore may be deemed to beneficially own such shares of stock directly or indirectly controlled by him.</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660" w:right="20" w:hanging="4"/>
        <w:spacing w:after="0" w:line="275" w:lineRule="auto"/>
        <w:tabs>
          <w:tab w:leader="none" w:pos="891"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April 1, 2020, the four independent board members were each granted 53,192 restricted stock units which vest 25% on April 1, 2020, 25% on July 1, 2020, 25% on October 1, 2020, and 25% on January 1, 2021 subject to continued service as a director of Priority.</w:t>
      </w:r>
    </w:p>
    <w:p>
      <w:pPr>
        <w:spacing w:after="0" w:line="199" w:lineRule="exact"/>
        <w:rPr>
          <w:rFonts w:ascii="Arial" w:cs="Arial" w:eastAsia="Arial" w:hAnsi="Arial"/>
          <w:sz w:val="16"/>
          <w:szCs w:val="16"/>
          <w:color w:val="auto"/>
        </w:rPr>
      </w:pPr>
    </w:p>
    <w:p>
      <w:pPr>
        <w:ind w:left="660" w:hanging="4"/>
        <w:spacing w:after="0" w:line="275" w:lineRule="auto"/>
        <w:tabs>
          <w:tab w:leader="none" w:pos="891"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April 1, 2021, the four independent board members were each granted 11,724 restricted stock units which vest 25% on April 1, 2021, 25% on July 1, 2021, 25% on October 1, 2021, and 25% on January 1, 2022 subject to continued service as a director of Priority.</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TRANSACTIONS WITH RELATED PERSONS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In-Kind Distributions of Common Stock of Priority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6, 2020, Priority Incentive Equity Holdings, LLC ("PIEH") made in-kind distributions of 620,810 shares of common stock of Priority to Sean Kiewiet, a holder of ownership interest in PIEH. Thomas Priore is the managing member of Priority Investment Holdings LLC, which is the non-member manager of PIEH. Thomas Priore disclaimed beneficial ownership of the securities held by PIEH except to the extent of his pecuniary interest therein, if any.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PROPOSAL NUMBER ONE</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ELECTION OF DIRECTORS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certificate of incorporation and bylaws currently provide that the number of directors constituting the Board shall be determined solely and exclusively by resolution duly adopted from time to time by the Board. There are six directors presently serving on our Board, and the number of directors to be elected at this Annual Meeting is six.</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proposes that the following six director nominees be elected to the Board to serve until the next annual meeting in 2022, or until his or her earlier resignation, death, or removal.</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Nominees for Directors</w:t>
            </w:r>
          </w:p>
        </w:tc>
        <w:tc>
          <w:tcPr>
            <w:tcW w:w="2160" w:type="dxa"/>
            <w:vAlign w:val="bottom"/>
          </w:tcPr>
          <w:p>
            <w:pPr>
              <w:spacing w:after="0"/>
              <w:rPr>
                <w:sz w:val="20"/>
                <w:szCs w:val="20"/>
                <w:color w:val="auto"/>
              </w:rPr>
            </w:pPr>
          </w:p>
        </w:tc>
      </w:tr>
      <w:tr>
        <w:trPr>
          <w:trHeight w:val="499"/>
        </w:trPr>
        <w:tc>
          <w:tcPr>
            <w:tcW w:w="6560" w:type="dxa"/>
            <w:vAlign w:val="bottom"/>
            <w:gridSpan w:val="3"/>
          </w:tcPr>
          <w:p>
            <w:pPr>
              <w:spacing w:after="0"/>
              <w:rPr>
                <w:sz w:val="20"/>
                <w:szCs w:val="20"/>
                <w:color w:val="auto"/>
              </w:rPr>
            </w:pPr>
            <w:r>
              <w:rPr>
                <w:rFonts w:ascii="Arial" w:cs="Arial" w:eastAsia="Arial" w:hAnsi="Arial"/>
                <w:sz w:val="18"/>
                <w:szCs w:val="18"/>
                <w:color w:val="auto"/>
                <w:w w:val="92"/>
              </w:rPr>
              <w:t>Each nominee is listed below, along with their age as of the date of this proxy statement.</w:t>
            </w:r>
          </w:p>
        </w:tc>
        <w:tc>
          <w:tcPr>
            <w:tcW w:w="2160" w:type="dxa"/>
            <w:vAlign w:val="bottom"/>
          </w:tcPr>
          <w:p>
            <w:pPr>
              <w:spacing w:after="0"/>
              <w:rPr>
                <w:sz w:val="24"/>
                <w:szCs w:val="24"/>
                <w:color w:val="auto"/>
              </w:rPr>
            </w:pPr>
          </w:p>
        </w:tc>
      </w:tr>
      <w:tr>
        <w:trPr>
          <w:trHeight w:val="122"/>
        </w:trPr>
        <w:tc>
          <w:tcPr>
            <w:tcW w:w="254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tcPr>
          <w:p>
            <w:pPr>
              <w:spacing w:after="0"/>
              <w:rPr>
                <w:sz w:val="10"/>
                <w:szCs w:val="10"/>
                <w:color w:val="auto"/>
              </w:rPr>
            </w:pPr>
          </w:p>
        </w:tc>
      </w:tr>
      <w:tr>
        <w:trPr>
          <w:trHeight w:val="229"/>
        </w:trPr>
        <w:tc>
          <w:tcPr>
            <w:tcW w:w="2540" w:type="dxa"/>
            <w:vAlign w:val="bottom"/>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183"/>
        </w:trPr>
        <w:tc>
          <w:tcPr>
            <w:tcW w:w="2540" w:type="dxa"/>
            <w:vAlign w:val="bottom"/>
          </w:tcPr>
          <w:p>
            <w:pPr>
              <w:spacing w:after="0"/>
              <w:rPr>
                <w:sz w:val="15"/>
                <w:szCs w:val="15"/>
                <w:color w:val="auto"/>
              </w:rPr>
            </w:pPr>
          </w:p>
        </w:tc>
        <w:tc>
          <w:tcPr>
            <w:tcW w:w="3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r>
      <w:tr>
        <w:trPr>
          <w:trHeight w:val="229"/>
        </w:trPr>
        <w:tc>
          <w:tcPr>
            <w:tcW w:w="2540" w:type="dxa"/>
            <w:vAlign w:val="bottom"/>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Priore</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r>
      <w:tr>
        <w:trPr>
          <w:trHeight w:val="230"/>
        </w:trPr>
        <w:tc>
          <w:tcPr>
            <w:tcW w:w="254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John Priore</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229"/>
        </w:trPr>
        <w:tc>
          <w:tcPr>
            <w:tcW w:w="2540" w:type="dxa"/>
            <w:vAlign w:val="bottom"/>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Marietta Davis</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r>
      <w:tr>
        <w:trPr>
          <w:trHeight w:val="230"/>
        </w:trPr>
        <w:tc>
          <w:tcPr>
            <w:tcW w:w="254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Christina Favilla</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29"/>
        </w:trPr>
        <w:tc>
          <w:tcPr>
            <w:tcW w:w="2540" w:type="dxa"/>
            <w:vAlign w:val="bottom"/>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P. Hipp</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r>
      <w:tr>
        <w:trPr>
          <w:trHeight w:val="230"/>
        </w:trPr>
        <w:tc>
          <w:tcPr>
            <w:tcW w:w="254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Michael Passilla</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54</w:t>
            </w:r>
          </w:p>
        </w:tc>
      </w:tr>
    </w:tbl>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biographical information about the nominees as of the date of this proxy statement can be found above under "Executive Officers and Board of Directors."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our bylaws, a nominee must receive the vote of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TWO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PRIORITY TECHNOLOGY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approved the Priority Technology Holdings, Inc. 2021 Employee Stock Purchase Plan (the “2021 Stock Purchase Plan”) on April 16, 2021, subject to shareholder approval. If the shareholders approve the 2021 Stock Purchase Plan, it will become operative on July 1, 2021. The 2021 Stock Purchase Plan is intended to encourage a sense of proprietorship on the part of the Company’s eligible employees by assisting them in making regular purchases of shares of Common Stock, thereby further aligning the interests of employees and shareholders in the future growth and financial success of the Company.</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2021 Stock Purchase Plan is intended to qualify for favorable tax treatment under Section 423 of the Internal Revenue Code. Under the 2021 Stock Purchase Plan, eligible employees of the Company and its designated subsidiaries may purchase Common Stock, subject to IRS and other limits set forth in the 2021 Stock Purchase Plan, during pre-specified offering periods at a discount established by the Company not to exceed 5% of fair market value. If the 2021 Stock Purchase Plan is approved by the Company’s shareholders, our executive officers will be eligible to participate in the plan on the same terms and conditions as all other participating employees.</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material terms of the 2021 Stock Purchase Plan are summarized below. The summary is subject to and qualified in its entirety by reference to the full text of the 2021 Stock Purchase Plan, which is included as Appendix 1 to this proxy statement and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the Material Terms of the 2021 Stock Purchase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2021 Stock Purchase Plan is designed to provide eligible employees of the Company and its designated subsidiaries with an opportunity to purchase Common Stock of the Company through payroll deductions. The 2021 Stock Purchase Plan is intended to qualify as an “employee stock purchase plan” under Section 423 of the Internal Revenue Code. Accordingly, the provisions of the plan shall be construed and operated in a manner consistent with the requirements of Section 423 of the Internal Revenue Code and the regulations promulgated thereunder.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2021 Stock Purchase Plan is administered by the Board, which may delegate authority under the 2021 Stock Purchase Plan to one or more persons designated by the Board, including members of a committee of the Board, members of management of the Company and/or members of the human resources function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Available Under the 2021 Stock Purchase Plan</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maximum number of shares of our Common Stock available for purchase under the 2021 Stock Purchase Plan is []. The Company has not yet issued any shares of Common Stock under the 2021 Stock Purchase Plan. As of [], 2021, the closing price of a share of Common Stock was [$].</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Employees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Any eligible person who is employed by, and who is classified as an employee on the payroll records, of the Company or any of its designated subsidiaries on the first day of an offering period is eligible to participate in the 2021 Stock Purchase Plan, except that any employee who owns 5% or more of the combined voting power or value of all of the issued and outstanding stock of the Company, after giving effect to the grant of an option to purchase shares under the 2021 Stock Purchase Plan, will not be eligible to participate. To be eligible, the employee must not be customarily employed for 20 hours or less per week or for not more than five months per year and must have been employed for at least 30 days. As of [], 2021, the number of employees who would be eligible to participate in the 2021 Stock Purchase Plan was approximately [], which number represents all of the officers and employees of the Company and its designated subsidiaries.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2021 Stock Purchase Plan, participants are offered, on the first day of the offering period, the option to purchase shares of Common Stock at a discount on the last day of the offering period. Unless a participant previously canceled his or her participation in the 2021 Stock Purchase Plan, the participant shall automatically purchase the number of whole shares of Common Stock that his or her accumulated payroll deductions will buy at the purchase price stated below. No fractional shares will be purchased. Accordingly, the balance of a participant’s contributions that results from not purchasing fractional shares will be carried forward to the next offering period unless the participant elects to withdraw from the 2021 Stock Purchase Plan or the administrator determines that such surplus shall not be carried forward subject to compliance with the Company’s insider trading policy. A participant may cancel his or her payroll deduction authorization at the time prior to the last day of the offering period established by the administrator. A participant will be deemed to have withdrawn from the 2021 Stock Purchase Plan if he or she ceases to be eligible to participate.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Period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decision on when to commence offering periods under the plan will be made if the 2021 Stock Purchase Plan is approved by the shareholders. Unless otherwise determined by the administrator, each offering period shall be for a period of three months, and it is expected that the initial offering period will begin on July 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2021 Stock Purchase Plan limits the number of shares that a participant may purchase in a calendar year to the number of shares of Common Stock that has a fair market value (as of the date of grant of the option for the applicable offering period) equal to $25,000. Subject to the calendar year limits of $25,000, the participant may not contribute more than $5,000 per offering period (or such other amount as may be established by the administrator) nor more than forty percent (40%) of the Participant’s eligible compensation per offering period (or such other percentage as may be established by the administrator). The administrator may also set a maximum aggregate number of shares or maximum aggregate fair market value of shares that may be purchased with respect to any offering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purchase price per share with respect to an offering period shall be 95% of the lesser of the fair market value of a share on the first day of the offering period or the last day of the offering period; provided, however, the purchase price may be determined for subsequent offering periods by the Administrator subject to compliance with Section 423 of the Code (or any successor rule or provision or any other applicable law, regulation or stock exchange rule) or pursuant to an amendment to the Plan. For so long as the Common Stock is listed on NASDAQ or some other established stock exchange, the fair market value of a share of Common Stock on any given date will be equal to the closing sale price of Common Stock on the exchange on which it is listed on the immediately preceding trading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Shares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purchase of shares of Common Stock for a participant shall be effected at the end of each offering period. No participant has any rights as a shareholder until the issuance of the shares. No adjustments will be made for any dividends for which the record date is prior to the issuance of the shares. Notwithstanding any other provision of the 2021 Stock Purchase Plan, a participant may not purchase in any offering period more than that number of whole shares which equals $25,000 divided by the fair market value of a share of Common Stock as of the first day of the offering period. Shares of Common Stock purchased under the Plan may be subject to any such holding restrictions that the Administrator shall determine to be appropriate with respect to any Offering Period consistent with Section 423 of the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Capitalization or Other Corporate Event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number or kind of shares of Common Stock available for purchase under the 2021 Stock Purchase Plan, as well as the number or kind of shares covered by a purchase right under the 2021 Stock Purchase Plan that has not yet been exercised, shall be equitably adjusted as necessary or appropriate to reflect any stock dividend, extraordinary dividend, stock split or share recombination or any recapitalization, merger, consolidation, exchange of shares, spin-off, liquidation or dissolution of the Company or other similar transaction affecting the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a Change in Control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a future Change in Control of the Company (as defined in the 2021 Stock Purchase Plan), the administrator, in its sole discretion, may take whatever action it deems necessary or appropriate in connection therewith, including, but not limited to (i) shortening any offering period then in progress such that the last day of the offering period is on or prior to the Change in Control, (ii) shortening an offering period then in progress and refunding each participant’s contributions, (iii) cancelling all outstanding share purchase rights and paying each holder thereof an amount equal to the difference between the per share fair market value on the date of the Change in Control and the purchase price as determined in accordance with the plan or (iv) granting a substitute right to purchase shares in the surviving entity in accordance with Section 424 of the Internal Revenue Code.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of Plan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2021 Stock Purchase Plan shall terminate on the earlier of (i) April 16, 2031, (ii) the termination of the plan by the administrator as discussed below or (iii) the date on which no more shares of Common Stock are available for issuance under the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 right or interest of a participant under the 2021 Stock Purchase Plan is transferable except for transfers by will or the laws of descent and distribution.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or Alteration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administrator may at any time amend, suspend, discontinue or terminate the 2021 Stock Purchase Plan; provided that if the plan is amended in a manner that is considered the adoption of a new plan pursuant to Section 423 of the Code, such amendment shall not be effective until approved by the Company’s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Plan Benefits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purchases have been made at this time under the 2021 Stock Purchase Plan. Participation in the 2021 Stock Purchase Plan is voluntary and depends on each employee’s election to participate and his or her determination as to the level of contributions to the 2021 Stock Purchase Plan. Accordingly, it is not possible to determine the future benefits that will be received under the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Consequences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Generally, no income will be taxable to a participant at the time shares of Common Stock are purchased under the 2021 Stock Purchase Plan. Upon the sale or disposition of shares of Common Stock purchased under the 2021 Stock Purchase Plan, the participant generally will be liable for tax, and the amount of the tax will depend on the holding period of the shares. If the shares are sold or otherwise disposed of more than one year after the purchase date and more than two years after the first day of the applicable offering period, or if the participant dies prior to such sale or other disposition, then the participant generally will recognize ordinary income measured as the lesser of: (i) the excess of the fair market value of the shares at the time of such sale or disposition or death over the purchase price paid by the participant, or (ii) the excess of the fair market value of the shares on the first day of the applicable offering period over the purchase price paid by the participant. Any gain in excess of the amount of ordinary income recognized by the participant generally will be treated as long-term capital gain.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shares are sold or otherwise disposed of before the expiration of the one-year or two-year holding periods described above, and before the participant’s death, the participant generally will recognize ordinary income in an amount equal to the excess of the fair market value of the shares on the date the shares are purchased over the purchase price. Any additional gain or loss on such sale or disposition will be long-term or short-term capital gain or loss, depending on the holding period of the shares.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will not be entitled to a deduction with respect to shares of Common Stock purchased under the 2021 Stock Purchase Plan, unless the participant disposes of such shares prior to the expiration of the one-year or two-year holding periods described above. In that event, the Company generally will be entitled to a deduction only to the extent ordinary income is recognized by the participant upon a sale or disposition prior to the expiration of the holding periods described above.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approval of Proposal Number Two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you vote FOR approval of the Priority Technology Holdings, Inc. 2021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NUMBER THREE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AN AMENDMENT TO OUR SECOND AMENDED AND RESTATED CERTIFICATE OF INCORPORATION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ELIMINATE SUPERMAJORITY VOTING REQUIREMENTS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believes that each voting requirement in our Second Amended and Restated Certificate of Incorporation” (“Existing Certificate”) that calls for a greater than a simple majority vote are no longer needed and should be eliminated and replaced by a majority voting standard. Pursuant to this Proposal Three, we are proposing for stockholder approval a Certificate of Amendment to the Certificate to eliminate all such super-majority voting requirements contained in the Certificate. Our Board has determined that the Certificate of Amendment is in the best interests of the Company’s stockholders and unanimously adopted a resolution approving and declaring the advisability of the Certificate of Amendment, which changes the voting provisions in the Certificate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the Certificate of Incorporation; Article V, Section A</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Currently, if at any time when Priority Investment Holdings, LLC and Priority Incentive Equity Holdings, LLC or their affiliates (the “Priority Holders”) beneficially own, in the aggregate, less than 40% in voting power of the stock of the Company entitled to vote generally in the election of directors, the approval of at least 66 2/3% of the shares of the Company entitled to vote on such matter is required to amend, alter or repeal the Certificate. If this proposal is approved, the threshold approval for stockholders to amend or repeal the Certificate will be a vote of the majority of the outstanding shares of the Company entitled to vote on such amendment or repeal, which is the lowest allowable vote threshold under Delaware law.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Bylaw Amendments; Article V, Section B</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if at any time the Priority Holders beneficially own, in the aggregate, less than 40% in voting power of the stock of the Company entitled to vote generally in the election of directors, the Certificate allows stockholders to amend or repeal our bylaws if at least 66 2/3% of the shares of the Company entitled to vote on such matter vote in favor of the amendment or repeal. If this proposal is approved, stockholders will have the ability to amend our bylaws with the affirmative vote of a majority of the shares cast and entitled to vote on such matter, which is the lowest allowable vote threshold under Delaware law.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Article VI, Section D</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Currently, if at any time the Priority Holders beneficially own, in the aggregate, less than 40% in voting power of the stock of the Company entitled to vote generally in the election of directors, the approval of the holders of 66 2/3% of the votes that would be entitled to vote at an election of directors is required to remove a director from office prior to the expiration of his or her term with cause. If this proposal is approved, stockholders will have the ability to remove a director from office prior to the expiration of his or her term with cause with the affirmative vote of a majority of the shares of the Company entitled to vote at an election of directors, which is the lowest allowable vote threshold under Delaware law.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Meeting; Article VII, Section B</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Currently, if at any time the Priority Holders beneficially own, in the aggregate, at least 40% in voting power of the stock of the Company entitled to vote generally in the election of directors, any action required or permitted by the General Corporation Law of the State of Delaware to be taken at a stockholders’ meeting may be taken without a meeting and without prior notice and without a vote. If this proposal is approved, Priority Holders, regardless of their percentage of voting power of the stock of the Company, must hold a meeting in order to take any action.</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description of the proposed amendments to our Certificate is a summary and is qualified by the full text of the proposed Certificate of Amendment to our Certificate, which is attached to this Proxy Statement as Annex 1 and is incorporated herein by reference.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approval of Proposal Number Three requires the affirmative vote of a majority of the votes properly cast at our Annual Meeting. Abstentions are not considered votes cast and thus will not affect the outcome of this proposal. A broker or other</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nominee will generally have discretionary authority to vote on this proposal because it is considered a routine matter, and, therefore, we do not expect broker non-votes with respect to this proposal</w:t>
      </w:r>
    </w:p>
    <w:p>
      <w:pPr>
        <w:spacing w:after="0" w:line="19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Board of directors recommends that our shareholders vote FOR the approval of amendments to our Second Amended and Restated Certificate of Incorporation to eliminate supermajority voting requirements.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NUMBER FOUR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RATIFICATION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Audit Committee of the Board has appointed EY to serve as the Company's independent registered public accounting firm for the year ending December 31, 2021. The Board is submitting the appointment of EY as the Company's independent registered public accounting firm for stockholder ratification and recommends that stockholders ratify this appointment. Stockholder ratification of the appointment of EY is not required by law or otherwise. The Board is submitting this matter to stockholders for ratification because the Board believes it to be a good corporate governance practice. If the stockholders do not ratify the appointment, the Audit Committee may reconsider whether to retain EY. Even if the appointment is ratified, the Audit Committee may appoint a different independent registered public accounting firm at any time during the year if, in its discretion, it determines that such a change would be in the Company's best interest and that of the Company's stockholders. A representative of EY is expected to attend the Annual Meeting, and he or she will have the opportunity to make a statement and will be available to respond to appropriate questions. For additional information regarding the Company's relationship with EY, please refer to the Audit Committee Report above.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Accounting Fees and Services</w:t>
      </w:r>
    </w:p>
    <w:p>
      <w:pPr>
        <w:spacing w:after="0" w:line="2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shows the fees for professional services provided by EY, our independent registered public accounting firm for fiscal year 2020, and RSM US LLP (“RMS”), our independent registered public accounting firm for fiscal 2019, in each of the last two years, in each case, at such times as they served as our independent auditors.</w:t>
      </w:r>
    </w:p>
    <w:p>
      <w:pPr>
        <w:spacing w:after="0" w:line="68" w:lineRule="exact"/>
        <w:rPr>
          <w:sz w:val="20"/>
          <w:szCs w:val="20"/>
          <w:color w:val="auto"/>
        </w:rPr>
      </w:pPr>
    </w:p>
    <w:tbl>
      <w:tblPr>
        <w:tblLayout w:type="fixed"/>
        <w:tblInd w:w="1500" w:type="dxa"/>
        <w:tblCellMar>
          <w:top w:w="0" w:type="dxa"/>
          <w:left w:w="0" w:type="dxa"/>
          <w:bottom w:w="0" w:type="dxa"/>
          <w:right w:w="0" w:type="dxa"/>
        </w:tblCellMar>
      </w:tblPr>
      <w:tr>
        <w:trPr>
          <w:trHeight w:val="264"/>
        </w:trPr>
        <w:tc>
          <w:tcPr>
            <w:tcW w:w="378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2020</w:t>
            </w:r>
            <w:r>
              <w:rPr>
                <w:rFonts w:ascii="Arial" w:cs="Arial" w:eastAsia="Arial" w:hAnsi="Arial"/>
                <w:sz w:val="23"/>
                <w:szCs w:val="23"/>
                <w:b w:val="1"/>
                <w:bCs w:val="1"/>
                <w:color w:val="auto"/>
                <w:vertAlign w:val="superscript"/>
              </w:rPr>
              <w:t>(1)</w:t>
            </w:r>
          </w:p>
        </w:tc>
        <w:tc>
          <w:tcPr>
            <w:tcW w:w="8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rPr>
              <w:t>2019</w:t>
            </w:r>
            <w:r>
              <w:rPr>
                <w:rFonts w:ascii="Arial" w:cs="Arial" w:eastAsia="Arial" w:hAnsi="Arial"/>
                <w:sz w:val="23"/>
                <w:szCs w:val="23"/>
                <w:b w:val="1"/>
                <w:bCs w:val="1"/>
                <w:color w:val="auto"/>
                <w:vertAlign w:val="superscript"/>
              </w:rPr>
              <w:t>(2)</w:t>
            </w:r>
          </w:p>
        </w:tc>
      </w:tr>
      <w:tr>
        <w:trPr>
          <w:trHeight w:val="88"/>
        </w:trPr>
        <w:tc>
          <w:tcPr>
            <w:tcW w:w="37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720" w:type="dxa"/>
            <w:vAlign w:val="bottom"/>
          </w:tcPr>
          <w:p>
            <w:pPr>
              <w:spacing w:after="0"/>
              <w:rPr>
                <w:sz w:val="7"/>
                <w:szCs w:val="7"/>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1,038,000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776,725</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1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fees</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1,780,228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776,725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60" w:hanging="328"/>
        <w:spacing w:after="0" w:line="258"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fees for professional services provided by RSM and EY. EY has served as the Company's independent registered public accounting firm since June 2020.</w:t>
      </w:r>
    </w:p>
    <w:p>
      <w:pPr>
        <w:spacing w:after="0" w:line="1" w:lineRule="exact"/>
        <w:rPr>
          <w:rFonts w:ascii="Arial" w:cs="Arial" w:eastAsia="Arial" w:hAnsi="Arial"/>
          <w:sz w:val="18"/>
          <w:szCs w:val="18"/>
          <w:color w:val="auto"/>
        </w:rPr>
      </w:pPr>
    </w:p>
    <w:p>
      <w:pPr>
        <w:ind w:left="660" w:hanging="328"/>
        <w:spacing w:after="0" w:line="260"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fees for professional services provided by RMS, our independent registered public accounting firm for fiscal year ended December 31, 2019.</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in the above table are based on fees billed, including out-of-pocket expenses, for services rendered for the year, even if the auditor did not bill the registrant for those services until after year end.</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Fees for audit services for 2020 include the audit of the Company's consolidated financial statements as of and for the year ended December 31, 2020 and review of the Company's quarterly reports on Form 10-Q for the three months ended March 31, 2020, the three months and six months ended June 30, 2020, and the three months and nine months ended September 30, 2020. Fees for audit services for 2019 include the audit of the Company's consolidated financial statements as of and for the year ended December 31, 2019 and review of the Company's quarterly reports on Form 10-Q for the three months ended March 31, 2019, the three months and six months ended June 30, 2019, and the three months and nine months ended September 30,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on Audit Committee Pre-Approval of Audit and Permissible Non-Audit Services of Independent Auditors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has also adopted policies and procedures for pre-approving all non-audit work performed by EY. The Audit Committee has pre-approved the use, as needed, of EY for specific types of services that fall within categories of non-audit services, including various tax services. The Audit Committee receives regular updates as to the fees associated with the services that are subject to pre-approval. Services that do not fall within a pre-approved category require specific consideration and pre-approval by the Audit Committee. All services rendered by EY in the table above were pre-approved by the Audit Committee.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approval of Proposal Number Four requires the affirmative vote of a majority of the votes properly cast at our Annual Meeting. Abstentions will not affect the outcome of this proposal. A broker or other nominee will generally have discretionary</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authority to vote on this proposal because it is considered a routine matter, and, therefore, we do not expect broker non-votes with respect to this proposal.</w:t>
      </w:r>
    </w:p>
    <w:p>
      <w:pPr>
        <w:spacing w:after="0" w:line="27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Board recommends a vote FOR the ratification of the appointment of Ernst and Young LLP as the Company's independent registered public accounting firm for the year ending December 31, 2021.</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of this proxy statement, we know of no business that will be presented for consideration at the Annual Meeting, other than the items referred to above. If any other matter is properly brought before the Annual Meeting for action by stockholders, proxies in the enclosed form returned to the Company will be voted in accordance with the recommendation of the Board or, in the absence of such a recommendation, in accordance with the judgment of the proxy holder.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and Director Nominations for the 2022 Annual Meeting</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our 2022 Annual Meeting will be held in June 2022 consistent with our 2021 Annual Meeting. Stockholders of record who intend to nominate a candidate for director or submit a proposal at the annual meeting of stockholders in 2022 must provide written notice to the Company in accordance with our bylaws. Under our bylaws, such notice must be received at the Company's principal executive offices, addressed to the Secretary of the Company, not earlier than February 9, 2022 nor later than March 11, 2022, which are dates at least 90 days but not more than 120 days in advance of the first anniversary of the date of the 2021 Annual Meeting. Stockholders are also advised to review our bylaws, which contain additional requirements about advance notice of stockholder proposals and director nominations.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7" w:name="page38"/>
    <w:bookmarkEnd w:id="37"/>
    <w:p>
      <w:pPr>
        <w:spacing w:after="0" w:line="41"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PRIORITY TECHNOLOGY HOLDINGS, INC.</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2001 WESTSIDE PARKWAY</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SUITE 155</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ALPHARETTA, GEORGIA 30004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VOTE BY INTERNET</w:t>
      </w:r>
    </w:p>
    <w:p>
      <w:pPr>
        <w:spacing w:after="0"/>
        <w:rPr>
          <w:sz w:val="20"/>
          <w:szCs w:val="20"/>
          <w:color w:val="auto"/>
        </w:rPr>
      </w:pPr>
      <w:r>
        <w:rPr>
          <w:rFonts w:ascii="Arial" w:cs="Arial" w:eastAsia="Arial" w:hAnsi="Arial"/>
          <w:sz w:val="14"/>
          <w:szCs w:val="14"/>
          <w:color w:val="auto"/>
        </w:rPr>
        <w:t>Before the Annual Meeting - Go to www.proxyvote.com</w:t>
      </w:r>
    </w:p>
    <w:p>
      <w:pPr>
        <w:spacing w:after="0" w:line="205" w:lineRule="exact"/>
        <w:rPr>
          <w:sz w:val="20"/>
          <w:szCs w:val="20"/>
          <w:color w:val="auto"/>
        </w:rPr>
      </w:pPr>
    </w:p>
    <w:p>
      <w:pPr>
        <w:jc w:val="both"/>
        <w:ind w:right="280"/>
        <w:spacing w:after="0" w:line="224"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6/08/2021. Have your proxy card in hand when you access the web site and follow the instructions to obtain your records and to create an electronic voting instruction form.</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During the Annual Meeting - Go to www.virtualshareholdermeeting.com/PRTH2021.</w:t>
      </w:r>
    </w:p>
    <w:p>
      <w:pPr>
        <w:ind w:right="220"/>
        <w:spacing w:after="0" w:line="227" w:lineRule="auto"/>
        <w:rPr>
          <w:sz w:val="20"/>
          <w:szCs w:val="20"/>
          <w:color w:val="auto"/>
        </w:rPr>
      </w:pPr>
      <w:r>
        <w:rPr>
          <w:rFonts w:ascii="Arial" w:cs="Arial" w:eastAsia="Arial" w:hAnsi="Arial"/>
          <w:sz w:val="14"/>
          <w:szCs w:val="14"/>
          <w:color w:val="auto"/>
        </w:rPr>
        <w:t>You may attend the meeting via the Internet and vote during the meeting. Have the information that is printed in the box marked by the arrow available and follow the instructions.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13" w:lineRule="exact"/>
        <w:rPr>
          <w:sz w:val="20"/>
          <w:szCs w:val="20"/>
          <w:color w:val="auto"/>
        </w:rPr>
      </w:pPr>
    </w:p>
    <w:p>
      <w:pPr>
        <w:ind w:right="240"/>
        <w:spacing w:after="0" w:line="235"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27" w:lineRule="exact"/>
        <w:rPr>
          <w:sz w:val="20"/>
          <w:szCs w:val="20"/>
          <w:color w:val="auto"/>
        </w:rPr>
      </w:pPr>
    </w:p>
    <w:p>
      <w:pPr>
        <w:ind w:right="640"/>
        <w:spacing w:after="0" w:line="269" w:lineRule="auto"/>
        <w:rPr>
          <w:sz w:val="20"/>
          <w:szCs w:val="20"/>
          <w:color w:val="auto"/>
        </w:rPr>
      </w:pPr>
      <w:r>
        <w:rPr>
          <w:rFonts w:ascii="Arial" w:cs="Arial" w:eastAsia="Arial" w:hAnsi="Arial"/>
          <w:sz w:val="13"/>
          <w:szCs w:val="13"/>
          <w:color w:val="auto"/>
        </w:rPr>
        <w:t>Use any touch-tone telephone to transmit your voting instructions up until 11:59 P.M. Eastern Time on 6/08/2021. Have your proxy card in hand when you call and then follow the instructions.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27" w:lineRule="exact"/>
        <w:rPr>
          <w:sz w:val="20"/>
          <w:szCs w:val="20"/>
          <w:color w:val="auto"/>
        </w:rPr>
      </w:pPr>
    </w:p>
    <w:p>
      <w:pPr>
        <w:ind w:right="140"/>
        <w:spacing w:after="0" w:line="236"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000" w:space="720"/>
            <w:col w:w="6520"/>
          </w:cols>
          <w:pgMar w:left="320" w:top="10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 VOTE, MARK BLOCKS BELOW IN BLUE OR BLACK INK AS FOLLOWS: x</w:t>
      </w:r>
    </w:p>
    <w:p>
      <w:pPr>
        <w:spacing w:after="0" w:line="8" w:lineRule="exact"/>
        <w:rPr>
          <w:sz w:val="20"/>
          <w:szCs w:val="20"/>
          <w:color w:val="auto"/>
        </w:rPr>
      </w:pPr>
    </w:p>
    <w:p>
      <w:pPr>
        <w:ind w:left="8420"/>
        <w:spacing w:after="0"/>
        <w:rPr>
          <w:sz w:val="20"/>
          <w:szCs w:val="20"/>
          <w:color w:val="auto"/>
        </w:rPr>
      </w:pPr>
      <w:r>
        <w:rPr>
          <w:rFonts w:ascii="Arial" w:cs="Arial" w:eastAsia="Arial" w:hAnsi="Arial"/>
          <w:sz w:val="13"/>
          <w:szCs w:val="13"/>
          <w:color w:val="auto"/>
        </w:rPr>
        <w:t>KEEP THIS PORTION FOR YOUR RECORDS</w:t>
      </w:r>
    </w:p>
    <w:p>
      <w:pPr>
        <w:spacing w:after="0" w:line="1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PRIORITY TECHNOLOGY HOLDINGS, INC.</w:t>
      </w:r>
    </w:p>
    <w:p>
      <w:pPr>
        <w:sectPr>
          <w:pgSz w:w="11900" w:h="16838" w:orient="portrait"/>
          <w:cols w:equalWidth="0" w:num="1">
            <w:col w:w="11240"/>
          </w:cols>
          <w:pgMar w:left="320" w:top="1011" w:right="339" w:bottom="1440" w:gutter="0" w:footer="0" w:header="0"/>
          <w:type w:val="continuous"/>
        </w:sectPr>
      </w:pPr>
    </w:p>
    <w:p>
      <w:pPr>
        <w:spacing w:after="0" w:line="298" w:lineRule="exact"/>
        <w:rPr>
          <w:sz w:val="20"/>
          <w:szCs w:val="20"/>
          <w:color w:val="auto"/>
        </w:rPr>
      </w:pPr>
    </w:p>
    <w:p>
      <w:pPr>
        <w:ind w:left="40" w:right="1660"/>
        <w:spacing w:after="0" w:line="275" w:lineRule="auto"/>
        <w:rPr>
          <w:sz w:val="20"/>
          <w:szCs w:val="20"/>
          <w:color w:val="auto"/>
        </w:rPr>
      </w:pPr>
      <w:r>
        <w:rPr>
          <w:rFonts w:ascii="Arial" w:cs="Arial" w:eastAsia="Arial" w:hAnsi="Arial"/>
          <w:sz w:val="13"/>
          <w:szCs w:val="13"/>
          <w:b w:val="1"/>
          <w:bCs w:val="1"/>
          <w:color w:val="auto"/>
        </w:rPr>
        <w:t>The Board of Directors recommends that you vote FOR the election of the following six director nominees: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that you vote FOR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proposals 2, 3 and 4.</w:t>
      </w:r>
    </w:p>
    <w:p>
      <w:pPr>
        <w:spacing w:after="0" w:line="230" w:lineRule="exact"/>
        <w:rPr>
          <w:sz w:val="20"/>
          <w:szCs w:val="20"/>
          <w:color w:val="auto"/>
        </w:rPr>
      </w:pPr>
    </w:p>
    <w:p>
      <w:pPr>
        <w:sectPr>
          <w:pgSz w:w="11900" w:h="16838" w:orient="portrait"/>
          <w:cols w:equalWidth="0" w:num="2">
            <w:col w:w="5120" w:space="720"/>
            <w:col w:w="5400"/>
          </w:cols>
          <w:pgMar w:left="320" w:top="1011" w:right="339" w:bottom="1440" w:gutter="0" w:footer="0" w:header="0"/>
          <w:type w:val="continuous"/>
        </w:sectPr>
      </w:pP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200" w:type="dxa"/>
            <w:vAlign w:val="bottom"/>
          </w:tcPr>
          <w:p>
            <w:pPr>
              <w:spacing w:after="0"/>
              <w:rPr>
                <w:sz w:val="20"/>
                <w:szCs w:val="20"/>
                <w:color w:val="auto"/>
              </w:rPr>
            </w:pPr>
            <w:r>
              <w:rPr>
                <w:rFonts w:ascii="Arial" w:cs="Arial" w:eastAsia="Arial" w:hAnsi="Arial"/>
                <w:sz w:val="14"/>
                <w:szCs w:val="14"/>
                <w:color w:val="auto"/>
                <w:w w:val="85"/>
              </w:rPr>
              <w:t>For</w:t>
            </w:r>
          </w:p>
        </w:tc>
        <w:tc>
          <w:tcPr>
            <w:tcW w:w="2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color w:val="auto"/>
                <w:w w:val="94"/>
              </w:rPr>
              <w:t>Against</w:t>
            </w:r>
          </w:p>
        </w:tc>
        <w:tc>
          <w:tcPr>
            <w:tcW w:w="120" w:type="dxa"/>
            <w:vAlign w:val="bottom"/>
          </w:tcPr>
          <w:p>
            <w:pPr>
              <w:spacing w:after="0"/>
              <w:rPr>
                <w:sz w:val="14"/>
                <w:szCs w:val="14"/>
                <w:color w:val="auto"/>
              </w:rPr>
            </w:pPr>
          </w:p>
        </w:tc>
        <w:tc>
          <w:tcPr>
            <w:tcW w:w="580" w:type="dxa"/>
            <w:vAlign w:val="bottom"/>
            <w:gridSpan w:val="2"/>
          </w:tcPr>
          <w:p>
            <w:pPr>
              <w:ind w:left="140"/>
              <w:spacing w:after="0"/>
              <w:rPr>
                <w:sz w:val="20"/>
                <w:szCs w:val="20"/>
                <w:color w:val="auto"/>
              </w:rPr>
            </w:pPr>
            <w:r>
              <w:rPr>
                <w:rFonts w:ascii="Arial" w:cs="Arial" w:eastAsia="Arial" w:hAnsi="Arial"/>
                <w:sz w:val="14"/>
                <w:szCs w:val="14"/>
                <w:color w:val="auto"/>
                <w:w w:val="89"/>
              </w:rPr>
              <w:t>Abstain</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Nominees:</w:t>
            </w: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60" w:type="dxa"/>
            <w:vAlign w:val="bottom"/>
            <w:vMerge w:val="continue"/>
          </w:tcPr>
          <w:p>
            <w:pPr>
              <w:spacing w:after="0"/>
              <w:rPr>
                <w:sz w:val="17"/>
                <w:szCs w:val="17"/>
                <w:color w:val="auto"/>
              </w:rPr>
            </w:pPr>
          </w:p>
        </w:tc>
        <w:tc>
          <w:tcPr>
            <w:tcW w:w="400" w:type="dxa"/>
            <w:vAlign w:val="bottom"/>
            <w:gridSpan w:val="2"/>
            <w:vMerge w:val="restart"/>
          </w:tcPr>
          <w:p>
            <w:pPr>
              <w:jc w:val="center"/>
              <w:ind w:right="40"/>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vMerge w:val="restart"/>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140" w:type="dxa"/>
            <w:vAlign w:val="bottom"/>
          </w:tcPr>
          <w:p>
            <w:pPr>
              <w:spacing w:after="0"/>
              <w:rPr>
                <w:sz w:val="17"/>
                <w:szCs w:val="17"/>
                <w:color w:val="auto"/>
              </w:rPr>
            </w:pPr>
          </w:p>
        </w:tc>
        <w:tc>
          <w:tcPr>
            <w:tcW w:w="440" w:type="dxa"/>
            <w:vAlign w:val="bottom"/>
            <w:vMerge w:val="restart"/>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2"/>
        </w:trPr>
        <w:tc>
          <w:tcPr>
            <w:tcW w:w="3660" w:type="dxa"/>
            <w:vAlign w:val="bottom"/>
          </w:tcPr>
          <w:p>
            <w:pPr>
              <w:ind w:left="320"/>
              <w:spacing w:after="0"/>
              <w:rPr>
                <w:sz w:val="20"/>
                <w:szCs w:val="20"/>
                <w:color w:val="auto"/>
              </w:rPr>
            </w:pPr>
            <w:r>
              <w:rPr>
                <w:rFonts w:ascii="Arial" w:cs="Arial" w:eastAsia="Arial" w:hAnsi="Arial"/>
                <w:sz w:val="14"/>
                <w:szCs w:val="14"/>
                <w:color w:val="auto"/>
              </w:rPr>
              <w:t>1a. Thomas Priore</w:t>
            </w:r>
          </w:p>
        </w:tc>
        <w:tc>
          <w:tcPr>
            <w:tcW w:w="40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320"/>
              <w:spacing w:after="0"/>
              <w:rPr>
                <w:sz w:val="20"/>
                <w:szCs w:val="20"/>
                <w:color w:val="auto"/>
              </w:rPr>
            </w:pPr>
            <w:r>
              <w:rPr>
                <w:rFonts w:ascii="Arial" w:cs="Arial" w:eastAsia="Arial" w:hAnsi="Arial"/>
                <w:sz w:val="14"/>
                <w:szCs w:val="14"/>
                <w:color w:val="auto"/>
              </w:rPr>
              <w:t>1b. John Priore</w:t>
            </w:r>
          </w:p>
        </w:tc>
        <w:tc>
          <w:tcPr>
            <w:tcW w:w="400" w:type="dxa"/>
            <w:vAlign w:val="bottom"/>
            <w:gridSpan w:val="2"/>
          </w:tcPr>
          <w:p>
            <w:pPr>
              <w:jc w:val="center"/>
              <w:ind w:right="40"/>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140" w:type="dxa"/>
            <w:vAlign w:val="bottom"/>
          </w:tcPr>
          <w:p>
            <w:pPr>
              <w:spacing w:after="0"/>
              <w:rPr>
                <w:sz w:val="16"/>
                <w:szCs w:val="16"/>
                <w:color w:val="auto"/>
              </w:rPr>
            </w:pPr>
          </w:p>
        </w:tc>
        <w:tc>
          <w:tcPr>
            <w:tcW w:w="4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320"/>
              <w:spacing w:after="0"/>
              <w:rPr>
                <w:sz w:val="20"/>
                <w:szCs w:val="20"/>
                <w:color w:val="auto"/>
              </w:rPr>
            </w:pPr>
            <w:r>
              <w:rPr>
                <w:rFonts w:ascii="Arial" w:cs="Arial" w:eastAsia="Arial" w:hAnsi="Arial"/>
                <w:sz w:val="14"/>
                <w:szCs w:val="14"/>
                <w:color w:val="auto"/>
              </w:rPr>
              <w:t>1c. Marietta Davis</w:t>
            </w:r>
          </w:p>
        </w:tc>
        <w:tc>
          <w:tcPr>
            <w:tcW w:w="400" w:type="dxa"/>
            <w:vAlign w:val="bottom"/>
            <w:gridSpan w:val="2"/>
          </w:tcPr>
          <w:p>
            <w:pPr>
              <w:jc w:val="center"/>
              <w:ind w:right="40"/>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140" w:type="dxa"/>
            <w:vAlign w:val="bottom"/>
          </w:tcPr>
          <w:p>
            <w:pPr>
              <w:spacing w:after="0"/>
              <w:rPr>
                <w:sz w:val="16"/>
                <w:szCs w:val="16"/>
                <w:color w:val="auto"/>
              </w:rPr>
            </w:pPr>
          </w:p>
        </w:tc>
        <w:tc>
          <w:tcPr>
            <w:tcW w:w="4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6"/>
        </w:trPr>
        <w:tc>
          <w:tcPr>
            <w:tcW w:w="3660" w:type="dxa"/>
            <w:vAlign w:val="bottom"/>
          </w:tcPr>
          <w:p>
            <w:pPr>
              <w:ind w:left="320"/>
              <w:spacing w:after="0"/>
              <w:rPr>
                <w:sz w:val="20"/>
                <w:szCs w:val="20"/>
                <w:color w:val="auto"/>
              </w:rPr>
            </w:pPr>
            <w:r>
              <w:rPr>
                <w:rFonts w:ascii="Arial" w:cs="Arial" w:eastAsia="Arial" w:hAnsi="Arial"/>
                <w:sz w:val="14"/>
                <w:szCs w:val="14"/>
                <w:color w:val="auto"/>
              </w:rPr>
              <w:t>1d. Christina Favilla</w:t>
            </w:r>
          </w:p>
        </w:tc>
        <w:tc>
          <w:tcPr>
            <w:tcW w:w="400" w:type="dxa"/>
            <w:vAlign w:val="bottom"/>
            <w:gridSpan w:val="2"/>
          </w:tcPr>
          <w:p>
            <w:pPr>
              <w:jc w:val="center"/>
              <w:ind w:right="40"/>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140" w:type="dxa"/>
            <w:vAlign w:val="bottom"/>
          </w:tcPr>
          <w:p>
            <w:pPr>
              <w:spacing w:after="0"/>
              <w:rPr>
                <w:sz w:val="18"/>
                <w:szCs w:val="18"/>
                <w:color w:val="auto"/>
              </w:rPr>
            </w:pPr>
          </w:p>
        </w:tc>
        <w:tc>
          <w:tcPr>
            <w:tcW w:w="4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9"/>
        </w:trPr>
        <w:tc>
          <w:tcPr>
            <w:tcW w:w="3660" w:type="dxa"/>
            <w:vAlign w:val="bottom"/>
          </w:tcPr>
          <w:p>
            <w:pPr>
              <w:ind w:left="320"/>
              <w:spacing w:after="0"/>
              <w:rPr>
                <w:sz w:val="20"/>
                <w:szCs w:val="20"/>
                <w:color w:val="auto"/>
              </w:rPr>
            </w:pPr>
            <w:r>
              <w:rPr>
                <w:rFonts w:ascii="Arial" w:cs="Arial" w:eastAsia="Arial" w:hAnsi="Arial"/>
                <w:sz w:val="14"/>
                <w:szCs w:val="14"/>
                <w:color w:val="auto"/>
              </w:rPr>
              <w:t>1e. Stephen Hipp</w:t>
            </w:r>
          </w:p>
        </w:tc>
        <w:tc>
          <w:tcPr>
            <w:tcW w:w="400" w:type="dxa"/>
            <w:vAlign w:val="bottom"/>
            <w:gridSpan w:val="2"/>
          </w:tcPr>
          <w:p>
            <w:pPr>
              <w:jc w:val="center"/>
              <w:ind w:right="40"/>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140" w:type="dxa"/>
            <w:vAlign w:val="bottom"/>
          </w:tcPr>
          <w:p>
            <w:pPr>
              <w:spacing w:after="0"/>
              <w:rPr>
                <w:sz w:val="16"/>
                <w:szCs w:val="16"/>
                <w:color w:val="auto"/>
              </w:rPr>
            </w:pPr>
          </w:p>
        </w:tc>
        <w:tc>
          <w:tcPr>
            <w:tcW w:w="4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3660" w:type="dxa"/>
            <w:vAlign w:val="bottom"/>
          </w:tcPr>
          <w:p>
            <w:pPr>
              <w:ind w:left="320"/>
              <w:spacing w:after="0"/>
              <w:rPr>
                <w:sz w:val="20"/>
                <w:szCs w:val="20"/>
                <w:color w:val="auto"/>
              </w:rPr>
            </w:pPr>
            <w:r>
              <w:rPr>
                <w:rFonts w:ascii="Arial" w:cs="Arial" w:eastAsia="Arial" w:hAnsi="Arial"/>
                <w:sz w:val="14"/>
                <w:szCs w:val="14"/>
                <w:color w:val="auto"/>
              </w:rPr>
              <w:t>1f. Michael Passilla</w:t>
            </w:r>
          </w:p>
        </w:tc>
        <w:tc>
          <w:tcPr>
            <w:tcW w:w="400" w:type="dxa"/>
            <w:vAlign w:val="bottom"/>
            <w:gridSpan w:val="2"/>
          </w:tcPr>
          <w:p>
            <w:pPr>
              <w:jc w:val="center"/>
              <w:ind w:right="40"/>
              <w:spacing w:after="0"/>
              <w:rPr>
                <w:sz w:val="20"/>
                <w:szCs w:val="20"/>
                <w:color w:val="auto"/>
              </w:rPr>
            </w:pPr>
            <w:r>
              <w:rPr>
                <w:rFonts w:ascii="Arial" w:cs="Arial" w:eastAsia="Arial" w:hAnsi="Arial"/>
                <w:sz w:val="14"/>
                <w:szCs w:val="14"/>
                <w:color w:val="auto"/>
              </w:rPr>
              <w:t>o</w:t>
            </w:r>
          </w:p>
        </w:tc>
        <w:tc>
          <w:tcPr>
            <w:tcW w:w="580" w:type="dxa"/>
            <w:vAlign w:val="bottom"/>
            <w:gridSpan w:val="2"/>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140" w:type="dxa"/>
            <w:vAlign w:val="bottom"/>
          </w:tcPr>
          <w:p>
            <w:pPr>
              <w:spacing w:after="0"/>
              <w:rPr>
                <w:sz w:val="19"/>
                <w:szCs w:val="19"/>
                <w:color w:val="auto"/>
              </w:rPr>
            </w:pPr>
          </w:p>
        </w:tc>
        <w:tc>
          <w:tcPr>
            <w:tcW w:w="44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351"/>
        </w:trPr>
        <w:tc>
          <w:tcPr>
            <w:tcW w:w="3660" w:type="dxa"/>
            <w:vAlign w:val="bottom"/>
          </w:tcPr>
          <w:p>
            <w:pPr>
              <w:spacing w:after="0"/>
              <w:rPr>
                <w:sz w:val="20"/>
                <w:szCs w:val="20"/>
                <w:color w:val="auto"/>
              </w:rPr>
            </w:pPr>
            <w:r>
              <w:rPr>
                <w:rFonts w:ascii="Arial" w:cs="Arial" w:eastAsia="Arial" w:hAnsi="Arial"/>
                <w:sz w:val="14"/>
                <w:szCs w:val="14"/>
                <w:color w:val="auto"/>
              </w:rPr>
              <w:t>Please indicate if you plan to attend this meeting:</w:t>
            </w:r>
          </w:p>
        </w:tc>
        <w:tc>
          <w:tcPr>
            <w:tcW w:w="400" w:type="dxa"/>
            <w:vAlign w:val="bottom"/>
            <w:gridSpan w:val="2"/>
          </w:tcPr>
          <w:p>
            <w:pPr>
              <w:jc w:val="center"/>
              <w:ind w:right="40"/>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gridSpan w:val="2"/>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660" w:type="dxa"/>
            <w:vAlign w:val="bottom"/>
          </w:tcPr>
          <w:p>
            <w:pPr>
              <w:spacing w:after="0"/>
              <w:rPr>
                <w:sz w:val="16"/>
                <w:szCs w:val="16"/>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4"/>
                <w:szCs w:val="14"/>
                <w:color w:val="auto"/>
                <w:w w:val="82"/>
              </w:rPr>
              <w:t>Yes</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No</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0" w:right="1640"/>
        <w:spacing w:after="0" w:line="212"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309880</wp:posOffset>
            </wp:positionV>
            <wp:extent cx="3042920" cy="248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42920"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right="120" w:firstLine="4"/>
        <w:spacing w:after="0" w:line="236" w:lineRule="auto"/>
        <w:tabs>
          <w:tab w:leader="none" w:pos="144" w:val="left"/>
        </w:tabs>
        <w:numPr>
          <w:ilvl w:val="0"/>
          <w:numId w:val="27"/>
        </w:numPr>
        <w:rPr>
          <w:rFonts w:ascii="Arial" w:cs="Arial" w:eastAsia="Arial" w:hAnsi="Arial"/>
          <w:sz w:val="14"/>
          <w:szCs w:val="14"/>
          <w:color w:val="auto"/>
        </w:rPr>
      </w:pPr>
      <w:r>
        <w:rPr>
          <w:rFonts w:ascii="Arial" w:cs="Arial" w:eastAsia="Arial" w:hAnsi="Arial"/>
          <w:sz w:val="14"/>
          <w:szCs w:val="14"/>
          <w:color w:val="auto"/>
        </w:rPr>
        <w:t>Approval of the Priority Technology Holdings, Inc. 2021 Employee Stock Purchase Plan.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9" w:lineRule="exact"/>
        <w:rPr>
          <w:rFonts w:ascii="Arial" w:cs="Arial" w:eastAsia="Arial" w:hAnsi="Arial"/>
          <w:sz w:val="14"/>
          <w:szCs w:val="14"/>
          <w:color w:val="auto"/>
        </w:rPr>
      </w:pPr>
    </w:p>
    <w:p>
      <w:pPr>
        <w:ind w:right="180" w:firstLine="4"/>
        <w:spacing w:after="0" w:line="224" w:lineRule="auto"/>
        <w:tabs>
          <w:tab w:leader="none" w:pos="144" w:val="left"/>
        </w:tabs>
        <w:numPr>
          <w:ilvl w:val="0"/>
          <w:numId w:val="27"/>
        </w:numPr>
        <w:rPr>
          <w:rFonts w:ascii="Arial" w:cs="Arial" w:eastAsia="Arial" w:hAnsi="Arial"/>
          <w:sz w:val="14"/>
          <w:szCs w:val="14"/>
          <w:color w:val="auto"/>
        </w:rPr>
      </w:pPr>
      <w:r>
        <w:rPr>
          <w:rFonts w:ascii="Arial" w:cs="Arial" w:eastAsia="Arial" w:hAnsi="Arial"/>
          <w:sz w:val="14"/>
          <w:szCs w:val="14"/>
          <w:color w:val="auto"/>
        </w:rPr>
        <w:t>Vote to approve an amendment to our Second Amended and Restated Certificate of Incorporation to eliminate supermajority voting requirements.</w:t>
      </w:r>
    </w:p>
    <w:p>
      <w:pPr>
        <w:spacing w:after="0" w:line="359" w:lineRule="exact"/>
        <w:rPr>
          <w:rFonts w:ascii="Arial" w:cs="Arial" w:eastAsia="Arial" w:hAnsi="Arial"/>
          <w:sz w:val="14"/>
          <w:szCs w:val="14"/>
          <w:color w:val="auto"/>
        </w:rPr>
      </w:pPr>
    </w:p>
    <w:p>
      <w:pPr>
        <w:jc w:val="both"/>
        <w:ind w:firstLine="4"/>
        <w:spacing w:after="0" w:line="224" w:lineRule="auto"/>
        <w:tabs>
          <w:tab w:leader="none" w:pos="144" w:val="left"/>
        </w:tabs>
        <w:numPr>
          <w:ilvl w:val="0"/>
          <w:numId w:val="27"/>
        </w:numPr>
        <w:rPr>
          <w:rFonts w:ascii="Arial" w:cs="Arial" w:eastAsia="Arial" w:hAnsi="Arial"/>
          <w:sz w:val="14"/>
          <w:szCs w:val="14"/>
          <w:color w:val="auto"/>
        </w:rPr>
      </w:pPr>
      <w:r>
        <w:rPr>
          <w:rFonts w:ascii="Arial" w:cs="Arial" w:eastAsia="Arial" w:hAnsi="Arial"/>
          <w:sz w:val="14"/>
          <w:szCs w:val="14"/>
          <w:color w:val="auto"/>
        </w:rPr>
        <w:t>Ratification of the appointment of Ernst and Young LLP as the Company's independent registered public accounting firm for the year ending December 31, 2021.</w:t>
      </w:r>
    </w:p>
    <w:p>
      <w:pPr>
        <w:spacing w:after="0" w:line="200" w:lineRule="exact"/>
        <w:rPr>
          <w:sz w:val="20"/>
          <w:szCs w:val="20"/>
          <w:color w:val="auto"/>
        </w:rPr>
      </w:pPr>
    </w:p>
    <w:p>
      <w:pPr>
        <w:spacing w:after="0" w:line="213" w:lineRule="exact"/>
        <w:rPr>
          <w:sz w:val="20"/>
          <w:szCs w:val="20"/>
          <w:color w:val="auto"/>
        </w:rPr>
      </w:pPr>
    </w:p>
    <w:p>
      <w:pPr>
        <w:ind w:right="180"/>
        <w:spacing w:after="0" w:line="224" w:lineRule="auto"/>
        <w:rPr>
          <w:sz w:val="20"/>
          <w:szCs w:val="20"/>
          <w:color w:val="auto"/>
        </w:rPr>
      </w:pPr>
      <w:r>
        <w:rPr>
          <w:rFonts w:ascii="Arial" w:cs="Arial" w:eastAsia="Arial" w:hAnsi="Arial"/>
          <w:sz w:val="14"/>
          <w:szCs w:val="14"/>
          <w:color w:val="auto"/>
        </w:rPr>
        <w:t>NOTE: To consider such other business as may properly come before the Annual Meeting and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2974340" cy="248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74340"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tabs>
          <w:tab w:leader="none" w:pos="380" w:val="left"/>
        </w:tabs>
        <w:rPr>
          <w:sz w:val="20"/>
          <w:szCs w:val="20"/>
          <w:color w:val="auto"/>
        </w:rPr>
      </w:pPr>
      <w:r>
        <w:rPr>
          <w:rFonts w:ascii="Arial" w:cs="Arial" w:eastAsia="Arial" w:hAnsi="Arial"/>
          <w:sz w:val="13"/>
          <w:szCs w:val="13"/>
          <w:u w:val="single" w:color="auto"/>
          <w:color w:val="auto"/>
        </w:rPr>
        <w:t>For</w:t>
        <w:tab/>
        <w:t>Against</w:t>
      </w:r>
    </w:p>
    <w:p>
      <w:pPr>
        <w:spacing w:after="0" w:line="215" w:lineRule="exact"/>
        <w:rPr>
          <w:sz w:val="20"/>
          <w:szCs w:val="20"/>
          <w:color w:val="auto"/>
        </w:rPr>
      </w:pPr>
    </w:p>
    <w:p>
      <w:pPr>
        <w:ind w:left="120"/>
        <w:spacing w:after="0" w:line="141" w:lineRule="exact"/>
        <w:tabs>
          <w:tab w:leader="none" w:pos="6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spacing w:after="0" w:line="141" w:lineRule="exact"/>
        <w:tabs>
          <w:tab w:leader="none" w:pos="6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line="141" w:lineRule="exact"/>
        <w:tabs>
          <w:tab w:leader="none" w:pos="6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Abstain</w:t>
      </w:r>
    </w:p>
    <w:p>
      <w:pPr>
        <w:spacing w:after="0" w:line="215" w:lineRule="exact"/>
        <w:rPr>
          <w:sz w:val="20"/>
          <w:szCs w:val="20"/>
          <w:color w:val="auto"/>
        </w:rPr>
      </w:pPr>
    </w:p>
    <w:p>
      <w:pPr>
        <w:ind w:left="28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80"/>
        <w:spacing w:after="0" w:line="141" w:lineRule="exact"/>
        <w:rPr>
          <w:sz w:val="20"/>
          <w:szCs w:val="20"/>
          <w:color w:val="auto"/>
        </w:rPr>
      </w:pPr>
      <w:r>
        <w:rPr>
          <w:rFonts w:ascii="MS PGothic" w:cs="MS PGothic" w:eastAsia="MS PGothic" w:hAnsi="MS PGothic"/>
          <w:sz w:val="14"/>
          <w:szCs w:val="14"/>
          <w:color w:val="auto"/>
        </w:rPr>
        <w:t>☐</w:t>
      </w:r>
    </w:p>
    <w:p>
      <w:pPr>
        <w:spacing w:after="0" w:line="1334" w:lineRule="exact"/>
        <w:rPr>
          <w:sz w:val="20"/>
          <w:szCs w:val="20"/>
          <w:color w:val="auto"/>
        </w:rPr>
      </w:pPr>
    </w:p>
    <w:p>
      <w:pPr>
        <w:sectPr>
          <w:pgSz w:w="11900" w:h="16838" w:orient="portrait"/>
          <w:cols w:equalWidth="0" w:num="4">
            <w:col w:w="5260" w:space="580"/>
            <w:col w:w="3540" w:space="60"/>
            <w:col w:w="840" w:space="240"/>
            <w:col w:w="720"/>
          </w:cols>
          <w:pgMar w:left="320" w:top="101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40"/>
        <w:spacing w:after="0"/>
        <w:tabs>
          <w:tab w:leader="none" w:pos="4080" w:val="left"/>
          <w:tab w:leader="none" w:pos="5820" w:val="left"/>
          <w:tab w:leader="none" w:pos="98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123825</wp:posOffset>
            </wp:positionV>
            <wp:extent cx="7115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011" w:right="339" w:bottom="1440" w:gutter="0" w:footer="0" w:header="0"/>
          <w:type w:val="continuous"/>
        </w:sectPr>
      </w:pPr>
    </w:p>
    <w:bookmarkStart w:id="38" w:name="page39"/>
    <w:bookmarkEnd w:id="38"/>
    <w:p>
      <w:pPr>
        <w:ind w:left="92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[control number]</w:t>
      </w:r>
    </w:p>
    <w:p>
      <w:pPr>
        <w:spacing w:after="0" w:line="200" w:lineRule="exact"/>
        <w:rPr>
          <w:sz w:val="20"/>
          <w:szCs w:val="20"/>
          <w:color w:val="auto"/>
        </w:rPr>
      </w:pPr>
    </w:p>
    <w:p>
      <w:pPr>
        <w:spacing w:after="0" w:line="29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 xml:space="preserve">The Notice and Proxy Statement and Annual Report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4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p>
    <w:p>
      <w:pPr>
        <w:spacing w:after="0" w:line="24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June 9, 2021 9:30 A.M. Eastern Daylight Time</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undersigned hereby appoints Thomas C. Priore and Bradley Miller, and each of them, with power to act without the other and with power of substitution, as proxies and attorneys-in-fact and hereby authorizes them to represent and vote, as provided on the other side, all the shares of Priority Technology Holdings, Inc. common stock which the undersigned is entitled to vote and, in their discretion, to vote upon such other business as may properly come before the Annual Meeting of Stockholders of the Company to be held virtually on the Internet at www.virtualshareholdermeeting.com/PRTH2021 or any adjournment or postponement thereof, with all powers which the undersigned would possess if present at the meeting.</w:t>
      </w:r>
    </w:p>
    <w:p>
      <w:pPr>
        <w:spacing w:after="0" w:line="18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b w:val="1"/>
          <w:bCs w:val="1"/>
          <w:color w:val="auto"/>
        </w:rPr>
        <w:t>THIS PROXY CARD, WHEN PROPERLY EXECUTED, WILL BE VOTED IN THE MANNER DIRECTED HEREIN BY THE UNDERSIGNED. IF NO DIRECTION IS MADE BUT THE CARD IS SIGNED, THIS PROXY CARD WILL BE VOTED FOR THE ELECTION OF ALL SIX NOMINEES UNDER PROPOSAL 1, FOR THE APPROVAL OF THE ESPP UNDER PROPOSAL 2, FOR THE APPROVAL OF THE AMENDMENT UNDER PROPOSAL 3, FOR THE RATIFICATION OF THE APPOINTMENT OF EY UNDER PROPOSAL 4, AND IN THE DISCRETION OF THE PROXIES WITH RESPECT TO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0" w:lineRule="exact"/>
        <w:rPr>
          <w:sz w:val="20"/>
          <w:szCs w:val="20"/>
          <w:color w:val="auto"/>
        </w:rPr>
      </w:pPr>
    </w:p>
    <w:p>
      <w:pPr>
        <w:spacing w:after="0" w:line="36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440" w:top="89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b w:val="1"/>
          <w:bCs w:val="1"/>
          <w:color w:val="auto"/>
        </w:rPr>
        <w:t>APPENDIX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262626"/>
        </w:rPr>
        <w:t>Priority Technology Holdings, Inc.</w:t>
      </w:r>
    </w:p>
    <w:p>
      <w:pPr>
        <w:spacing w:after="0" w:line="239" w:lineRule="exact"/>
        <w:rPr>
          <w:sz w:val="20"/>
          <w:szCs w:val="20"/>
          <w:color w:val="auto"/>
        </w:rPr>
      </w:pPr>
    </w:p>
    <w:p>
      <w:pPr>
        <w:ind w:left="2980"/>
        <w:spacing w:after="0"/>
        <w:rPr>
          <w:sz w:val="20"/>
          <w:szCs w:val="20"/>
          <w:color w:val="auto"/>
        </w:rPr>
      </w:pPr>
      <w:r>
        <w:rPr>
          <w:rFonts w:ascii="Arial" w:cs="Arial" w:eastAsia="Arial" w:hAnsi="Arial"/>
          <w:sz w:val="20"/>
          <w:szCs w:val="20"/>
          <w:b w:val="1"/>
          <w:bCs w:val="1"/>
          <w:color w:val="262626"/>
        </w:rPr>
        <w:t>2021 Employee Stock Purchase Plan</w:t>
      </w:r>
    </w:p>
    <w:p>
      <w:pPr>
        <w:sectPr>
          <w:pgSz w:w="11900" w:h="16838" w:orient="portrait"/>
          <w:cols w:equalWidth="0" w:num="1">
            <w:col w:w="9600"/>
          </w:cols>
          <w:pgMar w:left="1440" w:top="940" w:right="85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20"/>
          <w:szCs w:val="20"/>
          <w:b w:val="1"/>
          <w:bCs w:val="1"/>
          <w:color w:val="auto"/>
        </w:rPr>
        <w:t>Table of Contents</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0563C1"/>
            </w:tcBorders>
            <w:gridSpan w:val="7"/>
          </w:tcPr>
          <w:p>
            <w:pPr>
              <w:spacing w:after="0"/>
              <w:rPr>
                <w:rFonts w:ascii="Arial" w:cs="Arial" w:eastAsia="Arial" w:hAnsi="Arial"/>
                <w:sz w:val="20"/>
                <w:szCs w:val="20"/>
                <w:color w:val="0563C1"/>
                <w:w w:val="91"/>
              </w:rPr>
            </w:pPr>
            <w:hyperlink w:anchor="page42">
              <w:r>
                <w:rPr>
                  <w:rFonts w:ascii="Arial" w:cs="Arial" w:eastAsia="Arial" w:hAnsi="Arial"/>
                  <w:sz w:val="20"/>
                  <w:szCs w:val="20"/>
                  <w:color w:val="0563C1"/>
                  <w:w w:val="91"/>
                </w:rPr>
                <w:t>Article I Purpose</w:t>
              </w:r>
            </w:hyperlink>
          </w:p>
        </w:tc>
        <w:tc>
          <w:tcPr>
            <w:tcW w:w="5620" w:type="dxa"/>
            <w:vAlign w:val="bottom"/>
            <w:gridSpan w:val="28"/>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1</w:t>
              </w:r>
            </w:hyperlink>
          </w:p>
        </w:tc>
      </w:tr>
      <w:tr>
        <w:trPr>
          <w:trHeight w:val="264"/>
        </w:trPr>
        <w:tc>
          <w:tcPr>
            <w:tcW w:w="1740" w:type="dxa"/>
            <w:vAlign w:val="bottom"/>
            <w:tcBorders>
              <w:bottom w:val="single" w:sz="8" w:color="0563C1"/>
            </w:tcBorders>
            <w:gridSpan w:val="12"/>
          </w:tcPr>
          <w:p>
            <w:pPr>
              <w:spacing w:after="0"/>
              <w:rPr>
                <w:rFonts w:ascii="Arial" w:cs="Arial" w:eastAsia="Arial" w:hAnsi="Arial"/>
                <w:sz w:val="20"/>
                <w:szCs w:val="20"/>
                <w:color w:val="0563C1"/>
                <w:w w:val="99"/>
              </w:rPr>
            </w:pPr>
            <w:hyperlink w:anchor="page42">
              <w:r>
                <w:rPr>
                  <w:rFonts w:ascii="Arial" w:cs="Arial" w:eastAsia="Arial" w:hAnsi="Arial"/>
                  <w:sz w:val="20"/>
                  <w:szCs w:val="20"/>
                  <w:color w:val="0563C1"/>
                  <w:w w:val="99"/>
                </w:rPr>
                <w:t>Article II Definitions</w:t>
              </w:r>
            </w:hyperlink>
          </w:p>
        </w:tc>
        <w:tc>
          <w:tcPr>
            <w:tcW w:w="5240" w:type="dxa"/>
            <w:vAlign w:val="bottom"/>
            <w:gridSpan w:val="23"/>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1</w:t>
              </w:r>
            </w:hyperlink>
          </w:p>
        </w:tc>
      </w:tr>
      <w:tr>
        <w:trPr>
          <w:trHeight w:val="263"/>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(a)</w:t>
              </w:r>
            </w:hyperlink>
          </w:p>
        </w:tc>
        <w:tc>
          <w:tcPr>
            <w:tcW w:w="1620" w:type="dxa"/>
            <w:vAlign w:val="bottom"/>
            <w:tcBorders>
              <w:bottom w:val="single" w:sz="8" w:color="0563C1"/>
            </w:tcBorders>
            <w:gridSpan w:val="18"/>
          </w:tcPr>
          <w:p>
            <w:pPr>
              <w:ind w:left="80"/>
              <w:spacing w:after="0"/>
              <w:rPr>
                <w:rFonts w:ascii="Arial" w:cs="Arial" w:eastAsia="Arial" w:hAnsi="Arial"/>
                <w:sz w:val="20"/>
                <w:szCs w:val="20"/>
                <w:i w:val="1"/>
                <w:iCs w:val="1"/>
                <w:color w:val="0563C1"/>
                <w:w w:val="96"/>
              </w:rPr>
            </w:pPr>
            <w:hyperlink w:anchor="page42">
              <w:r>
                <w:rPr>
                  <w:rFonts w:ascii="Arial" w:cs="Arial" w:eastAsia="Arial" w:hAnsi="Arial"/>
                  <w:sz w:val="20"/>
                  <w:szCs w:val="20"/>
                  <w:i w:val="1"/>
                  <w:iCs w:val="1"/>
                  <w:color w:val="0563C1"/>
                  <w:w w:val="96"/>
                </w:rPr>
                <w:t>“Acquisition Date"</w:t>
              </w:r>
            </w:hyperlink>
          </w:p>
        </w:tc>
        <w:tc>
          <w:tcPr>
            <w:tcW w:w="5020" w:type="dxa"/>
            <w:vAlign w:val="bottom"/>
            <w:gridSpan w:val="16"/>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1</w:t>
              </w:r>
            </w:hyperlink>
          </w:p>
        </w:tc>
      </w:tr>
      <w:tr>
        <w:trPr>
          <w:trHeight w:val="263"/>
        </w:trPr>
        <w:tc>
          <w:tcPr>
            <w:tcW w:w="340" w:type="dxa"/>
            <w:vAlign w:val="bottom"/>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(b)</w:t>
              </w:r>
            </w:hyperlink>
          </w:p>
        </w:tc>
        <w:tc>
          <w:tcPr>
            <w:tcW w:w="6640" w:type="dxa"/>
            <w:vAlign w:val="bottom"/>
            <w:gridSpan w:val="34"/>
          </w:tcPr>
          <w:p>
            <w:pPr>
              <w:ind w:left="10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“Administrator”</w:t>
              </w:r>
            </w:hyperlink>
          </w:p>
        </w:tc>
        <w:tc>
          <w:tcPr>
            <w:tcW w:w="226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1</w:t>
              </w:r>
            </w:hyperlink>
          </w:p>
        </w:tc>
      </w:tr>
      <w:tr>
        <w:trPr>
          <w:trHeight w:val="264"/>
        </w:trPr>
        <w:tc>
          <w:tcPr>
            <w:tcW w:w="340" w:type="dxa"/>
            <w:vAlign w:val="bottom"/>
            <w:tcBorders>
              <w:top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(c)</w:t>
              </w:r>
            </w:hyperlink>
          </w:p>
        </w:tc>
        <w:tc>
          <w:tcPr>
            <w:tcW w:w="1420" w:type="dxa"/>
            <w:vAlign w:val="bottom"/>
            <w:tcBorders>
              <w:top w:val="single" w:sz="8" w:color="0563C1"/>
            </w:tcBorders>
            <w:gridSpan w:val="12"/>
          </w:tcPr>
          <w:p>
            <w:pPr>
              <w:ind w:left="8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“Affiliate”</w:t>
              </w:r>
            </w:hyperlink>
          </w:p>
        </w:tc>
        <w:tc>
          <w:tcPr>
            <w:tcW w:w="5220" w:type="dxa"/>
            <w:vAlign w:val="bottom"/>
            <w:gridSpan w:val="22"/>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top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1</w:t>
              </w:r>
            </w:hyperlink>
          </w:p>
        </w:tc>
      </w:tr>
      <w:tr>
        <w:trPr>
          <w:trHeight w:val="263"/>
        </w:trPr>
        <w:tc>
          <w:tcPr>
            <w:tcW w:w="340" w:type="dxa"/>
            <w:vAlign w:val="bottom"/>
            <w:tcBorders>
              <w:top w:val="single" w:sz="8" w:color="0563C1"/>
              <w:bottom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(d)</w:t>
              </w:r>
            </w:hyperlink>
          </w:p>
        </w:tc>
        <w:tc>
          <w:tcPr>
            <w:tcW w:w="780" w:type="dxa"/>
            <w:vAlign w:val="bottom"/>
            <w:tcBorders>
              <w:top w:val="single" w:sz="8" w:color="0563C1"/>
              <w:bottom w:val="single" w:sz="8" w:color="0563C1"/>
            </w:tcBorders>
            <w:gridSpan w:val="3"/>
          </w:tcPr>
          <w:p>
            <w:pPr>
              <w:ind w:left="100"/>
              <w:spacing w:after="0"/>
              <w:rPr>
                <w:rFonts w:ascii="Arial" w:cs="Arial" w:eastAsia="Arial" w:hAnsi="Arial"/>
                <w:sz w:val="20"/>
                <w:szCs w:val="20"/>
                <w:i w:val="1"/>
                <w:iCs w:val="1"/>
                <w:color w:val="0563C1"/>
                <w:w w:val="98"/>
              </w:rPr>
            </w:pPr>
            <w:hyperlink w:anchor="page42">
              <w:r>
                <w:rPr>
                  <w:rFonts w:ascii="Arial" w:cs="Arial" w:eastAsia="Arial" w:hAnsi="Arial"/>
                  <w:sz w:val="20"/>
                  <w:szCs w:val="20"/>
                  <w:i w:val="1"/>
                  <w:iCs w:val="1"/>
                  <w:color w:val="0563C1"/>
                  <w:w w:val="98"/>
                </w:rPr>
                <w:t>“Board"</w:t>
              </w:r>
            </w:hyperlink>
          </w:p>
        </w:tc>
        <w:tc>
          <w:tcPr>
            <w:tcW w:w="220" w:type="dxa"/>
            <w:vAlign w:val="bottom"/>
            <w:tcBorders>
              <w:top w:val="single" w:sz="8" w:color="0563C1"/>
            </w:tcBorders>
            <w:gridSpan w:val="2"/>
          </w:tcPr>
          <w:p>
            <w:pPr>
              <w:spacing w:after="0"/>
              <w:rPr>
                <w:sz w:val="22"/>
                <w:szCs w:val="22"/>
                <w:color w:val="auto"/>
              </w:rPr>
            </w:pPr>
          </w:p>
        </w:tc>
        <w:tc>
          <w:tcPr>
            <w:tcW w:w="5640" w:type="dxa"/>
            <w:vAlign w:val="bottom"/>
            <w:gridSpan w:val="29"/>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1</w:t>
              </w:r>
            </w:hyperlink>
          </w:p>
        </w:tc>
      </w:tr>
      <w:tr>
        <w:trPr>
          <w:trHeight w:val="264"/>
        </w:trPr>
        <w:tc>
          <w:tcPr>
            <w:tcW w:w="340" w:type="dxa"/>
            <w:vAlign w:val="bottom"/>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(e)</w:t>
              </w:r>
            </w:hyperlink>
          </w:p>
        </w:tc>
        <w:tc>
          <w:tcPr>
            <w:tcW w:w="6640" w:type="dxa"/>
            <w:vAlign w:val="bottom"/>
            <w:gridSpan w:val="34"/>
          </w:tcPr>
          <w:p>
            <w:pPr>
              <w:ind w:left="8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“Change in Control”</w:t>
              </w:r>
            </w:hyperlink>
          </w:p>
        </w:tc>
        <w:tc>
          <w:tcPr>
            <w:tcW w:w="226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1</w:t>
              </w:r>
            </w:hyperlink>
          </w:p>
        </w:tc>
      </w:tr>
      <w:tr>
        <w:trPr>
          <w:trHeight w:val="20"/>
        </w:trPr>
        <w:tc>
          <w:tcPr>
            <w:tcW w:w="34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2540" w:type="dxa"/>
            <w:vAlign w:val="bottom"/>
            <w:tcBorders>
              <w:bottom w:val="single" w:sz="8" w:color="0563C1"/>
            </w:tcBorders>
            <w:gridSpan w:val="26"/>
          </w:tcPr>
          <w:p>
            <w:pPr>
              <w:spacing w:after="0"/>
              <w:rPr>
                <w:rFonts w:ascii="Arial" w:cs="Arial" w:eastAsia="Arial" w:hAnsi="Arial"/>
                <w:sz w:val="20"/>
                <w:szCs w:val="20"/>
                <w:color w:val="0563C1"/>
                <w:w w:val="99"/>
              </w:rPr>
            </w:pPr>
            <w:hyperlink w:anchor="page42">
              <w:r>
                <w:rPr>
                  <w:rFonts w:ascii="Arial" w:cs="Arial" w:eastAsia="Arial" w:hAnsi="Arial"/>
                  <w:sz w:val="20"/>
                  <w:szCs w:val="20"/>
                  <w:color w:val="0563C1"/>
                  <w:w w:val="99"/>
                </w:rPr>
                <w:t xml:space="preserve">(f)  </w:t>
              </w:r>
              <w:r>
                <w:rPr>
                  <w:rFonts w:ascii="Arial" w:cs="Arial" w:eastAsia="Arial" w:hAnsi="Arial"/>
                  <w:sz w:val="20"/>
                  <w:szCs w:val="20"/>
                  <w:i w:val="1"/>
                  <w:iCs w:val="1"/>
                  <w:color w:val="0563C1"/>
                  <w:w w:val="99"/>
                </w:rPr>
                <w:t>“Change in Control Date”</w:t>
              </w:r>
            </w:hyperlink>
          </w:p>
        </w:tc>
        <w:tc>
          <w:tcPr>
            <w:tcW w:w="4440" w:type="dxa"/>
            <w:vAlign w:val="bottom"/>
            <w:gridSpan w:val="9"/>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2</w:t>
              </w:r>
            </w:hyperlink>
          </w:p>
        </w:tc>
      </w:tr>
      <w:tr>
        <w:trPr>
          <w:trHeight w:val="264"/>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(g)</w:t>
              </w:r>
            </w:hyperlink>
          </w:p>
        </w:tc>
        <w:tc>
          <w:tcPr>
            <w:tcW w:w="740" w:type="dxa"/>
            <w:vAlign w:val="bottom"/>
            <w:tcBorders>
              <w:bottom w:val="single" w:sz="8" w:color="0563C1"/>
            </w:tcBorders>
          </w:tcPr>
          <w:p>
            <w:pPr>
              <w:ind w:left="10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“Code”</w:t>
              </w:r>
            </w:hyperlink>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2</w:t>
              </w:r>
            </w:hyperlink>
          </w:p>
        </w:tc>
      </w:tr>
      <w:tr>
        <w:trPr>
          <w:trHeight w:val="264"/>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(h)</w:t>
              </w:r>
            </w:hyperlink>
          </w:p>
        </w:tc>
        <w:tc>
          <w:tcPr>
            <w:tcW w:w="1520" w:type="dxa"/>
            <w:vAlign w:val="bottom"/>
            <w:tcBorders>
              <w:bottom w:val="single" w:sz="8" w:color="0563C1"/>
            </w:tcBorders>
            <w:gridSpan w:val="16"/>
          </w:tcPr>
          <w:p>
            <w:pPr>
              <w:ind w:left="100"/>
              <w:spacing w:after="0"/>
              <w:rPr>
                <w:rFonts w:ascii="Arial" w:cs="Arial" w:eastAsia="Arial" w:hAnsi="Arial"/>
                <w:sz w:val="20"/>
                <w:szCs w:val="20"/>
                <w:i w:val="1"/>
                <w:iCs w:val="1"/>
                <w:color w:val="0563C1"/>
                <w:w w:val="93"/>
              </w:rPr>
            </w:pPr>
            <w:hyperlink w:anchor="page42">
              <w:r>
                <w:rPr>
                  <w:rFonts w:ascii="Arial" w:cs="Arial" w:eastAsia="Arial" w:hAnsi="Arial"/>
                  <w:sz w:val="20"/>
                  <w:szCs w:val="20"/>
                  <w:i w:val="1"/>
                  <w:iCs w:val="1"/>
                  <w:color w:val="0563C1"/>
                  <w:w w:val="93"/>
                </w:rPr>
                <w:t>“Common Stock”</w:t>
              </w:r>
            </w:hyperlink>
          </w:p>
        </w:tc>
        <w:tc>
          <w:tcPr>
            <w:tcW w:w="5120" w:type="dxa"/>
            <w:vAlign w:val="bottom"/>
            <w:gridSpan w:val="18"/>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2</w:t>
              </w:r>
            </w:hyperlink>
          </w:p>
        </w:tc>
      </w:tr>
      <w:tr>
        <w:trPr>
          <w:trHeight w:val="263"/>
        </w:trPr>
        <w:tc>
          <w:tcPr>
            <w:tcW w:w="340" w:type="dxa"/>
            <w:vAlign w:val="bottom"/>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(i)</w:t>
              </w:r>
            </w:hyperlink>
          </w:p>
        </w:tc>
        <w:tc>
          <w:tcPr>
            <w:tcW w:w="6640" w:type="dxa"/>
            <w:vAlign w:val="bottom"/>
            <w:gridSpan w:val="34"/>
          </w:tcPr>
          <w:p>
            <w:pPr>
              <w:ind w:left="6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“Company"</w:t>
              </w:r>
            </w:hyperlink>
          </w:p>
        </w:tc>
        <w:tc>
          <w:tcPr>
            <w:tcW w:w="226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2</w:t>
              </w:r>
            </w:hyperlink>
          </w:p>
        </w:tc>
      </w:tr>
      <w:tr>
        <w:trPr>
          <w:trHeight w:val="20"/>
        </w:trPr>
        <w:tc>
          <w:tcPr>
            <w:tcW w:w="34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4"/>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(j)</w:t>
              </w:r>
            </w:hyperlink>
          </w:p>
        </w:tc>
        <w:tc>
          <w:tcPr>
            <w:tcW w:w="1420" w:type="dxa"/>
            <w:vAlign w:val="bottom"/>
            <w:tcBorders>
              <w:bottom w:val="single" w:sz="8" w:color="0563C1"/>
            </w:tcBorders>
            <w:gridSpan w:val="12"/>
          </w:tcPr>
          <w:p>
            <w:pPr>
              <w:ind w:left="60"/>
              <w:spacing w:after="0"/>
              <w:rPr>
                <w:rFonts w:ascii="Arial" w:cs="Arial" w:eastAsia="Arial" w:hAnsi="Arial"/>
                <w:sz w:val="20"/>
                <w:szCs w:val="20"/>
                <w:i w:val="1"/>
                <w:iCs w:val="1"/>
                <w:color w:val="0563C1"/>
                <w:w w:val="94"/>
              </w:rPr>
            </w:pPr>
            <w:hyperlink w:anchor="page42">
              <w:r>
                <w:rPr>
                  <w:rFonts w:ascii="Arial" w:cs="Arial" w:eastAsia="Arial" w:hAnsi="Arial"/>
                  <w:sz w:val="20"/>
                  <w:szCs w:val="20"/>
                  <w:i w:val="1"/>
                  <w:iCs w:val="1"/>
                  <w:color w:val="0563C1"/>
                  <w:w w:val="94"/>
                </w:rPr>
                <w:t>“Compensation”</w:t>
              </w:r>
            </w:hyperlink>
          </w:p>
        </w:tc>
        <w:tc>
          <w:tcPr>
            <w:tcW w:w="5220" w:type="dxa"/>
            <w:vAlign w:val="bottom"/>
            <w:gridSpan w:val="22"/>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2</w:t>
              </w:r>
            </w:hyperlink>
          </w:p>
        </w:tc>
      </w:tr>
      <w:tr>
        <w:trPr>
          <w:trHeight w:val="263"/>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(k)</w:t>
              </w:r>
            </w:hyperlink>
          </w:p>
        </w:tc>
        <w:tc>
          <w:tcPr>
            <w:tcW w:w="1400" w:type="dxa"/>
            <w:vAlign w:val="bottom"/>
            <w:tcBorders>
              <w:bottom w:val="single" w:sz="8" w:color="0563C1"/>
            </w:tcBorders>
            <w:gridSpan w:val="11"/>
          </w:tcPr>
          <w:p>
            <w:pPr>
              <w:ind w:left="10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“Contribution”</w:t>
              </w:r>
            </w:hyperlink>
          </w:p>
        </w:tc>
        <w:tc>
          <w:tcPr>
            <w:tcW w:w="5240" w:type="dxa"/>
            <w:vAlign w:val="bottom"/>
            <w:gridSpan w:val="23"/>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2</w:t>
              </w:r>
            </w:hyperlink>
          </w:p>
        </w:tc>
      </w:tr>
      <w:tr>
        <w:trPr>
          <w:trHeight w:val="264"/>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(l)</w:t>
              </w:r>
            </w:hyperlink>
          </w:p>
        </w:tc>
        <w:tc>
          <w:tcPr>
            <w:tcW w:w="1400" w:type="dxa"/>
            <w:vAlign w:val="bottom"/>
            <w:tcBorders>
              <w:bottom w:val="single" w:sz="8" w:color="0563C1"/>
            </w:tcBorders>
            <w:gridSpan w:val="11"/>
          </w:tcPr>
          <w:p>
            <w:pPr>
              <w:ind w:left="60"/>
              <w:spacing w:after="0"/>
              <w:rPr>
                <w:rFonts w:ascii="Arial" w:cs="Arial" w:eastAsia="Arial" w:hAnsi="Arial"/>
                <w:sz w:val="20"/>
                <w:szCs w:val="20"/>
                <w:i w:val="1"/>
                <w:iCs w:val="1"/>
                <w:color w:val="0563C1"/>
                <w:w w:val="94"/>
              </w:rPr>
            </w:pPr>
            <w:hyperlink w:anchor="page42">
              <w:r>
                <w:rPr>
                  <w:rFonts w:ascii="Arial" w:cs="Arial" w:eastAsia="Arial" w:hAnsi="Arial"/>
                  <w:sz w:val="20"/>
                  <w:szCs w:val="20"/>
                  <w:i w:val="1"/>
                  <w:iCs w:val="1"/>
                  <w:color w:val="0563C1"/>
                  <w:w w:val="94"/>
                </w:rPr>
                <w:t>“Effective Date”</w:t>
              </w:r>
            </w:hyperlink>
          </w:p>
        </w:tc>
        <w:tc>
          <w:tcPr>
            <w:tcW w:w="5240" w:type="dxa"/>
            <w:vAlign w:val="bottom"/>
            <w:gridSpan w:val="23"/>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2</w:t>
              </w:r>
            </w:hyperlink>
          </w:p>
        </w:tc>
      </w:tr>
      <w:tr>
        <w:trPr>
          <w:trHeight w:val="263"/>
        </w:trPr>
        <w:tc>
          <w:tcPr>
            <w:tcW w:w="340" w:type="dxa"/>
            <w:vAlign w:val="bottom"/>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(m)</w:t>
              </w:r>
            </w:hyperlink>
          </w:p>
        </w:tc>
        <w:tc>
          <w:tcPr>
            <w:tcW w:w="6640" w:type="dxa"/>
            <w:vAlign w:val="bottom"/>
            <w:gridSpan w:val="34"/>
          </w:tcPr>
          <w:p>
            <w:pPr>
              <w:ind w:left="14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“Employee”</w:t>
              </w:r>
            </w:hyperlink>
          </w:p>
        </w:tc>
        <w:tc>
          <w:tcPr>
            <w:tcW w:w="226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2</w:t>
              </w:r>
            </w:hyperlink>
          </w:p>
        </w:tc>
      </w:tr>
      <w:tr>
        <w:trPr>
          <w:trHeight w:val="20"/>
        </w:trPr>
        <w:tc>
          <w:tcPr>
            <w:tcW w:w="340" w:type="dxa"/>
            <w:vAlign w:val="bottom"/>
            <w:shd w:val="clear" w:color="auto" w:fill="0563C1"/>
          </w:tcPr>
          <w:p>
            <w:pPr>
              <w:spacing w:after="0" w:line="20" w:lineRule="exact"/>
              <w:rPr>
                <w:sz w:val="1"/>
                <w:szCs w:val="1"/>
                <w:color w:val="auto"/>
              </w:rPr>
            </w:pPr>
          </w:p>
        </w:tc>
        <w:tc>
          <w:tcPr>
            <w:tcW w:w="760" w:type="dxa"/>
            <w:vAlign w:val="bottom"/>
            <w:gridSpan w:val="2"/>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340" w:type="dxa"/>
            <w:vAlign w:val="bottom"/>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(n)</w:t>
              </w:r>
            </w:hyperlink>
          </w:p>
        </w:tc>
        <w:tc>
          <w:tcPr>
            <w:tcW w:w="6640" w:type="dxa"/>
            <w:vAlign w:val="bottom"/>
            <w:gridSpan w:val="34"/>
          </w:tcPr>
          <w:p>
            <w:pPr>
              <w:ind w:left="10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“Exchange Act”</w:t>
              </w:r>
            </w:hyperlink>
          </w:p>
        </w:tc>
        <w:tc>
          <w:tcPr>
            <w:tcW w:w="226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3</w:t>
              </w:r>
            </w:hyperlink>
          </w:p>
        </w:tc>
      </w:tr>
      <w:tr>
        <w:trPr>
          <w:trHeight w:val="20"/>
        </w:trPr>
        <w:tc>
          <w:tcPr>
            <w:tcW w:w="34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4"/>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(o)</w:t>
              </w:r>
            </w:hyperlink>
          </w:p>
        </w:tc>
        <w:tc>
          <w:tcPr>
            <w:tcW w:w="1780" w:type="dxa"/>
            <w:vAlign w:val="bottom"/>
            <w:tcBorders>
              <w:bottom w:val="single" w:sz="8" w:color="0563C1"/>
            </w:tcBorders>
            <w:gridSpan w:val="20"/>
          </w:tcPr>
          <w:p>
            <w:pPr>
              <w:ind w:left="100"/>
              <w:spacing w:after="0"/>
              <w:rPr>
                <w:rFonts w:ascii="Arial" w:cs="Arial" w:eastAsia="Arial" w:hAnsi="Arial"/>
                <w:sz w:val="20"/>
                <w:szCs w:val="20"/>
                <w:i w:val="1"/>
                <w:iCs w:val="1"/>
                <w:color w:val="0563C1"/>
                <w:w w:val="96"/>
              </w:rPr>
            </w:pPr>
            <w:hyperlink w:anchor="page42">
              <w:r>
                <w:rPr>
                  <w:rFonts w:ascii="Arial" w:cs="Arial" w:eastAsia="Arial" w:hAnsi="Arial"/>
                  <w:sz w:val="20"/>
                  <w:szCs w:val="20"/>
                  <w:i w:val="1"/>
                  <w:iCs w:val="1"/>
                  <w:color w:val="0563C1"/>
                  <w:w w:val="96"/>
                </w:rPr>
                <w:t>“Fair Market Value”</w:t>
              </w:r>
            </w:hyperlink>
          </w:p>
        </w:tc>
        <w:tc>
          <w:tcPr>
            <w:tcW w:w="4860" w:type="dxa"/>
            <w:vAlign w:val="bottom"/>
            <w:gridSpan w:val="14"/>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3</w:t>
              </w:r>
            </w:hyperlink>
          </w:p>
        </w:tc>
      </w:tr>
      <w:tr>
        <w:trPr>
          <w:trHeight w:val="263"/>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(p)</w:t>
              </w:r>
            </w:hyperlink>
          </w:p>
        </w:tc>
        <w:tc>
          <w:tcPr>
            <w:tcW w:w="1180" w:type="dxa"/>
            <w:vAlign w:val="bottom"/>
            <w:tcBorders>
              <w:bottom w:val="single" w:sz="8" w:color="0563C1"/>
            </w:tcBorders>
            <w:gridSpan w:val="9"/>
          </w:tcPr>
          <w:p>
            <w:pPr>
              <w:ind w:left="10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“Offer Date”</w:t>
              </w:r>
            </w:hyperlink>
          </w:p>
        </w:tc>
        <w:tc>
          <w:tcPr>
            <w:tcW w:w="5460" w:type="dxa"/>
            <w:vAlign w:val="bottom"/>
            <w:gridSpan w:val="25"/>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3</w:t>
              </w:r>
            </w:hyperlink>
          </w:p>
        </w:tc>
      </w:tr>
      <w:tr>
        <w:trPr>
          <w:trHeight w:val="264"/>
        </w:trPr>
        <w:tc>
          <w:tcPr>
            <w:tcW w:w="340" w:type="dxa"/>
            <w:vAlign w:val="bottom"/>
            <w:tcBorders>
              <w:bottom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(q)</w:t>
              </w:r>
            </w:hyperlink>
          </w:p>
        </w:tc>
        <w:tc>
          <w:tcPr>
            <w:tcW w:w="1580" w:type="dxa"/>
            <w:vAlign w:val="bottom"/>
            <w:tcBorders>
              <w:bottom w:val="single" w:sz="8" w:color="0563C1"/>
            </w:tcBorders>
            <w:gridSpan w:val="17"/>
          </w:tcPr>
          <w:p>
            <w:pPr>
              <w:ind w:left="100"/>
              <w:spacing w:after="0"/>
              <w:rPr>
                <w:rFonts w:ascii="Arial" w:cs="Arial" w:eastAsia="Arial" w:hAnsi="Arial"/>
                <w:sz w:val="20"/>
                <w:szCs w:val="20"/>
                <w:i w:val="1"/>
                <w:iCs w:val="1"/>
                <w:color w:val="0563C1"/>
                <w:w w:val="98"/>
              </w:rPr>
            </w:pPr>
            <w:hyperlink w:anchor="page42">
              <w:r>
                <w:rPr>
                  <w:rFonts w:ascii="Arial" w:cs="Arial" w:eastAsia="Arial" w:hAnsi="Arial"/>
                  <w:sz w:val="20"/>
                  <w:szCs w:val="20"/>
                  <w:i w:val="1"/>
                  <w:iCs w:val="1"/>
                  <w:color w:val="0563C1"/>
                  <w:w w:val="98"/>
                </w:rPr>
                <w:t>“Offering Period”</w:t>
              </w:r>
            </w:hyperlink>
          </w:p>
        </w:tc>
        <w:tc>
          <w:tcPr>
            <w:tcW w:w="5060" w:type="dxa"/>
            <w:vAlign w:val="bottom"/>
            <w:gridSpan w:val="17"/>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3</w:t>
              </w:r>
            </w:hyperlink>
          </w:p>
        </w:tc>
      </w:tr>
      <w:tr>
        <w:trPr>
          <w:trHeight w:val="264"/>
        </w:trPr>
        <w:tc>
          <w:tcPr>
            <w:tcW w:w="340" w:type="dxa"/>
            <w:vAlign w:val="bottom"/>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(r)</w:t>
              </w:r>
            </w:hyperlink>
          </w:p>
        </w:tc>
        <w:tc>
          <w:tcPr>
            <w:tcW w:w="6640" w:type="dxa"/>
            <w:vAlign w:val="bottom"/>
            <w:gridSpan w:val="34"/>
          </w:tcPr>
          <w:p>
            <w:pPr>
              <w:ind w:left="60"/>
              <w:spacing w:after="0"/>
              <w:rPr>
                <w:rFonts w:ascii="Arial" w:cs="Arial" w:eastAsia="Arial" w:hAnsi="Arial"/>
                <w:sz w:val="20"/>
                <w:szCs w:val="20"/>
                <w:color w:val="0563C1"/>
              </w:rPr>
            </w:pPr>
            <w:hyperlink w:anchor="page42">
              <w:r>
                <w:rPr>
                  <w:rFonts w:ascii="Arial" w:cs="Arial" w:eastAsia="Arial" w:hAnsi="Arial"/>
                  <w:sz w:val="20"/>
                  <w:szCs w:val="20"/>
                  <w:color w:val="0563C1"/>
                </w:rPr>
                <w:t>“</w:t>
              </w:r>
              <w:r>
                <w:rPr>
                  <w:rFonts w:ascii="Arial" w:cs="Arial" w:eastAsia="Arial" w:hAnsi="Arial"/>
                  <w:sz w:val="20"/>
                  <w:szCs w:val="20"/>
                  <w:i w:val="1"/>
                  <w:iCs w:val="1"/>
                  <w:color w:val="0563C1"/>
                </w:rPr>
                <w:t>Participant”</w:t>
              </w:r>
            </w:hyperlink>
          </w:p>
        </w:tc>
        <w:tc>
          <w:tcPr>
            <w:tcW w:w="226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3</w:t>
              </w:r>
            </w:hyperlink>
          </w:p>
        </w:tc>
      </w:tr>
      <w:tr>
        <w:trPr>
          <w:trHeight w:val="263"/>
        </w:trPr>
        <w:tc>
          <w:tcPr>
            <w:tcW w:w="340" w:type="dxa"/>
            <w:vAlign w:val="bottom"/>
            <w:tcBorders>
              <w:top w:val="single" w:sz="8" w:color="0563C1"/>
              <w:bottom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(s)</w:t>
              </w:r>
            </w:hyperlink>
          </w:p>
        </w:tc>
        <w:tc>
          <w:tcPr>
            <w:tcW w:w="860" w:type="dxa"/>
            <w:vAlign w:val="bottom"/>
            <w:tcBorders>
              <w:top w:val="single" w:sz="8" w:color="0563C1"/>
              <w:bottom w:val="single" w:sz="8" w:color="0563C1"/>
            </w:tcBorders>
            <w:gridSpan w:val="4"/>
          </w:tcPr>
          <w:p>
            <w:pPr>
              <w:ind w:left="80"/>
              <w:spacing w:after="0"/>
              <w:rPr>
                <w:rFonts w:ascii="Arial" w:cs="Arial" w:eastAsia="Arial" w:hAnsi="Arial"/>
                <w:sz w:val="20"/>
                <w:szCs w:val="20"/>
                <w:i w:val="1"/>
                <w:iCs w:val="1"/>
                <w:color w:val="0563C1"/>
                <w:w w:val="99"/>
              </w:rPr>
            </w:pPr>
            <w:hyperlink w:anchor="page42">
              <w:r>
                <w:rPr>
                  <w:rFonts w:ascii="Arial" w:cs="Arial" w:eastAsia="Arial" w:hAnsi="Arial"/>
                  <w:sz w:val="20"/>
                  <w:szCs w:val="20"/>
                  <w:i w:val="1"/>
                  <w:iCs w:val="1"/>
                  <w:color w:val="0563C1"/>
                  <w:w w:val="99"/>
                </w:rPr>
                <w:t>“Person”</w:t>
              </w:r>
            </w:hyperlink>
          </w:p>
        </w:tc>
        <w:tc>
          <w:tcPr>
            <w:tcW w:w="300" w:type="dxa"/>
            <w:vAlign w:val="bottom"/>
            <w:tcBorders>
              <w:top w:val="single" w:sz="8" w:color="0563C1"/>
            </w:tcBorders>
            <w:gridSpan w:val="4"/>
          </w:tcPr>
          <w:p>
            <w:pPr>
              <w:spacing w:after="0"/>
              <w:rPr>
                <w:sz w:val="22"/>
                <w:szCs w:val="22"/>
                <w:color w:val="auto"/>
              </w:rPr>
            </w:pPr>
          </w:p>
        </w:tc>
        <w:tc>
          <w:tcPr>
            <w:tcW w:w="5480" w:type="dxa"/>
            <w:vAlign w:val="bottom"/>
            <w:gridSpan w:val="26"/>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3</w:t>
              </w:r>
            </w:hyperlink>
          </w:p>
        </w:tc>
      </w:tr>
      <w:tr>
        <w:trPr>
          <w:trHeight w:val="263"/>
        </w:trPr>
        <w:tc>
          <w:tcPr>
            <w:tcW w:w="340" w:type="dxa"/>
            <w:vAlign w:val="bottom"/>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(t)</w:t>
              </w:r>
            </w:hyperlink>
          </w:p>
        </w:tc>
        <w:tc>
          <w:tcPr>
            <w:tcW w:w="6640" w:type="dxa"/>
            <w:vAlign w:val="bottom"/>
            <w:gridSpan w:val="34"/>
          </w:tcPr>
          <w:p>
            <w:pPr>
              <w:ind w:left="6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“Purchase Price”</w:t>
              </w:r>
            </w:hyperlink>
          </w:p>
        </w:tc>
        <w:tc>
          <w:tcPr>
            <w:tcW w:w="226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3</w:t>
              </w:r>
            </w:hyperlink>
          </w:p>
        </w:tc>
      </w:tr>
      <w:tr>
        <w:trPr>
          <w:trHeight w:val="264"/>
        </w:trPr>
        <w:tc>
          <w:tcPr>
            <w:tcW w:w="340" w:type="dxa"/>
            <w:vAlign w:val="bottom"/>
            <w:tcBorders>
              <w:top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(u)</w:t>
              </w:r>
            </w:hyperlink>
          </w:p>
        </w:tc>
        <w:tc>
          <w:tcPr>
            <w:tcW w:w="1480" w:type="dxa"/>
            <w:vAlign w:val="bottom"/>
            <w:tcBorders>
              <w:top w:val="single" w:sz="8" w:color="0563C1"/>
            </w:tcBorders>
            <w:gridSpan w:val="14"/>
          </w:tcPr>
          <w:p>
            <w:pPr>
              <w:ind w:left="10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“Securities Act”</w:t>
              </w:r>
            </w:hyperlink>
          </w:p>
        </w:tc>
        <w:tc>
          <w:tcPr>
            <w:tcW w:w="5160" w:type="dxa"/>
            <w:vAlign w:val="bottom"/>
            <w:gridSpan w:val="20"/>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top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3</w:t>
              </w:r>
            </w:hyperlink>
          </w:p>
        </w:tc>
      </w:tr>
      <w:tr>
        <w:trPr>
          <w:trHeight w:val="263"/>
        </w:trPr>
        <w:tc>
          <w:tcPr>
            <w:tcW w:w="340" w:type="dxa"/>
            <w:vAlign w:val="bottom"/>
            <w:tcBorders>
              <w:top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(v)</w:t>
              </w:r>
            </w:hyperlink>
          </w:p>
        </w:tc>
        <w:tc>
          <w:tcPr>
            <w:tcW w:w="1400" w:type="dxa"/>
            <w:vAlign w:val="bottom"/>
            <w:tcBorders>
              <w:top w:val="single" w:sz="8" w:color="0563C1"/>
            </w:tcBorders>
            <w:gridSpan w:val="11"/>
          </w:tcPr>
          <w:p>
            <w:pPr>
              <w:ind w:left="10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“Share”</w:t>
              </w:r>
            </w:hyperlink>
          </w:p>
        </w:tc>
        <w:tc>
          <w:tcPr>
            <w:tcW w:w="5240" w:type="dxa"/>
            <w:vAlign w:val="bottom"/>
            <w:gridSpan w:val="23"/>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top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3</w:t>
              </w:r>
            </w:hyperlink>
          </w:p>
        </w:tc>
      </w:tr>
      <w:tr>
        <w:trPr>
          <w:trHeight w:val="20"/>
        </w:trPr>
        <w:tc>
          <w:tcPr>
            <w:tcW w:w="340" w:type="dxa"/>
            <w:vAlign w:val="bottom"/>
            <w:shd w:val="clear" w:color="auto" w:fill="0563C1"/>
          </w:tcPr>
          <w:p>
            <w:pPr>
              <w:spacing w:after="0" w:line="20" w:lineRule="exact"/>
              <w:rPr>
                <w:sz w:val="1"/>
                <w:szCs w:val="1"/>
                <w:color w:val="auto"/>
              </w:rPr>
            </w:pPr>
          </w:p>
        </w:tc>
        <w:tc>
          <w:tcPr>
            <w:tcW w:w="760" w:type="dxa"/>
            <w:vAlign w:val="bottom"/>
            <w:gridSpan w:val="2"/>
            <w:shd w:val="clear" w:color="auto" w:fill="0563C1"/>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340" w:type="dxa"/>
            <w:vAlign w:val="bottom"/>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(w)</w:t>
              </w:r>
            </w:hyperlink>
          </w:p>
        </w:tc>
        <w:tc>
          <w:tcPr>
            <w:tcW w:w="6640" w:type="dxa"/>
            <w:vAlign w:val="bottom"/>
            <w:gridSpan w:val="34"/>
          </w:tcPr>
          <w:p>
            <w:pPr>
              <w:ind w:left="14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“Share Purchase Right”</w:t>
              </w:r>
            </w:hyperlink>
          </w:p>
        </w:tc>
        <w:tc>
          <w:tcPr>
            <w:tcW w:w="226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3</w:t>
              </w:r>
            </w:hyperlink>
          </w:p>
        </w:tc>
      </w:tr>
      <w:tr>
        <w:trPr>
          <w:trHeight w:val="264"/>
        </w:trPr>
        <w:tc>
          <w:tcPr>
            <w:tcW w:w="340" w:type="dxa"/>
            <w:vAlign w:val="bottom"/>
            <w:tcBorders>
              <w:top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(x)</w:t>
              </w:r>
            </w:hyperlink>
          </w:p>
        </w:tc>
        <w:tc>
          <w:tcPr>
            <w:tcW w:w="2080" w:type="dxa"/>
            <w:vAlign w:val="bottom"/>
            <w:tcBorders>
              <w:top w:val="single" w:sz="8" w:color="0563C1"/>
            </w:tcBorders>
            <w:gridSpan w:val="22"/>
          </w:tcPr>
          <w:p>
            <w:pPr>
              <w:ind w:left="10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“Subsidiary”</w:t>
              </w:r>
            </w:hyperlink>
          </w:p>
        </w:tc>
        <w:tc>
          <w:tcPr>
            <w:tcW w:w="4560" w:type="dxa"/>
            <w:vAlign w:val="bottom"/>
            <w:gridSpan w:val="12"/>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top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3</w:t>
              </w:r>
            </w:hyperlink>
          </w:p>
        </w:tc>
      </w:tr>
      <w:tr>
        <w:trPr>
          <w:trHeight w:val="20"/>
        </w:trPr>
        <w:tc>
          <w:tcPr>
            <w:tcW w:w="1500" w:type="dxa"/>
            <w:vAlign w:val="bottom"/>
            <w:gridSpan w:val="9"/>
            <w:shd w:val="clear" w:color="auto" w:fill="0563C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6980" w:type="dxa"/>
            <w:vAlign w:val="bottom"/>
            <w:gridSpan w:val="35"/>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Article III Available Shares and Adjustments</w:t>
              </w:r>
            </w:hyperlink>
          </w:p>
        </w:tc>
        <w:tc>
          <w:tcPr>
            <w:tcW w:w="226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3</w:t>
              </w:r>
            </w:hyperlink>
          </w:p>
        </w:tc>
      </w:tr>
      <w:tr>
        <w:trPr>
          <w:trHeight w:val="263"/>
        </w:trPr>
        <w:tc>
          <w:tcPr>
            <w:tcW w:w="1080" w:type="dxa"/>
            <w:vAlign w:val="bottom"/>
            <w:tcBorders>
              <w:top w:val="single" w:sz="8" w:color="0563C1"/>
              <w:bottom w:val="single" w:sz="8" w:color="0563C1"/>
            </w:tcBorders>
            <w:gridSpan w:val="2"/>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Section 3.1</w:t>
              </w:r>
            </w:hyperlink>
          </w:p>
        </w:tc>
        <w:tc>
          <w:tcPr>
            <w:tcW w:w="1400" w:type="dxa"/>
            <w:vAlign w:val="bottom"/>
            <w:tcBorders>
              <w:top w:val="single" w:sz="8" w:color="0563C1"/>
              <w:bottom w:val="single" w:sz="8" w:color="0563C1"/>
            </w:tcBorders>
            <w:gridSpan w:val="22"/>
          </w:tcPr>
          <w:p>
            <w:pPr>
              <w:ind w:left="20"/>
              <w:spacing w:after="0"/>
              <w:rPr>
                <w:rFonts w:ascii="Arial" w:cs="Arial" w:eastAsia="Arial" w:hAnsi="Arial"/>
                <w:sz w:val="20"/>
                <w:szCs w:val="20"/>
                <w:i w:val="1"/>
                <w:iCs w:val="1"/>
                <w:color w:val="0563C1"/>
                <w:w w:val="87"/>
              </w:rPr>
            </w:pPr>
            <w:hyperlink w:anchor="page42">
              <w:r>
                <w:rPr>
                  <w:rFonts w:ascii="Arial" w:cs="Arial" w:eastAsia="Arial" w:hAnsi="Arial"/>
                  <w:sz w:val="20"/>
                  <w:szCs w:val="20"/>
                  <w:i w:val="1"/>
                  <w:iCs w:val="1"/>
                  <w:color w:val="0563C1"/>
                  <w:w w:val="87"/>
                </w:rPr>
                <w:t>Available Shares.</w:t>
              </w:r>
            </w:hyperlink>
          </w:p>
        </w:tc>
        <w:tc>
          <w:tcPr>
            <w:tcW w:w="1080" w:type="dxa"/>
            <w:vAlign w:val="bottom"/>
            <w:tcBorders>
              <w:top w:val="single" w:sz="8" w:color="0563C1"/>
            </w:tcBorders>
            <w:gridSpan w:val="9"/>
          </w:tcPr>
          <w:p>
            <w:pPr>
              <w:spacing w:after="0"/>
              <w:rPr>
                <w:sz w:val="22"/>
                <w:szCs w:val="22"/>
                <w:color w:val="auto"/>
              </w:rPr>
            </w:pPr>
          </w:p>
        </w:tc>
        <w:tc>
          <w:tcPr>
            <w:tcW w:w="3420" w:type="dxa"/>
            <w:vAlign w:val="bottom"/>
            <w:gridSpan w:val="2"/>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3</w:t>
              </w:r>
            </w:hyperlink>
          </w:p>
        </w:tc>
      </w:tr>
      <w:tr>
        <w:trPr>
          <w:trHeight w:val="264"/>
        </w:trPr>
        <w:tc>
          <w:tcPr>
            <w:tcW w:w="1080" w:type="dxa"/>
            <w:vAlign w:val="bottom"/>
            <w:gridSpan w:val="2"/>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Section 3.2</w:t>
              </w:r>
            </w:hyperlink>
          </w:p>
        </w:tc>
        <w:tc>
          <w:tcPr>
            <w:tcW w:w="5900" w:type="dxa"/>
            <w:vAlign w:val="bottom"/>
            <w:gridSpan w:val="33"/>
          </w:tcPr>
          <w:p>
            <w:pPr>
              <w:ind w:left="2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Shares</w:t>
              </w:r>
            </w:hyperlink>
          </w:p>
        </w:tc>
        <w:tc>
          <w:tcPr>
            <w:tcW w:w="226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4</w:t>
              </w:r>
            </w:hyperlink>
          </w:p>
        </w:tc>
      </w:tr>
      <w:tr>
        <w:trPr>
          <w:trHeight w:val="20"/>
        </w:trPr>
        <w:tc>
          <w:tcPr>
            <w:tcW w:w="1080" w:type="dxa"/>
            <w:vAlign w:val="bottom"/>
            <w:gridSpan w:val="2"/>
            <w:shd w:val="clear" w:color="auto" w:fill="0563C1"/>
          </w:tcPr>
          <w:p>
            <w:pPr>
              <w:spacing w:after="0" w:line="20" w:lineRule="exact"/>
              <w:rPr>
                <w:sz w:val="1"/>
                <w:szCs w:val="1"/>
                <w:color w:val="auto"/>
              </w:rPr>
            </w:pPr>
          </w:p>
        </w:tc>
        <w:tc>
          <w:tcPr>
            <w:tcW w:w="540" w:type="dxa"/>
            <w:vAlign w:val="bottom"/>
            <w:gridSpan w:val="9"/>
            <w:shd w:val="clear" w:color="auto" w:fill="0563C1"/>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1080" w:type="dxa"/>
            <w:vAlign w:val="bottom"/>
            <w:tcBorders>
              <w:bottom w:val="single" w:sz="8" w:color="0563C1"/>
            </w:tcBorders>
            <w:gridSpan w:val="2"/>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Section 3.3</w:t>
              </w:r>
            </w:hyperlink>
          </w:p>
        </w:tc>
        <w:tc>
          <w:tcPr>
            <w:tcW w:w="1040" w:type="dxa"/>
            <w:vAlign w:val="bottom"/>
            <w:tcBorders>
              <w:bottom w:val="single" w:sz="8" w:color="0563C1"/>
            </w:tcBorders>
            <w:gridSpan w:val="19"/>
          </w:tcPr>
          <w:p>
            <w:pPr>
              <w:ind w:left="20"/>
              <w:spacing w:after="0"/>
              <w:rPr>
                <w:rFonts w:ascii="Arial" w:cs="Arial" w:eastAsia="Arial" w:hAnsi="Arial"/>
                <w:sz w:val="20"/>
                <w:szCs w:val="20"/>
                <w:i w:val="1"/>
                <w:iCs w:val="1"/>
                <w:color w:val="0563C1"/>
                <w:w w:val="86"/>
              </w:rPr>
            </w:pPr>
            <w:hyperlink w:anchor="page42">
              <w:r>
                <w:rPr>
                  <w:rFonts w:ascii="Arial" w:cs="Arial" w:eastAsia="Arial" w:hAnsi="Arial"/>
                  <w:sz w:val="20"/>
                  <w:szCs w:val="20"/>
                  <w:i w:val="1"/>
                  <w:iCs w:val="1"/>
                  <w:color w:val="0563C1"/>
                  <w:w w:val="86"/>
                </w:rPr>
                <w:t>Adjustments.</w:t>
              </w:r>
            </w:hyperlink>
          </w:p>
        </w:tc>
        <w:tc>
          <w:tcPr>
            <w:tcW w:w="4860" w:type="dxa"/>
            <w:vAlign w:val="bottom"/>
            <w:gridSpan w:val="14"/>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4</w:t>
              </w:r>
            </w:hyperlink>
          </w:p>
        </w:tc>
      </w:tr>
      <w:tr>
        <w:trPr>
          <w:trHeight w:val="263"/>
        </w:trPr>
        <w:tc>
          <w:tcPr>
            <w:tcW w:w="6980" w:type="dxa"/>
            <w:vAlign w:val="bottom"/>
            <w:gridSpan w:val="35"/>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Article IV Eligibility</w:t>
              </w:r>
            </w:hyperlink>
          </w:p>
        </w:tc>
        <w:tc>
          <w:tcPr>
            <w:tcW w:w="226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4</w:t>
              </w:r>
            </w:hyperlink>
          </w:p>
        </w:tc>
      </w:tr>
      <w:tr>
        <w:trPr>
          <w:trHeight w:val="20"/>
        </w:trPr>
        <w:tc>
          <w:tcPr>
            <w:tcW w:w="34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4"/>
        </w:trPr>
        <w:tc>
          <w:tcPr>
            <w:tcW w:w="1080" w:type="dxa"/>
            <w:vAlign w:val="bottom"/>
            <w:gridSpan w:val="2"/>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Section 4.1</w:t>
              </w:r>
            </w:hyperlink>
          </w:p>
        </w:tc>
        <w:tc>
          <w:tcPr>
            <w:tcW w:w="5900" w:type="dxa"/>
            <w:vAlign w:val="bottom"/>
            <w:gridSpan w:val="33"/>
          </w:tcPr>
          <w:p>
            <w:pPr>
              <w:ind w:left="2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Eligible Employees</w:t>
              </w:r>
            </w:hyperlink>
          </w:p>
        </w:tc>
        <w:tc>
          <w:tcPr>
            <w:tcW w:w="226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4</w:t>
              </w:r>
            </w:hyperlink>
          </w:p>
        </w:tc>
      </w:tr>
      <w:tr>
        <w:trPr>
          <w:trHeight w:val="20"/>
        </w:trPr>
        <w:tc>
          <w:tcPr>
            <w:tcW w:w="1800" w:type="dxa"/>
            <w:vAlign w:val="bottom"/>
            <w:gridSpan w:val="14"/>
            <w:shd w:val="clear" w:color="auto" w:fill="0563C1"/>
          </w:tcPr>
          <w:p>
            <w:pPr>
              <w:spacing w:after="0" w:line="20" w:lineRule="exact"/>
              <w:rPr>
                <w:sz w:val="1"/>
                <w:szCs w:val="1"/>
                <w:color w:val="auto"/>
              </w:rPr>
            </w:pPr>
          </w:p>
        </w:tc>
        <w:tc>
          <w:tcPr>
            <w:tcW w:w="40" w:type="dxa"/>
            <w:vAlign w:val="bottom"/>
            <w:gridSpan w:val="2"/>
            <w:shd w:val="clear" w:color="auto" w:fill="0563C1"/>
          </w:tcPr>
          <w:p>
            <w:pPr>
              <w:spacing w:after="0" w:line="20" w:lineRule="exact"/>
              <w:rPr>
                <w:sz w:val="1"/>
                <w:szCs w:val="1"/>
                <w:color w:val="auto"/>
              </w:rPr>
            </w:pPr>
          </w:p>
        </w:tc>
        <w:tc>
          <w:tcPr>
            <w:tcW w:w="140" w:type="dxa"/>
            <w:vAlign w:val="bottom"/>
            <w:gridSpan w:val="4"/>
            <w:shd w:val="clear" w:color="auto" w:fill="0563C1"/>
          </w:tcPr>
          <w:p>
            <w:pPr>
              <w:spacing w:after="0" w:line="20" w:lineRule="exact"/>
              <w:rPr>
                <w:sz w:val="1"/>
                <w:szCs w:val="1"/>
                <w:color w:val="auto"/>
              </w:rPr>
            </w:pPr>
          </w:p>
        </w:tc>
        <w:tc>
          <w:tcPr>
            <w:tcW w:w="340" w:type="dxa"/>
            <w:vAlign w:val="bottom"/>
            <w:gridSpan w:val="2"/>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100" w:type="dxa"/>
            <w:vAlign w:val="bottom"/>
            <w:tcBorders>
              <w:right w:val="single" w:sz="8" w:color="0563C1"/>
            </w:tcBorders>
            <w:gridSpan w:val="2"/>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3200" w:type="dxa"/>
            <w:vAlign w:val="bottom"/>
            <w:tcBorders>
              <w:bottom w:val="single" w:sz="8" w:color="0563C1"/>
            </w:tcBorders>
            <w:gridSpan w:val="31"/>
          </w:tcPr>
          <w:p>
            <w:pPr>
              <w:spacing w:after="0"/>
              <w:rPr>
                <w:rFonts w:ascii="Arial" w:cs="Arial" w:eastAsia="Arial" w:hAnsi="Arial"/>
                <w:sz w:val="20"/>
                <w:szCs w:val="20"/>
                <w:color w:val="0563C1"/>
                <w:w w:val="91"/>
              </w:rPr>
            </w:pPr>
            <w:hyperlink w:anchor="page42">
              <w:r>
                <w:rPr>
                  <w:rFonts w:ascii="Arial" w:cs="Arial" w:eastAsia="Arial" w:hAnsi="Arial"/>
                  <w:sz w:val="20"/>
                  <w:szCs w:val="20"/>
                  <w:color w:val="0563C1"/>
                  <w:w w:val="91"/>
                </w:rPr>
                <w:t xml:space="preserve">Section 4.2  </w:t>
              </w:r>
              <w:r>
                <w:rPr>
                  <w:rFonts w:ascii="Arial" w:cs="Arial" w:eastAsia="Arial" w:hAnsi="Arial"/>
                  <w:sz w:val="20"/>
                  <w:szCs w:val="20"/>
                  <w:i w:val="1"/>
                  <w:iCs w:val="1"/>
                  <w:color w:val="0563C1"/>
                  <w:w w:val="91"/>
                </w:rPr>
                <w:t>Five Percent Shareholders</w:t>
              </w:r>
            </w:hyperlink>
          </w:p>
        </w:tc>
        <w:tc>
          <w:tcPr>
            <w:tcW w:w="3780" w:type="dxa"/>
            <w:vAlign w:val="bottom"/>
            <w:gridSpan w:val="4"/>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5</w:t>
              </w:r>
            </w:hyperlink>
          </w:p>
        </w:tc>
      </w:tr>
      <w:tr>
        <w:trPr>
          <w:trHeight w:val="264"/>
        </w:trPr>
        <w:tc>
          <w:tcPr>
            <w:tcW w:w="6980" w:type="dxa"/>
            <w:vAlign w:val="bottom"/>
            <w:gridSpan w:val="35"/>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Article V Participation</w:t>
              </w:r>
            </w:hyperlink>
          </w:p>
        </w:tc>
        <w:tc>
          <w:tcPr>
            <w:tcW w:w="226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5</w:t>
              </w:r>
            </w:hyperlink>
          </w:p>
        </w:tc>
      </w:tr>
      <w:tr>
        <w:trPr>
          <w:trHeight w:val="20"/>
        </w:trPr>
        <w:tc>
          <w:tcPr>
            <w:tcW w:w="1080" w:type="dxa"/>
            <w:vAlign w:val="bottom"/>
            <w:gridSpan w:val="2"/>
            <w:shd w:val="clear" w:color="auto" w:fill="0563C1"/>
          </w:tcPr>
          <w:p>
            <w:pPr>
              <w:spacing w:after="0" w:line="20" w:lineRule="exact"/>
              <w:rPr>
                <w:sz w:val="1"/>
                <w:szCs w:val="1"/>
                <w:color w:val="auto"/>
              </w:rPr>
            </w:pPr>
          </w:p>
        </w:tc>
        <w:tc>
          <w:tcPr>
            <w:tcW w:w="720" w:type="dxa"/>
            <w:vAlign w:val="bottom"/>
            <w:gridSpan w:val="12"/>
            <w:shd w:val="clear" w:color="auto" w:fill="0563C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1080" w:type="dxa"/>
            <w:vAlign w:val="bottom"/>
            <w:tcBorders>
              <w:bottom w:val="single" w:sz="8" w:color="0563C1"/>
            </w:tcBorders>
            <w:gridSpan w:val="2"/>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Section 5.1</w:t>
              </w:r>
            </w:hyperlink>
          </w:p>
        </w:tc>
        <w:tc>
          <w:tcPr>
            <w:tcW w:w="900" w:type="dxa"/>
            <w:vAlign w:val="bottom"/>
            <w:tcBorders>
              <w:bottom w:val="single" w:sz="8" w:color="0563C1"/>
            </w:tcBorders>
            <w:gridSpan w:val="18"/>
          </w:tcPr>
          <w:p>
            <w:pPr>
              <w:ind w:left="20"/>
              <w:spacing w:after="0"/>
              <w:rPr>
                <w:rFonts w:ascii="Arial" w:cs="Arial" w:eastAsia="Arial" w:hAnsi="Arial"/>
                <w:sz w:val="20"/>
                <w:szCs w:val="20"/>
                <w:i w:val="1"/>
                <w:iCs w:val="1"/>
                <w:color w:val="0563C1"/>
                <w:w w:val="89"/>
              </w:rPr>
            </w:pPr>
            <w:hyperlink w:anchor="page42">
              <w:r>
                <w:rPr>
                  <w:rFonts w:ascii="Arial" w:cs="Arial" w:eastAsia="Arial" w:hAnsi="Arial"/>
                  <w:sz w:val="20"/>
                  <w:szCs w:val="20"/>
                  <w:i w:val="1"/>
                  <w:iCs w:val="1"/>
                  <w:color w:val="0563C1"/>
                  <w:w w:val="89"/>
                </w:rPr>
                <w:t>Enrollment</w:t>
              </w:r>
            </w:hyperlink>
          </w:p>
        </w:tc>
        <w:tc>
          <w:tcPr>
            <w:tcW w:w="5000" w:type="dxa"/>
            <w:vAlign w:val="bottom"/>
            <w:gridSpan w:val="15"/>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5</w:t>
              </w:r>
            </w:hyperlink>
          </w:p>
        </w:tc>
      </w:tr>
      <w:tr>
        <w:trPr>
          <w:trHeight w:val="263"/>
        </w:trPr>
        <w:tc>
          <w:tcPr>
            <w:tcW w:w="1080" w:type="dxa"/>
            <w:vAlign w:val="bottom"/>
            <w:gridSpan w:val="2"/>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Section 5.2</w:t>
              </w:r>
            </w:hyperlink>
          </w:p>
        </w:tc>
        <w:tc>
          <w:tcPr>
            <w:tcW w:w="5900" w:type="dxa"/>
            <w:vAlign w:val="bottom"/>
            <w:gridSpan w:val="33"/>
          </w:tcPr>
          <w:p>
            <w:pPr>
              <w:ind w:left="2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Evergreen Election.</w:t>
              </w:r>
            </w:hyperlink>
          </w:p>
        </w:tc>
        <w:tc>
          <w:tcPr>
            <w:tcW w:w="226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5</w:t>
              </w:r>
            </w:hyperlink>
          </w:p>
        </w:tc>
      </w:tr>
      <w:tr>
        <w:trPr>
          <w:trHeight w:val="20"/>
        </w:trPr>
        <w:tc>
          <w:tcPr>
            <w:tcW w:w="34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2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tcBorders>
              <w:right w:val="single" w:sz="8" w:color="0563C1"/>
            </w:tcBorders>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4"/>
        </w:trPr>
        <w:tc>
          <w:tcPr>
            <w:tcW w:w="3280" w:type="dxa"/>
            <w:vAlign w:val="bottom"/>
            <w:tcBorders>
              <w:bottom w:val="single" w:sz="8" w:color="0563C1"/>
            </w:tcBorders>
            <w:gridSpan w:val="32"/>
          </w:tcPr>
          <w:p>
            <w:pPr>
              <w:spacing w:after="0"/>
              <w:rPr>
                <w:rFonts w:ascii="Arial" w:cs="Arial" w:eastAsia="Arial" w:hAnsi="Arial"/>
                <w:sz w:val="20"/>
                <w:szCs w:val="20"/>
                <w:color w:val="0563C1"/>
                <w:w w:val="91"/>
              </w:rPr>
            </w:pPr>
            <w:hyperlink w:anchor="page42">
              <w:r>
                <w:rPr>
                  <w:rFonts w:ascii="Arial" w:cs="Arial" w:eastAsia="Arial" w:hAnsi="Arial"/>
                  <w:sz w:val="20"/>
                  <w:szCs w:val="20"/>
                  <w:color w:val="0563C1"/>
                  <w:w w:val="91"/>
                </w:rPr>
                <w:t xml:space="preserve">Section 5.3  </w:t>
              </w:r>
              <w:r>
                <w:rPr>
                  <w:rFonts w:ascii="Arial" w:cs="Arial" w:eastAsia="Arial" w:hAnsi="Arial"/>
                  <w:sz w:val="20"/>
                  <w:szCs w:val="20"/>
                  <w:i w:val="1"/>
                  <w:iCs w:val="1"/>
                  <w:color w:val="0563C1"/>
                  <w:w w:val="91"/>
                </w:rPr>
                <w:t>Same Rights and Privileges</w:t>
              </w:r>
            </w:hyperlink>
          </w:p>
        </w:tc>
        <w:tc>
          <w:tcPr>
            <w:tcW w:w="3700" w:type="dxa"/>
            <w:vAlign w:val="bottom"/>
            <w:gridSpan w:val="3"/>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5</w:t>
              </w:r>
            </w:hyperlink>
          </w:p>
        </w:tc>
      </w:tr>
      <w:tr>
        <w:trPr>
          <w:trHeight w:val="264"/>
        </w:trPr>
        <w:tc>
          <w:tcPr>
            <w:tcW w:w="3040" w:type="dxa"/>
            <w:vAlign w:val="bottom"/>
            <w:tcBorders>
              <w:bottom w:val="single" w:sz="8" w:color="0563C1"/>
            </w:tcBorders>
            <w:gridSpan w:val="29"/>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Article VI Share Purchase Rights</w:t>
              </w:r>
            </w:hyperlink>
          </w:p>
        </w:tc>
        <w:tc>
          <w:tcPr>
            <w:tcW w:w="3940" w:type="dxa"/>
            <w:vAlign w:val="bottom"/>
            <w:gridSpan w:val="6"/>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5</w:t>
              </w:r>
            </w:hyperlink>
          </w:p>
        </w:tc>
      </w:tr>
      <w:tr>
        <w:trPr>
          <w:trHeight w:val="264"/>
        </w:trPr>
        <w:tc>
          <w:tcPr>
            <w:tcW w:w="2520" w:type="dxa"/>
            <w:vAlign w:val="bottom"/>
            <w:tcBorders>
              <w:bottom w:val="single" w:sz="8" w:color="0563C1"/>
            </w:tcBorders>
            <w:gridSpan w:val="25"/>
          </w:tcPr>
          <w:p>
            <w:pPr>
              <w:spacing w:after="0"/>
              <w:rPr>
                <w:rFonts w:ascii="Arial" w:cs="Arial" w:eastAsia="Arial" w:hAnsi="Arial"/>
                <w:sz w:val="20"/>
                <w:szCs w:val="20"/>
                <w:color w:val="0563C1"/>
                <w:w w:val="91"/>
              </w:rPr>
            </w:pPr>
            <w:hyperlink w:anchor="page42">
              <w:r>
                <w:rPr>
                  <w:rFonts w:ascii="Arial" w:cs="Arial" w:eastAsia="Arial" w:hAnsi="Arial"/>
                  <w:sz w:val="20"/>
                  <w:szCs w:val="20"/>
                  <w:color w:val="0563C1"/>
                  <w:w w:val="91"/>
                </w:rPr>
                <w:t xml:space="preserve">Section 6.1  </w:t>
              </w:r>
              <w:r>
                <w:rPr>
                  <w:rFonts w:ascii="Arial" w:cs="Arial" w:eastAsia="Arial" w:hAnsi="Arial"/>
                  <w:sz w:val="20"/>
                  <w:szCs w:val="20"/>
                  <w:i w:val="1"/>
                  <w:iCs w:val="1"/>
                  <w:color w:val="0563C1"/>
                  <w:w w:val="91"/>
                </w:rPr>
                <w:t>Number of Shares</w:t>
              </w:r>
            </w:hyperlink>
          </w:p>
        </w:tc>
        <w:tc>
          <w:tcPr>
            <w:tcW w:w="4460" w:type="dxa"/>
            <w:vAlign w:val="bottom"/>
            <w:gridSpan w:val="10"/>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5</w:t>
              </w:r>
            </w:hyperlink>
          </w:p>
        </w:tc>
      </w:tr>
      <w:tr>
        <w:trPr>
          <w:trHeight w:val="263"/>
        </w:trPr>
        <w:tc>
          <w:tcPr>
            <w:tcW w:w="3040" w:type="dxa"/>
            <w:vAlign w:val="bottom"/>
            <w:tcBorders>
              <w:bottom w:val="single" w:sz="8" w:color="0563C1"/>
            </w:tcBorders>
            <w:gridSpan w:val="29"/>
          </w:tcPr>
          <w:p>
            <w:pPr>
              <w:spacing w:after="0"/>
              <w:rPr>
                <w:rFonts w:ascii="Arial" w:cs="Arial" w:eastAsia="Arial" w:hAnsi="Arial"/>
                <w:sz w:val="20"/>
                <w:szCs w:val="20"/>
                <w:color w:val="0563C1"/>
                <w:w w:val="93"/>
              </w:rPr>
            </w:pPr>
            <w:hyperlink w:anchor="page42">
              <w:r>
                <w:rPr>
                  <w:rFonts w:ascii="Arial" w:cs="Arial" w:eastAsia="Arial" w:hAnsi="Arial"/>
                  <w:sz w:val="20"/>
                  <w:szCs w:val="20"/>
                  <w:color w:val="0563C1"/>
                  <w:w w:val="93"/>
                </w:rPr>
                <w:t xml:space="preserve">Section 6.2  </w:t>
              </w:r>
              <w:r>
                <w:rPr>
                  <w:rFonts w:ascii="Arial" w:cs="Arial" w:eastAsia="Arial" w:hAnsi="Arial"/>
                  <w:sz w:val="20"/>
                  <w:szCs w:val="20"/>
                  <w:i w:val="1"/>
                  <w:iCs w:val="1"/>
                  <w:color w:val="0563C1"/>
                  <w:w w:val="93"/>
                </w:rPr>
                <w:t>Limitation on Purchases</w:t>
              </w:r>
            </w:hyperlink>
          </w:p>
        </w:tc>
        <w:tc>
          <w:tcPr>
            <w:tcW w:w="3940" w:type="dxa"/>
            <w:vAlign w:val="bottom"/>
            <w:gridSpan w:val="6"/>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6</w:t>
              </w:r>
            </w:hyperlink>
          </w:p>
        </w:tc>
      </w:tr>
      <w:tr>
        <w:trPr>
          <w:trHeight w:val="264"/>
        </w:trPr>
        <w:tc>
          <w:tcPr>
            <w:tcW w:w="1080" w:type="dxa"/>
            <w:vAlign w:val="bottom"/>
            <w:tcBorders>
              <w:bottom w:val="single" w:sz="8" w:color="0563C1"/>
            </w:tcBorders>
            <w:gridSpan w:val="2"/>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Section 6.3</w:t>
              </w:r>
            </w:hyperlink>
          </w:p>
        </w:tc>
        <w:tc>
          <w:tcPr>
            <w:tcW w:w="1240" w:type="dxa"/>
            <w:vAlign w:val="bottom"/>
            <w:tcBorders>
              <w:bottom w:val="single" w:sz="8" w:color="0563C1"/>
            </w:tcBorders>
            <w:gridSpan w:val="20"/>
          </w:tcPr>
          <w:p>
            <w:pPr>
              <w:ind w:left="20"/>
              <w:spacing w:after="0"/>
              <w:rPr>
                <w:rFonts w:ascii="Arial" w:cs="Arial" w:eastAsia="Arial" w:hAnsi="Arial"/>
                <w:sz w:val="20"/>
                <w:szCs w:val="20"/>
                <w:i w:val="1"/>
                <w:iCs w:val="1"/>
                <w:color w:val="0563C1"/>
                <w:w w:val="88"/>
              </w:rPr>
            </w:pPr>
            <w:hyperlink w:anchor="page42">
              <w:r>
                <w:rPr>
                  <w:rFonts w:ascii="Arial" w:cs="Arial" w:eastAsia="Arial" w:hAnsi="Arial"/>
                  <w:sz w:val="20"/>
                  <w:szCs w:val="20"/>
                  <w:i w:val="1"/>
                  <w:iCs w:val="1"/>
                  <w:color w:val="0563C1"/>
                  <w:w w:val="88"/>
                </w:rPr>
                <w:t>Purchase Price</w:t>
              </w:r>
            </w:hyperlink>
          </w:p>
        </w:tc>
        <w:tc>
          <w:tcPr>
            <w:tcW w:w="4660" w:type="dxa"/>
            <w:vAlign w:val="bottom"/>
            <w:gridSpan w:val="13"/>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6</w:t>
              </w:r>
            </w:hyperlink>
          </w:p>
        </w:tc>
      </w:tr>
      <w:tr>
        <w:trPr>
          <w:trHeight w:val="264"/>
        </w:trPr>
        <w:tc>
          <w:tcPr>
            <w:tcW w:w="6980" w:type="dxa"/>
            <w:vAlign w:val="bottom"/>
            <w:gridSpan w:val="35"/>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Article VII Purchase of Shares Under Share Purchase Rights</w:t>
              </w:r>
            </w:hyperlink>
          </w:p>
        </w:tc>
        <w:tc>
          <w:tcPr>
            <w:tcW w:w="226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6</w:t>
              </w:r>
            </w:hyperlink>
          </w:p>
        </w:tc>
      </w:tr>
      <w:tr>
        <w:trPr>
          <w:trHeight w:val="263"/>
        </w:trPr>
        <w:tc>
          <w:tcPr>
            <w:tcW w:w="1080" w:type="dxa"/>
            <w:vAlign w:val="bottom"/>
            <w:tcBorders>
              <w:top w:val="single" w:sz="8" w:color="0563C1"/>
              <w:bottom w:val="single" w:sz="8" w:color="0563C1"/>
            </w:tcBorders>
            <w:gridSpan w:val="2"/>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Section 7.1</w:t>
              </w:r>
            </w:hyperlink>
          </w:p>
        </w:tc>
        <w:tc>
          <w:tcPr>
            <w:tcW w:w="760" w:type="dxa"/>
            <w:vAlign w:val="bottom"/>
            <w:tcBorders>
              <w:top w:val="single" w:sz="8" w:color="0563C1"/>
              <w:bottom w:val="single" w:sz="8" w:color="0563C1"/>
            </w:tcBorders>
            <w:gridSpan w:val="14"/>
          </w:tcPr>
          <w:p>
            <w:pPr>
              <w:ind w:left="20"/>
              <w:spacing w:after="0"/>
              <w:rPr>
                <w:rFonts w:ascii="Arial" w:cs="Arial" w:eastAsia="Arial" w:hAnsi="Arial"/>
                <w:sz w:val="20"/>
                <w:szCs w:val="20"/>
                <w:i w:val="1"/>
                <w:iCs w:val="1"/>
                <w:color w:val="0563C1"/>
                <w:w w:val="85"/>
              </w:rPr>
            </w:pPr>
            <w:hyperlink w:anchor="page42">
              <w:r>
                <w:rPr>
                  <w:rFonts w:ascii="Arial" w:cs="Arial" w:eastAsia="Arial" w:hAnsi="Arial"/>
                  <w:sz w:val="20"/>
                  <w:szCs w:val="20"/>
                  <w:i w:val="1"/>
                  <w:iCs w:val="1"/>
                  <w:color w:val="0563C1"/>
                  <w:w w:val="85"/>
                </w:rPr>
                <w:t>Purchase</w:t>
              </w:r>
            </w:hyperlink>
          </w:p>
        </w:tc>
        <w:tc>
          <w:tcPr>
            <w:tcW w:w="2960" w:type="dxa"/>
            <w:vAlign w:val="bottom"/>
            <w:tcBorders>
              <w:top w:val="single" w:sz="8" w:color="0563C1"/>
            </w:tcBorders>
            <w:gridSpan w:val="18"/>
          </w:tcPr>
          <w:p>
            <w:pPr>
              <w:spacing w:after="0"/>
              <w:rPr>
                <w:sz w:val="22"/>
                <w:szCs w:val="22"/>
                <w:color w:val="auto"/>
              </w:rPr>
            </w:pPr>
          </w:p>
        </w:tc>
        <w:tc>
          <w:tcPr>
            <w:tcW w:w="21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6</w:t>
              </w:r>
            </w:hyperlink>
          </w:p>
        </w:tc>
      </w:tr>
      <w:tr>
        <w:trPr>
          <w:trHeight w:val="264"/>
        </w:trPr>
        <w:tc>
          <w:tcPr>
            <w:tcW w:w="1080" w:type="dxa"/>
            <w:vAlign w:val="bottom"/>
            <w:tcBorders>
              <w:bottom w:val="single" w:sz="8" w:color="0563C1"/>
            </w:tcBorders>
            <w:gridSpan w:val="2"/>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Section 7.2</w:t>
              </w:r>
            </w:hyperlink>
          </w:p>
        </w:tc>
        <w:tc>
          <w:tcPr>
            <w:tcW w:w="5900" w:type="dxa"/>
            <w:vAlign w:val="bottom"/>
            <w:tcBorders>
              <w:bottom w:val="single" w:sz="8" w:color="0563C1"/>
            </w:tcBorders>
            <w:gridSpan w:val="33"/>
          </w:tcPr>
          <w:p>
            <w:pPr>
              <w:ind w:left="2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Registration Compliance</w:t>
              </w:r>
            </w:hyperlink>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6</w:t>
              </w:r>
            </w:hyperlink>
          </w:p>
        </w:tc>
      </w:tr>
      <w:tr>
        <w:trPr>
          <w:trHeight w:val="264"/>
        </w:trPr>
        <w:tc>
          <w:tcPr>
            <w:tcW w:w="2620" w:type="dxa"/>
            <w:vAlign w:val="bottom"/>
            <w:tcBorders>
              <w:bottom w:val="single" w:sz="8" w:color="0563C1"/>
            </w:tcBorders>
            <w:gridSpan w:val="27"/>
          </w:tcPr>
          <w:p>
            <w:pPr>
              <w:spacing w:after="0"/>
              <w:rPr>
                <w:rFonts w:ascii="Arial" w:cs="Arial" w:eastAsia="Arial" w:hAnsi="Arial"/>
                <w:sz w:val="20"/>
                <w:szCs w:val="20"/>
                <w:color w:val="0563C1"/>
                <w:w w:val="93"/>
              </w:rPr>
            </w:pPr>
            <w:hyperlink w:anchor="page42">
              <w:r>
                <w:rPr>
                  <w:rFonts w:ascii="Arial" w:cs="Arial" w:eastAsia="Arial" w:hAnsi="Arial"/>
                  <w:sz w:val="20"/>
                  <w:szCs w:val="20"/>
                  <w:color w:val="0563C1"/>
                  <w:w w:val="93"/>
                </w:rPr>
                <w:t xml:space="preserve">Section 7.3  </w:t>
              </w:r>
              <w:r>
                <w:rPr>
                  <w:rFonts w:ascii="Arial" w:cs="Arial" w:eastAsia="Arial" w:hAnsi="Arial"/>
                  <w:sz w:val="20"/>
                  <w:szCs w:val="20"/>
                  <w:i w:val="1"/>
                  <w:iCs w:val="1"/>
                  <w:color w:val="0563C1"/>
                  <w:w w:val="93"/>
                </w:rPr>
                <w:t>Delivery of Shares</w:t>
              </w:r>
            </w:hyperlink>
          </w:p>
        </w:tc>
        <w:tc>
          <w:tcPr>
            <w:tcW w:w="4360" w:type="dxa"/>
            <w:vAlign w:val="bottom"/>
            <w:gridSpan w:val="8"/>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7</w:t>
              </w:r>
            </w:hyperlink>
          </w:p>
        </w:tc>
      </w:tr>
    </w:tbl>
    <w:p>
      <w:pPr>
        <w:spacing w:after="0" w:line="200" w:lineRule="exact"/>
        <w:rPr>
          <w:sz w:val="20"/>
          <w:szCs w:val="20"/>
          <w:color w:val="auto"/>
        </w:rPr>
      </w:pPr>
    </w:p>
    <w:p>
      <w:pPr>
        <w:sectPr>
          <w:pgSz w:w="11900" w:h="16838" w:orient="portrait"/>
          <w:cols w:equalWidth="0" w:num="1">
            <w:col w:w="11120"/>
          </w:cols>
          <w:pgMar w:left="340" w:top="118" w:right="439" w:bottom="10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120"/>
          </w:cols>
          <w:pgMar w:left="340" w:top="118" w:right="439" w:bottom="1090" w:gutter="0" w:footer="0" w:header="0"/>
          <w:type w:val="continuous"/>
        </w:sectPr>
      </w:pPr>
    </w:p>
    <w:bookmarkStart w:id="41" w:name="page42"/>
    <w:bookmarkEnd w:id="41"/>
    <w:p>
      <w:pPr>
        <w:jc w:val="center"/>
        <w:ind w:right="-99"/>
        <w:spacing w:after="0"/>
        <w:rPr>
          <w:sz w:val="20"/>
          <w:szCs w:val="20"/>
          <w:color w:val="auto"/>
        </w:rPr>
      </w:pPr>
      <w:r>
        <w:rPr>
          <w:rFonts w:ascii="Arial" w:cs="Arial" w:eastAsia="Arial" w:hAnsi="Arial"/>
          <w:sz w:val="20"/>
          <w:szCs w:val="20"/>
          <w:b w:val="1"/>
          <w:bCs w:val="1"/>
          <w:color w:val="auto"/>
        </w:rPr>
        <w:t>Table of Contents</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Section 7.4</w:t>
              </w:r>
            </w:hyperlink>
          </w:p>
        </w:tc>
        <w:tc>
          <w:tcPr>
            <w:tcW w:w="6440" w:type="dxa"/>
            <w:vAlign w:val="bottom"/>
            <w:gridSpan w:val="22"/>
          </w:tcPr>
          <w:p>
            <w:pPr>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Vesting</w:t>
              </w:r>
            </w:hyperlink>
          </w:p>
        </w:tc>
        <w:tc>
          <w:tcPr>
            <w:tcW w:w="170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7</w:t>
              </w:r>
            </w:hyperlink>
          </w:p>
        </w:tc>
      </w:tr>
      <w:tr>
        <w:trPr>
          <w:trHeight w:val="20"/>
        </w:trPr>
        <w:tc>
          <w:tcPr>
            <w:tcW w:w="110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1100" w:type="dxa"/>
            <w:vAlign w:val="bottom"/>
            <w:tcBorders>
              <w:bottom w:val="single" w:sz="8" w:color="0563C1"/>
            </w:tcBorders>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Section 7.5</w:t>
              </w:r>
            </w:hyperlink>
          </w:p>
        </w:tc>
        <w:tc>
          <w:tcPr>
            <w:tcW w:w="1460" w:type="dxa"/>
            <w:vAlign w:val="bottom"/>
            <w:tcBorders>
              <w:bottom w:val="single" w:sz="8" w:color="0563C1"/>
            </w:tcBorders>
            <w:gridSpan w:val="8"/>
          </w:tcPr>
          <w:p>
            <w:pPr>
              <w:spacing w:after="0"/>
              <w:rPr>
                <w:rFonts w:ascii="Arial" w:cs="Arial" w:eastAsia="Arial" w:hAnsi="Arial"/>
                <w:sz w:val="20"/>
                <w:szCs w:val="20"/>
                <w:i w:val="1"/>
                <w:iCs w:val="1"/>
                <w:color w:val="0563C1"/>
                <w:w w:val="92"/>
              </w:rPr>
            </w:pPr>
            <w:hyperlink w:anchor="page42">
              <w:r>
                <w:rPr>
                  <w:rFonts w:ascii="Arial" w:cs="Arial" w:eastAsia="Arial" w:hAnsi="Arial"/>
                  <w:sz w:val="20"/>
                  <w:szCs w:val="20"/>
                  <w:i w:val="1"/>
                  <w:iCs w:val="1"/>
                  <w:color w:val="0563C1"/>
                  <w:w w:val="92"/>
                </w:rPr>
                <w:t>Nontransferability</w:t>
              </w:r>
            </w:hyperlink>
          </w:p>
        </w:tc>
        <w:tc>
          <w:tcPr>
            <w:tcW w:w="4980" w:type="dxa"/>
            <w:vAlign w:val="bottom"/>
            <w:gridSpan w:val="14"/>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7</w:t>
              </w:r>
            </w:hyperlink>
          </w:p>
        </w:tc>
      </w:tr>
      <w:tr>
        <w:trPr>
          <w:trHeight w:val="264"/>
        </w:trPr>
        <w:tc>
          <w:tcPr>
            <w:tcW w:w="2580" w:type="dxa"/>
            <w:vAlign w:val="bottom"/>
            <w:tcBorders>
              <w:bottom w:val="single" w:sz="8" w:color="0563C1"/>
            </w:tcBorders>
            <w:gridSpan w:val="10"/>
          </w:tcPr>
          <w:p>
            <w:pPr>
              <w:spacing w:after="0"/>
              <w:rPr>
                <w:rFonts w:ascii="Arial" w:cs="Arial" w:eastAsia="Arial" w:hAnsi="Arial"/>
                <w:sz w:val="20"/>
                <w:szCs w:val="20"/>
                <w:color w:val="0563C1"/>
                <w:w w:val="93"/>
              </w:rPr>
            </w:pPr>
            <w:hyperlink w:anchor="page42">
              <w:r>
                <w:rPr>
                  <w:rFonts w:ascii="Arial" w:cs="Arial" w:eastAsia="Arial" w:hAnsi="Arial"/>
                  <w:sz w:val="20"/>
                  <w:szCs w:val="20"/>
                  <w:color w:val="0563C1"/>
                  <w:w w:val="93"/>
                </w:rPr>
                <w:t>Article VIII Restrictions on Sale</w:t>
              </w:r>
            </w:hyperlink>
          </w:p>
        </w:tc>
        <w:tc>
          <w:tcPr>
            <w:tcW w:w="4960" w:type="dxa"/>
            <w:vAlign w:val="bottom"/>
            <w:gridSpan w:val="13"/>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7</w:t>
              </w:r>
            </w:hyperlink>
          </w:p>
        </w:tc>
      </w:tr>
      <w:tr>
        <w:trPr>
          <w:trHeight w:val="264"/>
        </w:trPr>
        <w:tc>
          <w:tcPr>
            <w:tcW w:w="5920" w:type="dxa"/>
            <w:vAlign w:val="bottom"/>
            <w:tcBorders>
              <w:bottom w:val="single" w:sz="8" w:color="0563C1"/>
            </w:tcBorders>
            <w:gridSpan w:val="22"/>
          </w:tcPr>
          <w:p>
            <w:pPr>
              <w:spacing w:after="0"/>
              <w:rPr>
                <w:rFonts w:ascii="Arial" w:cs="Arial" w:eastAsia="Arial" w:hAnsi="Arial"/>
                <w:sz w:val="20"/>
                <w:szCs w:val="20"/>
                <w:color w:val="0563C1"/>
                <w:w w:val="92"/>
              </w:rPr>
            </w:pPr>
            <w:hyperlink w:anchor="page42">
              <w:r>
                <w:rPr>
                  <w:rFonts w:ascii="Arial" w:cs="Arial" w:eastAsia="Arial" w:hAnsi="Arial"/>
                  <w:sz w:val="20"/>
                  <w:szCs w:val="20"/>
                  <w:color w:val="0563C1"/>
                  <w:w w:val="92"/>
                </w:rPr>
                <w:t>Article IX Withdrawal from Participation and Termination of Employment</w:t>
              </w:r>
            </w:hyperlink>
          </w:p>
        </w:tc>
        <w:tc>
          <w:tcPr>
            <w:tcW w:w="16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7</w:t>
              </w:r>
            </w:hyperlink>
          </w:p>
        </w:tc>
      </w:tr>
      <w:tr>
        <w:trPr>
          <w:trHeight w:val="263"/>
        </w:trPr>
        <w:tc>
          <w:tcPr>
            <w:tcW w:w="7540" w:type="dxa"/>
            <w:vAlign w:val="bottom"/>
            <w:gridSpan w:val="23"/>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Article X General Provisions</w:t>
              </w:r>
            </w:hyperlink>
          </w:p>
        </w:tc>
        <w:tc>
          <w:tcPr>
            <w:tcW w:w="170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7</w:t>
              </w:r>
            </w:hyperlink>
          </w:p>
        </w:tc>
      </w:tr>
      <w:tr>
        <w:trPr>
          <w:trHeight w:val="20"/>
        </w:trPr>
        <w:tc>
          <w:tcPr>
            <w:tcW w:w="1100" w:type="dxa"/>
            <w:vAlign w:val="bottom"/>
            <w:shd w:val="clear" w:color="auto" w:fill="0563C1"/>
          </w:tcPr>
          <w:p>
            <w:pPr>
              <w:spacing w:after="0" w:line="20" w:lineRule="exact"/>
              <w:rPr>
                <w:sz w:val="1"/>
                <w:szCs w:val="1"/>
                <w:color w:val="auto"/>
              </w:rPr>
            </w:pPr>
          </w:p>
        </w:tc>
        <w:tc>
          <w:tcPr>
            <w:tcW w:w="96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1100" w:type="dxa"/>
            <w:vAlign w:val="bottom"/>
          </w:tcPr>
          <w:p>
            <w:pPr>
              <w:spacing w:after="0"/>
              <w:rPr>
                <w:rFonts w:ascii="Arial" w:cs="Arial" w:eastAsia="Arial" w:hAnsi="Arial"/>
                <w:sz w:val="20"/>
                <w:szCs w:val="20"/>
                <w:color w:val="0563C1"/>
                <w:w w:val="97"/>
              </w:rPr>
            </w:pPr>
            <w:hyperlink w:anchor="page42">
              <w:r>
                <w:rPr>
                  <w:rFonts w:ascii="Arial" w:cs="Arial" w:eastAsia="Arial" w:hAnsi="Arial"/>
                  <w:sz w:val="20"/>
                  <w:szCs w:val="20"/>
                  <w:color w:val="0563C1"/>
                  <w:w w:val="97"/>
                </w:rPr>
                <w:t>Section 10.1</w:t>
              </w:r>
            </w:hyperlink>
          </w:p>
        </w:tc>
        <w:tc>
          <w:tcPr>
            <w:tcW w:w="6440" w:type="dxa"/>
            <w:vAlign w:val="bottom"/>
            <w:gridSpan w:val="22"/>
          </w:tcPr>
          <w:p>
            <w:pPr>
              <w:ind w:left="10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Administration</w:t>
              </w:r>
            </w:hyperlink>
          </w:p>
        </w:tc>
        <w:tc>
          <w:tcPr>
            <w:tcW w:w="170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7</w:t>
              </w:r>
            </w:hyperlink>
          </w:p>
        </w:tc>
      </w:tr>
      <w:tr>
        <w:trPr>
          <w:trHeight w:val="20"/>
        </w:trPr>
        <w:tc>
          <w:tcPr>
            <w:tcW w:w="2060" w:type="dxa"/>
            <w:vAlign w:val="bottom"/>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7540" w:type="dxa"/>
            <w:vAlign w:val="bottom"/>
            <w:gridSpan w:val="23"/>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 xml:space="preserve">Section 10.2  </w:t>
              </w:r>
              <w:r>
                <w:rPr>
                  <w:rFonts w:ascii="Arial" w:cs="Arial" w:eastAsia="Arial" w:hAnsi="Arial"/>
                  <w:sz w:val="20"/>
                  <w:szCs w:val="20"/>
                  <w:i w:val="1"/>
                  <w:iCs w:val="1"/>
                  <w:color w:val="0563C1"/>
                </w:rPr>
                <w:t>Delegation by the Administrator.</w:t>
              </w:r>
            </w:hyperlink>
          </w:p>
        </w:tc>
        <w:tc>
          <w:tcPr>
            <w:tcW w:w="170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7</w:t>
              </w:r>
            </w:hyperlink>
          </w:p>
        </w:tc>
      </w:tr>
      <w:tr>
        <w:trPr>
          <w:trHeight w:val="264"/>
        </w:trPr>
        <w:tc>
          <w:tcPr>
            <w:tcW w:w="3100" w:type="dxa"/>
            <w:vAlign w:val="bottom"/>
            <w:tcBorders>
              <w:top w:val="single" w:sz="8" w:color="0563C1"/>
              <w:bottom w:val="single" w:sz="8" w:color="0563C1"/>
            </w:tcBorders>
            <w:gridSpan w:val="14"/>
          </w:tcPr>
          <w:p>
            <w:pPr>
              <w:spacing w:after="0"/>
              <w:rPr>
                <w:rFonts w:ascii="Arial" w:cs="Arial" w:eastAsia="Arial" w:hAnsi="Arial"/>
                <w:sz w:val="20"/>
                <w:szCs w:val="20"/>
                <w:color w:val="0563C1"/>
                <w:w w:val="91"/>
              </w:rPr>
            </w:pPr>
            <w:hyperlink w:anchor="page42">
              <w:r>
                <w:rPr>
                  <w:rFonts w:ascii="Arial" w:cs="Arial" w:eastAsia="Arial" w:hAnsi="Arial"/>
                  <w:sz w:val="20"/>
                  <w:szCs w:val="20"/>
                  <w:color w:val="0563C1"/>
                  <w:w w:val="91"/>
                </w:rPr>
                <w:t xml:space="preserve">Section 10.3  </w:t>
              </w:r>
              <w:r>
                <w:rPr>
                  <w:rFonts w:ascii="Arial" w:cs="Arial" w:eastAsia="Arial" w:hAnsi="Arial"/>
                  <w:sz w:val="20"/>
                  <w:szCs w:val="20"/>
                  <w:i w:val="1"/>
                  <w:iCs w:val="1"/>
                  <w:color w:val="0563C1"/>
                  <w:w w:val="91"/>
                </w:rPr>
                <w:t>Rights as a Shareholder</w:t>
              </w:r>
            </w:hyperlink>
          </w:p>
        </w:tc>
        <w:tc>
          <w:tcPr>
            <w:tcW w:w="680" w:type="dxa"/>
            <w:vAlign w:val="bottom"/>
            <w:tcBorders>
              <w:top w:val="single" w:sz="8" w:color="0563C1"/>
            </w:tcBorders>
            <w:gridSpan w:val="6"/>
          </w:tcPr>
          <w:p>
            <w:pPr>
              <w:spacing w:after="0"/>
              <w:rPr>
                <w:sz w:val="22"/>
                <w:szCs w:val="22"/>
                <w:color w:val="auto"/>
              </w:rPr>
            </w:pPr>
          </w:p>
        </w:tc>
        <w:tc>
          <w:tcPr>
            <w:tcW w:w="3760" w:type="dxa"/>
            <w:vAlign w:val="bottom"/>
            <w:gridSpan w:val="3"/>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8</w:t>
              </w:r>
            </w:hyperlink>
          </w:p>
        </w:tc>
      </w:tr>
      <w:tr>
        <w:trPr>
          <w:trHeight w:val="263"/>
        </w:trPr>
        <w:tc>
          <w:tcPr>
            <w:tcW w:w="1100" w:type="dxa"/>
            <w:vAlign w:val="bottom"/>
          </w:tcPr>
          <w:p>
            <w:pPr>
              <w:spacing w:after="0"/>
              <w:rPr>
                <w:rFonts w:ascii="Arial" w:cs="Arial" w:eastAsia="Arial" w:hAnsi="Arial"/>
                <w:sz w:val="20"/>
                <w:szCs w:val="20"/>
                <w:color w:val="0563C1"/>
                <w:w w:val="97"/>
              </w:rPr>
            </w:pPr>
            <w:hyperlink w:anchor="page42">
              <w:r>
                <w:rPr>
                  <w:rFonts w:ascii="Arial" w:cs="Arial" w:eastAsia="Arial" w:hAnsi="Arial"/>
                  <w:sz w:val="20"/>
                  <w:szCs w:val="20"/>
                  <w:color w:val="0563C1"/>
                  <w:w w:val="97"/>
                </w:rPr>
                <w:t>Section 10.4</w:t>
              </w:r>
            </w:hyperlink>
          </w:p>
        </w:tc>
        <w:tc>
          <w:tcPr>
            <w:tcW w:w="6440" w:type="dxa"/>
            <w:vAlign w:val="bottom"/>
            <w:gridSpan w:val="22"/>
          </w:tcPr>
          <w:p>
            <w:pPr>
              <w:ind w:left="10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Tax Withholding</w:t>
              </w:r>
            </w:hyperlink>
          </w:p>
        </w:tc>
        <w:tc>
          <w:tcPr>
            <w:tcW w:w="170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8</w:t>
              </w:r>
            </w:hyperlink>
          </w:p>
        </w:tc>
      </w:tr>
      <w:tr>
        <w:trPr>
          <w:trHeight w:val="20"/>
        </w:trPr>
        <w:tc>
          <w:tcPr>
            <w:tcW w:w="1100" w:type="dxa"/>
            <w:vAlign w:val="bottom"/>
            <w:shd w:val="clear" w:color="auto" w:fill="0563C1"/>
          </w:tcPr>
          <w:p>
            <w:pPr>
              <w:spacing w:after="0" w:line="20" w:lineRule="exact"/>
              <w:rPr>
                <w:sz w:val="1"/>
                <w:szCs w:val="1"/>
                <w:color w:val="auto"/>
              </w:rPr>
            </w:pPr>
          </w:p>
        </w:tc>
        <w:tc>
          <w:tcPr>
            <w:tcW w:w="96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80" w:type="dxa"/>
            <w:vAlign w:val="bottom"/>
            <w:gridSpan w:val="2"/>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1100" w:type="dxa"/>
            <w:vAlign w:val="bottom"/>
            <w:tcBorders>
              <w:bottom w:val="single" w:sz="8" w:color="0563C1"/>
            </w:tcBorders>
          </w:tcPr>
          <w:p>
            <w:pPr>
              <w:spacing w:after="0"/>
              <w:rPr>
                <w:rFonts w:ascii="Arial" w:cs="Arial" w:eastAsia="Arial" w:hAnsi="Arial"/>
                <w:sz w:val="20"/>
                <w:szCs w:val="20"/>
                <w:color w:val="0563C1"/>
                <w:w w:val="97"/>
              </w:rPr>
            </w:pPr>
            <w:hyperlink w:anchor="page42">
              <w:r>
                <w:rPr>
                  <w:rFonts w:ascii="Arial" w:cs="Arial" w:eastAsia="Arial" w:hAnsi="Arial"/>
                  <w:sz w:val="20"/>
                  <w:szCs w:val="20"/>
                  <w:color w:val="0563C1"/>
                  <w:w w:val="97"/>
                </w:rPr>
                <w:t>Section 10.5</w:t>
              </w:r>
            </w:hyperlink>
          </w:p>
        </w:tc>
        <w:tc>
          <w:tcPr>
            <w:tcW w:w="1700" w:type="dxa"/>
            <w:vAlign w:val="bottom"/>
            <w:tcBorders>
              <w:bottom w:val="single" w:sz="8" w:color="0563C1"/>
            </w:tcBorders>
            <w:gridSpan w:val="11"/>
          </w:tcPr>
          <w:p>
            <w:pPr>
              <w:ind w:left="100"/>
              <w:spacing w:after="0"/>
              <w:rPr>
                <w:rFonts w:ascii="Arial" w:cs="Arial" w:eastAsia="Arial" w:hAnsi="Arial"/>
                <w:sz w:val="20"/>
                <w:szCs w:val="20"/>
                <w:i w:val="1"/>
                <w:iCs w:val="1"/>
                <w:color w:val="0563C1"/>
                <w:w w:val="90"/>
              </w:rPr>
            </w:pPr>
            <w:hyperlink w:anchor="page42">
              <w:r>
                <w:rPr>
                  <w:rFonts w:ascii="Arial" w:cs="Arial" w:eastAsia="Arial" w:hAnsi="Arial"/>
                  <w:sz w:val="20"/>
                  <w:szCs w:val="20"/>
                  <w:i w:val="1"/>
                  <w:iCs w:val="1"/>
                  <w:color w:val="0563C1"/>
                  <w:w w:val="90"/>
                </w:rPr>
                <w:t>At-Will Employment</w:t>
              </w:r>
            </w:hyperlink>
          </w:p>
        </w:tc>
        <w:tc>
          <w:tcPr>
            <w:tcW w:w="4740" w:type="dxa"/>
            <w:vAlign w:val="bottom"/>
            <w:gridSpan w:val="11"/>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8</w:t>
              </w:r>
            </w:hyperlink>
          </w:p>
        </w:tc>
      </w:tr>
      <w:tr>
        <w:trPr>
          <w:trHeight w:val="264"/>
        </w:trPr>
        <w:tc>
          <w:tcPr>
            <w:tcW w:w="4640" w:type="dxa"/>
            <w:vAlign w:val="bottom"/>
            <w:tcBorders>
              <w:bottom w:val="single" w:sz="8" w:color="0563C1"/>
            </w:tcBorders>
            <w:gridSpan w:val="21"/>
          </w:tcPr>
          <w:p>
            <w:pPr>
              <w:spacing w:after="0"/>
              <w:rPr>
                <w:rFonts w:ascii="Arial" w:cs="Arial" w:eastAsia="Arial" w:hAnsi="Arial"/>
                <w:sz w:val="20"/>
                <w:szCs w:val="20"/>
                <w:color w:val="0563C1"/>
                <w:w w:val="91"/>
              </w:rPr>
            </w:pPr>
            <w:hyperlink w:anchor="page42">
              <w:r>
                <w:rPr>
                  <w:rFonts w:ascii="Arial" w:cs="Arial" w:eastAsia="Arial" w:hAnsi="Arial"/>
                  <w:sz w:val="20"/>
                  <w:szCs w:val="20"/>
                  <w:color w:val="0563C1"/>
                  <w:w w:val="91"/>
                </w:rPr>
                <w:t xml:space="preserve">Section 10.6  </w:t>
              </w:r>
              <w:r>
                <w:rPr>
                  <w:rFonts w:ascii="Arial" w:cs="Arial" w:eastAsia="Arial" w:hAnsi="Arial"/>
                  <w:sz w:val="20"/>
                  <w:szCs w:val="20"/>
                  <w:i w:val="1"/>
                  <w:iCs w:val="1"/>
                  <w:color w:val="0563C1"/>
                  <w:w w:val="91"/>
                </w:rPr>
                <w:t>Unfunded Plan; Plan Not Subject to ERISA</w:t>
              </w:r>
            </w:hyperlink>
          </w:p>
        </w:tc>
        <w:tc>
          <w:tcPr>
            <w:tcW w:w="2900" w:type="dxa"/>
            <w:vAlign w:val="bottom"/>
            <w:gridSpan w:val="2"/>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8</w:t>
              </w:r>
            </w:hyperlink>
          </w:p>
        </w:tc>
      </w:tr>
      <w:tr>
        <w:trPr>
          <w:trHeight w:val="263"/>
        </w:trPr>
        <w:tc>
          <w:tcPr>
            <w:tcW w:w="7540" w:type="dxa"/>
            <w:vAlign w:val="bottom"/>
            <w:gridSpan w:val="23"/>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 xml:space="preserve">Section 10.7  </w:t>
              </w:r>
              <w:r>
                <w:rPr>
                  <w:rFonts w:ascii="Arial" w:cs="Arial" w:eastAsia="Arial" w:hAnsi="Arial"/>
                  <w:sz w:val="20"/>
                  <w:szCs w:val="20"/>
                  <w:i w:val="1"/>
                  <w:iCs w:val="1"/>
                  <w:color w:val="0563C1"/>
                </w:rPr>
                <w:t>Freedom of Action</w:t>
              </w:r>
            </w:hyperlink>
          </w:p>
        </w:tc>
        <w:tc>
          <w:tcPr>
            <w:tcW w:w="170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8</w:t>
              </w:r>
            </w:hyperlink>
          </w:p>
        </w:tc>
      </w:tr>
      <w:tr>
        <w:trPr>
          <w:trHeight w:val="264"/>
        </w:trPr>
        <w:tc>
          <w:tcPr>
            <w:tcW w:w="1100" w:type="dxa"/>
            <w:vAlign w:val="bottom"/>
            <w:tcBorders>
              <w:top w:val="single" w:sz="8" w:color="0563C1"/>
              <w:bottom w:val="single" w:sz="8" w:color="0563C1"/>
            </w:tcBorders>
          </w:tcPr>
          <w:p>
            <w:pPr>
              <w:spacing w:after="0"/>
              <w:rPr>
                <w:rFonts w:ascii="Arial" w:cs="Arial" w:eastAsia="Arial" w:hAnsi="Arial"/>
                <w:sz w:val="20"/>
                <w:szCs w:val="20"/>
                <w:color w:val="0563C1"/>
                <w:w w:val="97"/>
              </w:rPr>
            </w:pPr>
            <w:hyperlink w:anchor="page42">
              <w:r>
                <w:rPr>
                  <w:rFonts w:ascii="Arial" w:cs="Arial" w:eastAsia="Arial" w:hAnsi="Arial"/>
                  <w:sz w:val="20"/>
                  <w:szCs w:val="20"/>
                  <w:color w:val="0563C1"/>
                  <w:w w:val="97"/>
                </w:rPr>
                <w:t>Section 10.8</w:t>
              </w:r>
            </w:hyperlink>
          </w:p>
        </w:tc>
        <w:tc>
          <w:tcPr>
            <w:tcW w:w="1120" w:type="dxa"/>
            <w:vAlign w:val="bottom"/>
            <w:tcBorders>
              <w:top w:val="single" w:sz="8" w:color="0563C1"/>
              <w:bottom w:val="single" w:sz="8" w:color="0563C1"/>
            </w:tcBorders>
            <w:gridSpan w:val="4"/>
          </w:tcPr>
          <w:p>
            <w:pPr>
              <w:ind w:left="100"/>
              <w:spacing w:after="0"/>
              <w:rPr>
                <w:rFonts w:ascii="Arial" w:cs="Arial" w:eastAsia="Arial" w:hAnsi="Arial"/>
                <w:sz w:val="20"/>
                <w:szCs w:val="20"/>
                <w:i w:val="1"/>
                <w:iCs w:val="1"/>
                <w:color w:val="0563C1"/>
                <w:w w:val="87"/>
              </w:rPr>
            </w:pPr>
            <w:hyperlink w:anchor="page42">
              <w:r>
                <w:rPr>
                  <w:rFonts w:ascii="Arial" w:cs="Arial" w:eastAsia="Arial" w:hAnsi="Arial"/>
                  <w:sz w:val="20"/>
                  <w:szCs w:val="20"/>
                  <w:i w:val="1"/>
                  <w:iCs w:val="1"/>
                  <w:color w:val="0563C1"/>
                  <w:w w:val="87"/>
                </w:rPr>
                <w:t>Term of Plan</w:t>
              </w:r>
            </w:hyperlink>
          </w:p>
        </w:tc>
        <w:tc>
          <w:tcPr>
            <w:tcW w:w="440" w:type="dxa"/>
            <w:vAlign w:val="bottom"/>
            <w:tcBorders>
              <w:top w:val="single" w:sz="8" w:color="0563C1"/>
            </w:tcBorders>
            <w:gridSpan w:val="6"/>
          </w:tcPr>
          <w:p>
            <w:pPr>
              <w:spacing w:after="0"/>
              <w:rPr>
                <w:sz w:val="22"/>
                <w:szCs w:val="22"/>
                <w:color w:val="auto"/>
              </w:rPr>
            </w:pPr>
          </w:p>
        </w:tc>
        <w:tc>
          <w:tcPr>
            <w:tcW w:w="4880" w:type="dxa"/>
            <w:vAlign w:val="bottom"/>
            <w:gridSpan w:val="12"/>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8</w:t>
              </w:r>
            </w:hyperlink>
          </w:p>
        </w:tc>
      </w:tr>
      <w:tr>
        <w:trPr>
          <w:trHeight w:val="263"/>
        </w:trPr>
        <w:tc>
          <w:tcPr>
            <w:tcW w:w="7540" w:type="dxa"/>
            <w:vAlign w:val="bottom"/>
            <w:gridSpan w:val="23"/>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 xml:space="preserve">Section 10.9  </w:t>
              </w:r>
              <w:r>
                <w:rPr>
                  <w:rFonts w:ascii="Arial" w:cs="Arial" w:eastAsia="Arial" w:hAnsi="Arial"/>
                  <w:sz w:val="20"/>
                  <w:szCs w:val="20"/>
                  <w:i w:val="1"/>
                  <w:iCs w:val="1"/>
                  <w:color w:val="0563C1"/>
                </w:rPr>
                <w:t>Amendment or Alteration</w:t>
              </w:r>
            </w:hyperlink>
          </w:p>
        </w:tc>
        <w:tc>
          <w:tcPr>
            <w:tcW w:w="170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8</w:t>
              </w:r>
            </w:hyperlink>
          </w:p>
        </w:tc>
      </w:tr>
      <w:tr>
        <w:trPr>
          <w:trHeight w:val="263"/>
        </w:trPr>
        <w:tc>
          <w:tcPr>
            <w:tcW w:w="1100" w:type="dxa"/>
            <w:vAlign w:val="bottom"/>
            <w:tcBorders>
              <w:top w:val="single" w:sz="8" w:color="0563C1"/>
              <w:bottom w:val="single" w:sz="8" w:color="0563C1"/>
            </w:tcBorders>
          </w:tcPr>
          <w:p>
            <w:pPr>
              <w:spacing w:after="0"/>
              <w:rPr>
                <w:rFonts w:ascii="Arial" w:cs="Arial" w:eastAsia="Arial" w:hAnsi="Arial"/>
                <w:sz w:val="20"/>
                <w:szCs w:val="20"/>
                <w:color w:val="0563C1"/>
                <w:w w:val="88"/>
              </w:rPr>
            </w:pPr>
            <w:hyperlink w:anchor="page42">
              <w:r>
                <w:rPr>
                  <w:rFonts w:ascii="Arial" w:cs="Arial" w:eastAsia="Arial" w:hAnsi="Arial"/>
                  <w:sz w:val="20"/>
                  <w:szCs w:val="20"/>
                  <w:color w:val="0563C1"/>
                  <w:w w:val="88"/>
                </w:rPr>
                <w:t>Section 10.10</w:t>
              </w:r>
            </w:hyperlink>
          </w:p>
        </w:tc>
        <w:tc>
          <w:tcPr>
            <w:tcW w:w="1200" w:type="dxa"/>
            <w:vAlign w:val="bottom"/>
            <w:tcBorders>
              <w:top w:val="single" w:sz="8" w:color="0563C1"/>
              <w:bottom w:val="single" w:sz="8" w:color="0563C1"/>
            </w:tcBorders>
            <w:gridSpan w:val="5"/>
          </w:tcPr>
          <w:p>
            <w:pPr>
              <w:ind w:left="200"/>
              <w:spacing w:after="0"/>
              <w:rPr>
                <w:rFonts w:ascii="Arial" w:cs="Arial" w:eastAsia="Arial" w:hAnsi="Arial"/>
                <w:sz w:val="20"/>
                <w:szCs w:val="20"/>
                <w:i w:val="1"/>
                <w:iCs w:val="1"/>
                <w:color w:val="0563C1"/>
                <w:w w:val="92"/>
              </w:rPr>
            </w:pPr>
            <w:hyperlink w:anchor="page42">
              <w:r>
                <w:rPr>
                  <w:rFonts w:ascii="Arial" w:cs="Arial" w:eastAsia="Arial" w:hAnsi="Arial"/>
                  <w:sz w:val="20"/>
                  <w:szCs w:val="20"/>
                  <w:i w:val="1"/>
                  <w:iCs w:val="1"/>
                  <w:color w:val="0563C1"/>
                  <w:w w:val="92"/>
                </w:rPr>
                <w:t>Severability</w:t>
              </w:r>
            </w:hyperlink>
          </w:p>
        </w:tc>
        <w:tc>
          <w:tcPr>
            <w:tcW w:w="900" w:type="dxa"/>
            <w:vAlign w:val="bottom"/>
            <w:tcBorders>
              <w:top w:val="single" w:sz="8" w:color="0563C1"/>
            </w:tcBorders>
            <w:gridSpan w:val="9"/>
          </w:tcPr>
          <w:p>
            <w:pPr>
              <w:spacing w:after="0"/>
              <w:rPr>
                <w:sz w:val="22"/>
                <w:szCs w:val="22"/>
                <w:color w:val="auto"/>
              </w:rPr>
            </w:pPr>
          </w:p>
        </w:tc>
        <w:tc>
          <w:tcPr>
            <w:tcW w:w="4340" w:type="dxa"/>
            <w:vAlign w:val="bottom"/>
            <w:gridSpan w:val="8"/>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8</w:t>
              </w:r>
            </w:hyperlink>
          </w:p>
        </w:tc>
      </w:tr>
      <w:tr>
        <w:trPr>
          <w:trHeight w:val="264"/>
        </w:trPr>
        <w:tc>
          <w:tcPr>
            <w:tcW w:w="1100" w:type="dxa"/>
            <w:vAlign w:val="bottom"/>
            <w:tcBorders>
              <w:bottom w:val="single" w:sz="8" w:color="0563C1"/>
            </w:tcBorders>
          </w:tcPr>
          <w:p>
            <w:pPr>
              <w:spacing w:after="0"/>
              <w:rPr>
                <w:rFonts w:ascii="Arial" w:cs="Arial" w:eastAsia="Arial" w:hAnsi="Arial"/>
                <w:sz w:val="20"/>
                <w:szCs w:val="20"/>
                <w:color w:val="0563C1"/>
                <w:w w:val="88"/>
              </w:rPr>
            </w:pPr>
            <w:hyperlink w:anchor="page42">
              <w:r>
                <w:rPr>
                  <w:rFonts w:ascii="Arial" w:cs="Arial" w:eastAsia="Arial" w:hAnsi="Arial"/>
                  <w:sz w:val="20"/>
                  <w:szCs w:val="20"/>
                  <w:color w:val="0563C1"/>
                  <w:w w:val="88"/>
                </w:rPr>
                <w:t>Section 10.11</w:t>
              </w:r>
            </w:hyperlink>
          </w:p>
        </w:tc>
        <w:tc>
          <w:tcPr>
            <w:tcW w:w="1100" w:type="dxa"/>
            <w:vAlign w:val="bottom"/>
            <w:tcBorders>
              <w:bottom w:val="single" w:sz="8" w:color="0563C1"/>
            </w:tcBorders>
            <w:gridSpan w:val="3"/>
          </w:tcPr>
          <w:p>
            <w:pPr>
              <w:ind w:left="180"/>
              <w:spacing w:after="0"/>
              <w:rPr>
                <w:rFonts w:ascii="Arial" w:cs="Arial" w:eastAsia="Arial" w:hAnsi="Arial"/>
                <w:sz w:val="20"/>
                <w:szCs w:val="20"/>
                <w:i w:val="1"/>
                <w:iCs w:val="1"/>
                <w:color w:val="0563C1"/>
                <w:w w:val="86"/>
              </w:rPr>
            </w:pPr>
            <w:hyperlink w:anchor="page42">
              <w:r>
                <w:rPr>
                  <w:rFonts w:ascii="Arial" w:cs="Arial" w:eastAsia="Arial" w:hAnsi="Arial"/>
                  <w:sz w:val="20"/>
                  <w:szCs w:val="20"/>
                  <w:i w:val="1"/>
                  <w:iCs w:val="1"/>
                  <w:color w:val="0563C1"/>
                  <w:w w:val="86"/>
                </w:rPr>
                <w:t>Assignment</w:t>
              </w:r>
            </w:hyperlink>
          </w:p>
        </w:tc>
        <w:tc>
          <w:tcPr>
            <w:tcW w:w="5340" w:type="dxa"/>
            <w:vAlign w:val="bottom"/>
            <w:gridSpan w:val="19"/>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8</w:t>
              </w:r>
            </w:hyperlink>
          </w:p>
        </w:tc>
      </w:tr>
      <w:tr>
        <w:trPr>
          <w:trHeight w:val="263"/>
        </w:trPr>
        <w:tc>
          <w:tcPr>
            <w:tcW w:w="7540" w:type="dxa"/>
            <w:vAlign w:val="bottom"/>
            <w:gridSpan w:val="23"/>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 xml:space="preserve">Section 10.12  </w:t>
              </w:r>
              <w:r>
                <w:rPr>
                  <w:rFonts w:ascii="Arial" w:cs="Arial" w:eastAsia="Arial" w:hAnsi="Arial"/>
                  <w:sz w:val="20"/>
                  <w:szCs w:val="20"/>
                  <w:i w:val="1"/>
                  <w:iCs w:val="1"/>
                  <w:color w:val="0563C1"/>
                </w:rPr>
                <w:t>Non-Transferability of Rights</w:t>
              </w:r>
            </w:hyperlink>
          </w:p>
        </w:tc>
        <w:tc>
          <w:tcPr>
            <w:tcW w:w="170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9</w:t>
              </w:r>
            </w:hyperlink>
          </w:p>
        </w:tc>
      </w:tr>
      <w:tr>
        <w:trPr>
          <w:trHeight w:val="264"/>
        </w:trPr>
        <w:tc>
          <w:tcPr>
            <w:tcW w:w="1100" w:type="dxa"/>
            <w:vAlign w:val="bottom"/>
            <w:tcBorders>
              <w:top w:val="single" w:sz="8" w:color="0563C1"/>
              <w:bottom w:val="single" w:sz="8" w:color="0563C1"/>
            </w:tcBorders>
          </w:tcPr>
          <w:p>
            <w:pPr>
              <w:spacing w:after="0"/>
              <w:rPr>
                <w:rFonts w:ascii="Arial" w:cs="Arial" w:eastAsia="Arial" w:hAnsi="Arial"/>
                <w:sz w:val="20"/>
                <w:szCs w:val="20"/>
                <w:color w:val="0563C1"/>
                <w:w w:val="88"/>
              </w:rPr>
            </w:pPr>
            <w:hyperlink w:anchor="page42">
              <w:r>
                <w:rPr>
                  <w:rFonts w:ascii="Arial" w:cs="Arial" w:eastAsia="Arial" w:hAnsi="Arial"/>
                  <w:sz w:val="20"/>
                  <w:szCs w:val="20"/>
                  <w:color w:val="0563C1"/>
                  <w:w w:val="88"/>
                </w:rPr>
                <w:t>Section 10.13</w:t>
              </w:r>
            </w:hyperlink>
          </w:p>
        </w:tc>
        <w:tc>
          <w:tcPr>
            <w:tcW w:w="960" w:type="dxa"/>
            <w:vAlign w:val="bottom"/>
            <w:tcBorders>
              <w:top w:val="single" w:sz="8" w:color="0563C1"/>
              <w:bottom w:val="single" w:sz="8" w:color="0563C1"/>
            </w:tcBorders>
            <w:gridSpan w:val="2"/>
          </w:tcPr>
          <w:p>
            <w:pPr>
              <w:ind w:left="200"/>
              <w:spacing w:after="0"/>
              <w:rPr>
                <w:rFonts w:ascii="Arial" w:cs="Arial" w:eastAsia="Arial" w:hAnsi="Arial"/>
                <w:sz w:val="20"/>
                <w:szCs w:val="20"/>
                <w:i w:val="1"/>
                <w:iCs w:val="1"/>
                <w:color w:val="0563C1"/>
                <w:w w:val="87"/>
              </w:rPr>
            </w:pPr>
            <w:hyperlink w:anchor="page42">
              <w:r>
                <w:rPr>
                  <w:rFonts w:ascii="Arial" w:cs="Arial" w:eastAsia="Arial" w:hAnsi="Arial"/>
                  <w:sz w:val="20"/>
                  <w:szCs w:val="20"/>
                  <w:i w:val="1"/>
                  <w:iCs w:val="1"/>
                  <w:color w:val="0563C1"/>
                  <w:w w:val="87"/>
                </w:rPr>
                <w:t>Headings</w:t>
              </w:r>
            </w:hyperlink>
          </w:p>
        </w:tc>
        <w:tc>
          <w:tcPr>
            <w:tcW w:w="1560" w:type="dxa"/>
            <w:vAlign w:val="bottom"/>
            <w:tcBorders>
              <w:top w:val="single" w:sz="8" w:color="0563C1"/>
            </w:tcBorders>
            <w:gridSpan w:val="15"/>
          </w:tcPr>
          <w:p>
            <w:pPr>
              <w:spacing w:after="0"/>
              <w:rPr>
                <w:sz w:val="22"/>
                <w:szCs w:val="22"/>
                <w:color w:val="auto"/>
              </w:rPr>
            </w:pPr>
          </w:p>
        </w:tc>
        <w:tc>
          <w:tcPr>
            <w:tcW w:w="3920" w:type="dxa"/>
            <w:vAlign w:val="bottom"/>
            <w:gridSpan w:val="5"/>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9</w:t>
              </w:r>
            </w:hyperlink>
          </w:p>
        </w:tc>
      </w:tr>
      <w:tr>
        <w:trPr>
          <w:trHeight w:val="263"/>
        </w:trPr>
        <w:tc>
          <w:tcPr>
            <w:tcW w:w="7540" w:type="dxa"/>
            <w:vAlign w:val="bottom"/>
            <w:gridSpan w:val="23"/>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 xml:space="preserve">Section 10.14  </w:t>
              </w:r>
              <w:r>
                <w:rPr>
                  <w:rFonts w:ascii="Arial" w:cs="Arial" w:eastAsia="Arial" w:hAnsi="Arial"/>
                  <w:sz w:val="20"/>
                  <w:szCs w:val="20"/>
                  <w:i w:val="1"/>
                  <w:iCs w:val="1"/>
                  <w:color w:val="0563C1"/>
                </w:rPr>
                <w:t>Rules of Construction.</w:t>
              </w:r>
            </w:hyperlink>
          </w:p>
        </w:tc>
        <w:tc>
          <w:tcPr>
            <w:tcW w:w="170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9</w:t>
              </w:r>
            </w:hyperlink>
          </w:p>
        </w:tc>
      </w:tr>
      <w:tr>
        <w:trPr>
          <w:trHeight w:val="264"/>
        </w:trPr>
        <w:tc>
          <w:tcPr>
            <w:tcW w:w="1100" w:type="dxa"/>
            <w:vAlign w:val="bottom"/>
            <w:tcBorders>
              <w:top w:val="single" w:sz="8" w:color="0563C1"/>
            </w:tcBorders>
          </w:tcPr>
          <w:p>
            <w:pPr>
              <w:spacing w:after="0"/>
              <w:rPr>
                <w:rFonts w:ascii="Arial" w:cs="Arial" w:eastAsia="Arial" w:hAnsi="Arial"/>
                <w:sz w:val="20"/>
                <w:szCs w:val="20"/>
                <w:color w:val="0563C1"/>
                <w:w w:val="88"/>
              </w:rPr>
            </w:pPr>
            <w:hyperlink w:anchor="page42">
              <w:r>
                <w:rPr>
                  <w:rFonts w:ascii="Arial" w:cs="Arial" w:eastAsia="Arial" w:hAnsi="Arial"/>
                  <w:sz w:val="20"/>
                  <w:szCs w:val="20"/>
                  <w:color w:val="0563C1"/>
                  <w:w w:val="88"/>
                </w:rPr>
                <w:t>Section 10.15</w:t>
              </w:r>
            </w:hyperlink>
          </w:p>
        </w:tc>
        <w:tc>
          <w:tcPr>
            <w:tcW w:w="1960" w:type="dxa"/>
            <w:vAlign w:val="bottom"/>
            <w:tcBorders>
              <w:top w:val="single" w:sz="8" w:color="0563C1"/>
            </w:tcBorders>
            <w:gridSpan w:val="12"/>
          </w:tcPr>
          <w:p>
            <w:pPr>
              <w:ind w:left="200"/>
              <w:spacing w:after="0"/>
              <w:rPr>
                <w:rFonts w:ascii="Arial" w:cs="Arial" w:eastAsia="Arial" w:hAnsi="Arial"/>
                <w:sz w:val="20"/>
                <w:szCs w:val="20"/>
                <w:i w:val="1"/>
                <w:iCs w:val="1"/>
                <w:color w:val="0563C1"/>
              </w:rPr>
            </w:pPr>
            <w:hyperlink w:anchor="page42">
              <w:r>
                <w:rPr>
                  <w:rFonts w:ascii="Arial" w:cs="Arial" w:eastAsia="Arial" w:hAnsi="Arial"/>
                  <w:sz w:val="20"/>
                  <w:szCs w:val="20"/>
                  <w:i w:val="1"/>
                  <w:iCs w:val="1"/>
                  <w:color w:val="0563C1"/>
                </w:rPr>
                <w:t>Governing Law.</w:t>
              </w:r>
            </w:hyperlink>
          </w:p>
        </w:tc>
        <w:tc>
          <w:tcPr>
            <w:tcW w:w="4480" w:type="dxa"/>
            <w:vAlign w:val="bottom"/>
            <w:gridSpan w:val="10"/>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Borders>
              <w:top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9</w:t>
              </w:r>
            </w:hyperlink>
          </w:p>
        </w:tc>
      </w:tr>
      <w:tr>
        <w:trPr>
          <w:trHeight w:val="20"/>
        </w:trPr>
        <w:tc>
          <w:tcPr>
            <w:tcW w:w="2560" w:type="dxa"/>
            <w:vAlign w:val="bottom"/>
            <w:gridSpan w:val="9"/>
            <w:shd w:val="clear" w:color="auto" w:fill="0563C1"/>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63"/>
        </w:trPr>
        <w:tc>
          <w:tcPr>
            <w:tcW w:w="7540" w:type="dxa"/>
            <w:vAlign w:val="bottom"/>
            <w:gridSpan w:val="23"/>
          </w:tcPr>
          <w:p>
            <w:pPr>
              <w:spacing w:after="0"/>
              <w:rPr>
                <w:rFonts w:ascii="Arial" w:cs="Arial" w:eastAsia="Arial" w:hAnsi="Arial"/>
                <w:sz w:val="20"/>
                <w:szCs w:val="20"/>
                <w:color w:val="0563C1"/>
              </w:rPr>
            </w:pPr>
            <w:hyperlink w:anchor="page42">
              <w:r>
                <w:rPr>
                  <w:rFonts w:ascii="Arial" w:cs="Arial" w:eastAsia="Arial" w:hAnsi="Arial"/>
                  <w:sz w:val="20"/>
                  <w:szCs w:val="20"/>
                  <w:color w:val="0563C1"/>
                </w:rPr>
                <w:t xml:space="preserve">Section 10.16  </w:t>
              </w:r>
              <w:r>
                <w:rPr>
                  <w:rFonts w:ascii="Arial" w:cs="Arial" w:eastAsia="Arial" w:hAnsi="Arial"/>
                  <w:sz w:val="20"/>
                  <w:szCs w:val="20"/>
                  <w:i w:val="1"/>
                  <w:iCs w:val="1"/>
                  <w:color w:val="0563C1"/>
                </w:rPr>
                <w:t>Conformity to Securities Laws.</w:t>
              </w:r>
            </w:hyperlink>
          </w:p>
        </w:tc>
        <w:tc>
          <w:tcPr>
            <w:tcW w:w="1700" w:type="dxa"/>
            <w:vAlign w:val="bottom"/>
            <w:gridSpan w:val="2"/>
          </w:tcPr>
          <w:p>
            <w:pPr>
              <w:jc w:val="right"/>
              <w:spacing w:after="0"/>
              <w:rPr>
                <w:rFonts w:ascii="Arial" w:cs="Arial" w:eastAsia="Arial" w:hAnsi="Arial"/>
                <w:sz w:val="20"/>
                <w:szCs w:val="20"/>
                <w:color w:val="auto"/>
              </w:rPr>
            </w:pPr>
            <w:hyperlink w:anchor="page42">
              <w:r>
                <w:rPr>
                  <w:rFonts w:ascii="Arial" w:cs="Arial" w:eastAsia="Arial" w:hAnsi="Arial"/>
                  <w:sz w:val="20"/>
                  <w:szCs w:val="20"/>
                  <w:color w:val="auto"/>
                </w:rPr>
                <w:t>9</w:t>
              </w:r>
            </w:hyperlink>
          </w:p>
        </w:tc>
      </w:tr>
      <w:tr>
        <w:trPr>
          <w:trHeight w:val="263"/>
        </w:trPr>
        <w:tc>
          <w:tcPr>
            <w:tcW w:w="3460" w:type="dxa"/>
            <w:vAlign w:val="bottom"/>
            <w:tcBorders>
              <w:top w:val="single" w:sz="8" w:color="0563C1"/>
              <w:bottom w:val="single" w:sz="8" w:color="0563C1"/>
            </w:tcBorders>
            <w:gridSpan w:val="16"/>
          </w:tcPr>
          <w:p>
            <w:pPr>
              <w:spacing w:after="0"/>
              <w:rPr>
                <w:rFonts w:ascii="Arial" w:cs="Arial" w:eastAsia="Arial" w:hAnsi="Arial"/>
                <w:sz w:val="20"/>
                <w:szCs w:val="20"/>
                <w:color w:val="0563C1"/>
                <w:w w:val="92"/>
              </w:rPr>
            </w:pPr>
            <w:hyperlink w:anchor="page42">
              <w:r>
                <w:rPr>
                  <w:rFonts w:ascii="Arial" w:cs="Arial" w:eastAsia="Arial" w:hAnsi="Arial"/>
                  <w:sz w:val="20"/>
                  <w:szCs w:val="20"/>
                  <w:color w:val="0563C1"/>
                  <w:w w:val="92"/>
                </w:rPr>
                <w:t xml:space="preserve">Section 10.17  </w:t>
              </w:r>
              <w:r>
                <w:rPr>
                  <w:rFonts w:ascii="Arial" w:cs="Arial" w:eastAsia="Arial" w:hAnsi="Arial"/>
                  <w:sz w:val="20"/>
                  <w:szCs w:val="20"/>
                  <w:i w:val="1"/>
                  <w:iCs w:val="1"/>
                  <w:color w:val="0563C1"/>
                  <w:w w:val="92"/>
                </w:rPr>
                <w:t>Tax Reporting Information.</w:t>
              </w:r>
            </w:hyperlink>
          </w:p>
        </w:tc>
        <w:tc>
          <w:tcPr>
            <w:tcW w:w="280" w:type="dxa"/>
            <w:vAlign w:val="bottom"/>
            <w:tcBorders>
              <w:top w:val="single" w:sz="8" w:color="0563C1"/>
            </w:tcBorders>
            <w:gridSpan w:val="3"/>
          </w:tcPr>
          <w:p>
            <w:pPr>
              <w:spacing w:after="0"/>
              <w:rPr>
                <w:sz w:val="22"/>
                <w:szCs w:val="22"/>
                <w:color w:val="auto"/>
              </w:rPr>
            </w:pPr>
          </w:p>
        </w:tc>
        <w:tc>
          <w:tcPr>
            <w:tcW w:w="3800" w:type="dxa"/>
            <w:vAlign w:val="bottom"/>
            <w:gridSpan w:val="4"/>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9</w:t>
              </w:r>
            </w:hyperlink>
          </w:p>
        </w:tc>
      </w:tr>
      <w:tr>
        <w:trPr>
          <w:trHeight w:val="264"/>
        </w:trPr>
        <w:tc>
          <w:tcPr>
            <w:tcW w:w="1100" w:type="dxa"/>
            <w:vAlign w:val="bottom"/>
            <w:tcBorders>
              <w:bottom w:val="single" w:sz="8" w:color="0563C1"/>
            </w:tcBorders>
          </w:tcPr>
          <w:p>
            <w:pPr>
              <w:spacing w:after="0"/>
              <w:rPr>
                <w:rFonts w:ascii="Arial" w:cs="Arial" w:eastAsia="Arial" w:hAnsi="Arial"/>
                <w:sz w:val="20"/>
                <w:szCs w:val="20"/>
                <w:color w:val="0563C1"/>
                <w:w w:val="88"/>
              </w:rPr>
            </w:pPr>
            <w:hyperlink w:anchor="page42">
              <w:r>
                <w:rPr>
                  <w:rFonts w:ascii="Arial" w:cs="Arial" w:eastAsia="Arial" w:hAnsi="Arial"/>
                  <w:sz w:val="20"/>
                  <w:szCs w:val="20"/>
                  <w:color w:val="0563C1"/>
                  <w:w w:val="88"/>
                </w:rPr>
                <w:t>Section 10.18</w:t>
              </w:r>
            </w:hyperlink>
          </w:p>
        </w:tc>
        <w:tc>
          <w:tcPr>
            <w:tcW w:w="2500" w:type="dxa"/>
            <w:vAlign w:val="bottom"/>
            <w:tcBorders>
              <w:bottom w:val="single" w:sz="8" w:color="0563C1"/>
            </w:tcBorders>
            <w:gridSpan w:val="16"/>
          </w:tcPr>
          <w:p>
            <w:pPr>
              <w:ind w:left="200"/>
              <w:spacing w:after="0"/>
              <w:rPr>
                <w:rFonts w:ascii="Arial" w:cs="Arial" w:eastAsia="Arial" w:hAnsi="Arial"/>
                <w:sz w:val="20"/>
                <w:szCs w:val="20"/>
                <w:i w:val="1"/>
                <w:iCs w:val="1"/>
                <w:color w:val="0563C1"/>
                <w:w w:val="90"/>
              </w:rPr>
            </w:pPr>
            <w:hyperlink w:anchor="page42">
              <w:r>
                <w:rPr>
                  <w:rFonts w:ascii="Arial" w:cs="Arial" w:eastAsia="Arial" w:hAnsi="Arial"/>
                  <w:sz w:val="20"/>
                  <w:szCs w:val="20"/>
                  <w:i w:val="1"/>
                  <w:iCs w:val="1"/>
                  <w:color w:val="0563C1"/>
                  <w:w w:val="90"/>
                </w:rPr>
                <w:t>Participant Acknowledgment</w:t>
              </w:r>
            </w:hyperlink>
          </w:p>
        </w:tc>
        <w:tc>
          <w:tcPr>
            <w:tcW w:w="3940" w:type="dxa"/>
            <w:vAlign w:val="bottom"/>
            <w:gridSpan w:val="6"/>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rFonts w:ascii="Arial" w:cs="Arial" w:eastAsia="Arial" w:hAnsi="Arial"/>
                <w:sz w:val="20"/>
                <w:szCs w:val="20"/>
                <w:color w:val="auto"/>
                <w:w w:val="71"/>
              </w:rPr>
            </w:pPr>
            <w:hyperlink w:anchor="page42">
              <w:r>
                <w:rPr>
                  <w:rFonts w:ascii="Arial" w:cs="Arial" w:eastAsia="Arial" w:hAnsi="Arial"/>
                  <w:sz w:val="20"/>
                  <w:szCs w:val="20"/>
                  <w:color w:val="auto"/>
                  <w:w w:val="71"/>
                </w:rPr>
                <w:t>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20"/>
          </w:cols>
          <w:pgMar w:left="340" w:top="118" w:right="439" w:bottom="1440" w:gutter="0" w:footer="0" w:header="0"/>
        </w:sectPr>
      </w:pPr>
    </w:p>
    <w:bookmarkStart w:id="42" w:name="page43"/>
    <w:bookmarkEnd w:id="42"/>
    <w:p>
      <w:pPr>
        <w:jc w:val="center"/>
        <w:ind w:right="-119"/>
        <w:spacing w:after="0"/>
        <w:rPr>
          <w:sz w:val="20"/>
          <w:szCs w:val="20"/>
          <w:color w:val="auto"/>
        </w:rPr>
      </w:pPr>
      <w:r>
        <w:rPr>
          <w:rFonts w:ascii="Arial" w:cs="Arial" w:eastAsia="Arial" w:hAnsi="Arial"/>
          <w:sz w:val="20"/>
          <w:szCs w:val="20"/>
          <w:b w:val="1"/>
          <w:bCs w:val="1"/>
          <w:color w:val="262626"/>
        </w:rPr>
        <w:t>Priority Technology Holdings, Inc.</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262626"/>
        </w:rPr>
        <w:t>2021 Employee Stock Purchase Plan</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Purpose</w:t>
      </w:r>
    </w:p>
    <w:p>
      <w:pPr>
        <w:spacing w:after="0" w:line="22" w:lineRule="exact"/>
        <w:rPr>
          <w:sz w:val="20"/>
          <w:szCs w:val="20"/>
          <w:color w:val="auto"/>
        </w:rPr>
      </w:pPr>
    </w:p>
    <w:p>
      <w:pPr>
        <w:ind w:left="100" w:right="20"/>
        <w:spacing w:after="0" w:line="276" w:lineRule="auto"/>
        <w:rPr>
          <w:sz w:val="20"/>
          <w:szCs w:val="20"/>
          <w:color w:val="auto"/>
        </w:rPr>
      </w:pPr>
      <w:r>
        <w:rPr>
          <w:rFonts w:ascii="Arial" w:cs="Arial" w:eastAsia="Arial" w:hAnsi="Arial"/>
          <w:sz w:val="18"/>
          <w:szCs w:val="18"/>
          <w:color w:val="auto"/>
        </w:rPr>
        <w:t>The purpose of the Priority Technology Holdings, Inc. 2021 Employee Stock Purchase Plan (the “</w:t>
      </w:r>
      <w:r>
        <w:rPr>
          <w:rFonts w:ascii="Arial" w:cs="Arial" w:eastAsia="Arial" w:hAnsi="Arial"/>
          <w:sz w:val="18"/>
          <w:szCs w:val="18"/>
          <w:i w:val="1"/>
          <w:iCs w:val="1"/>
          <w:color w:val="auto"/>
        </w:rPr>
        <w:t>Plan</w:t>
      </w:r>
      <w:r>
        <w:rPr>
          <w:rFonts w:ascii="Arial" w:cs="Arial" w:eastAsia="Arial" w:hAnsi="Arial"/>
          <w:sz w:val="18"/>
          <w:szCs w:val="18"/>
          <w:color w:val="auto"/>
        </w:rPr>
        <w:t>”) is to provide employees of the Company and certain of its Subsidiaries with an opportunity to purchase Common Stock of the Company through payroll deductions. The Plan is intended to qualify as an “employee stock purchase plan” under Section 423 of the Code. Accordingly, the provisions of the Plan shall be construed in a manner consistent with the requirements of Section 423 of the Code and the regulations promulgated thereunder.</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Definitions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 xml:space="preserve">Definitions. </w:t>
      </w:r>
      <w:r>
        <w:rPr>
          <w:rFonts w:ascii="Arial" w:cs="Arial" w:eastAsia="Arial" w:hAnsi="Arial"/>
          <w:sz w:val="20"/>
          <w:szCs w:val="20"/>
          <w:color w:val="auto"/>
        </w:rPr>
        <w:t>Whenever used herein, the following terms shall have the respective meanings set forth below:</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“Acquisition Date"</w:t>
      </w:r>
    </w:p>
    <w:p>
      <w:pPr>
        <w:spacing w:after="0" w:line="216" w:lineRule="exact"/>
        <w:rPr>
          <w:sz w:val="20"/>
          <w:szCs w:val="20"/>
          <w:color w:val="auto"/>
        </w:rPr>
      </w:pPr>
    </w:p>
    <w:p>
      <w:pPr>
        <w:ind w:left="100" w:right="40"/>
        <w:spacing w:after="0" w:line="287" w:lineRule="auto"/>
        <w:rPr>
          <w:sz w:val="20"/>
          <w:szCs w:val="20"/>
          <w:color w:val="auto"/>
        </w:rPr>
      </w:pPr>
      <w:r>
        <w:rPr>
          <w:rFonts w:ascii="Arial" w:cs="Arial" w:eastAsia="Arial" w:hAnsi="Arial"/>
          <w:sz w:val="19"/>
          <w:szCs w:val="19"/>
          <w:color w:val="auto"/>
        </w:rPr>
        <w:t>means the last day of each Offering Period at which time the Shares subject to a Share Purchase Right granted under the Plan shall, subject to the terms and conditions of the Plan, be deemed to have been purchased by or on behalf of the Participant.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“Administrator”</w:t>
      </w:r>
    </w:p>
    <w:p>
      <w:pPr>
        <w:spacing w:after="0" w:line="216" w:lineRule="exact"/>
        <w:rPr>
          <w:sz w:val="20"/>
          <w:szCs w:val="20"/>
          <w:color w:val="auto"/>
        </w:rPr>
      </w:pPr>
    </w:p>
    <w:p>
      <w:pPr>
        <w:ind w:left="100" w:right="60"/>
        <w:spacing w:after="0" w:line="282" w:lineRule="auto"/>
        <w:rPr>
          <w:sz w:val="20"/>
          <w:szCs w:val="20"/>
          <w:color w:val="auto"/>
        </w:rPr>
      </w:pPr>
      <w:r>
        <w:rPr>
          <w:rFonts w:ascii="Arial" w:cs="Arial" w:eastAsia="Arial" w:hAnsi="Arial"/>
          <w:sz w:val="18"/>
          <w:szCs w:val="18"/>
          <w:color w:val="auto"/>
        </w:rPr>
        <w:t>means the Board, unless the Board delegates administrative authority hereunder to a committee of the Board, in which case it means such committee of the Board. If the Board or such committee delegates administrative authority hereunder to any other person or group of persons pursuant to Section 10.2, such person or group of persons shall be deemed to be the Administrator hereunder to such extent, except that further delegation by any such persons other than such committee shall not be permitted hereunder.</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“Affiliate”</w:t>
      </w:r>
    </w:p>
    <w:p>
      <w:pPr>
        <w:spacing w:after="0" w:line="216" w:lineRule="exact"/>
        <w:rPr>
          <w:sz w:val="20"/>
          <w:szCs w:val="20"/>
          <w:color w:val="auto"/>
        </w:rPr>
      </w:pPr>
    </w:p>
    <w:p>
      <w:pPr>
        <w:ind w:left="100" w:right="440"/>
        <w:spacing w:after="0" w:line="260" w:lineRule="auto"/>
        <w:rPr>
          <w:sz w:val="20"/>
          <w:szCs w:val="20"/>
          <w:color w:val="auto"/>
        </w:rPr>
      </w:pPr>
      <w:r>
        <w:rPr>
          <w:rFonts w:ascii="Arial" w:cs="Arial" w:eastAsia="Arial" w:hAnsi="Arial"/>
          <w:sz w:val="20"/>
          <w:szCs w:val="20"/>
          <w:color w:val="auto"/>
        </w:rPr>
        <w:t>means, with respect to any Person, any other Person directly or indirectly controlling, controlled by or under common control with, such Person where “control” shall have the meaning given such term under Rule 405 of the Securities Act.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“Board"</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means the Board of Directors of the Company.</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“Change in Control”</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means the first to occur of any of the following events after the Effective Date:</w:t>
      </w:r>
    </w:p>
    <w:p>
      <w:pPr>
        <w:spacing w:after="0" w:line="216" w:lineRule="exact"/>
        <w:rPr>
          <w:sz w:val="20"/>
          <w:szCs w:val="20"/>
          <w:color w:val="auto"/>
        </w:rPr>
      </w:pPr>
    </w:p>
    <w:p>
      <w:pPr>
        <w:ind w:left="1400" w:hanging="644"/>
        <w:spacing w:after="0" w:line="243" w:lineRule="auto"/>
        <w:tabs>
          <w:tab w:leader="none" w:pos="1388"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any “person,” as such term is used in Sections 13(d) and 14(d) of the Exchange Act (other than the Company, any trustee or other fiduciary holding securities under an employee benefit plan of the Company or any Affiliate, or any Company owned, directly or indirectly, by the stockholders of the Company in substantially the same proportions as their ownership of stock of the Company), is or becomes the “beneficial owner” (as defined in Rule 13d-3 under the Exchange Act), directly or indirectly, of securities of the Company representing thirty percent (30%) or more of the combined voting power of the Company’s then outstanding securities provided, however, that the Company securities acquired directly from the Company shall be disregarded for this purpose;</w:t>
      </w:r>
    </w:p>
    <w:p>
      <w:pPr>
        <w:spacing w:after="0" w:line="192" w:lineRule="exact"/>
        <w:rPr>
          <w:rFonts w:ascii="Arial" w:cs="Arial" w:eastAsia="Arial" w:hAnsi="Arial"/>
          <w:sz w:val="20"/>
          <w:szCs w:val="20"/>
          <w:color w:val="auto"/>
        </w:rPr>
      </w:pPr>
    </w:p>
    <w:p>
      <w:pPr>
        <w:ind w:left="1400" w:right="180" w:hanging="644"/>
        <w:spacing w:after="0" w:line="260" w:lineRule="auto"/>
        <w:tabs>
          <w:tab w:leader="none" w:pos="1388" w:val="left"/>
        </w:tabs>
        <w:numPr>
          <w:ilvl w:val="0"/>
          <w:numId w:val="28"/>
        </w:numPr>
        <w:rPr>
          <w:rFonts w:ascii="Arial" w:cs="Arial" w:eastAsia="Arial" w:hAnsi="Arial"/>
          <w:sz w:val="20"/>
          <w:szCs w:val="20"/>
          <w:color w:val="auto"/>
        </w:rPr>
      </w:pPr>
      <w:r>
        <w:rPr>
          <w:rFonts w:ascii="Arial" w:cs="Arial" w:eastAsia="Arial" w:hAnsi="Arial"/>
          <w:sz w:val="20"/>
          <w:szCs w:val="20"/>
          <w:color w:val="auto"/>
        </w:rPr>
        <w:t>during any period of twelve (12) consecutive months, individuals who at the beginning of such period constitute the Board, and any new director (other than a director designated by a person who has entered</w:t>
      </w: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20" w:top="765" w:right="339" w:bottom="1440" w:gutter="0" w:footer="0" w:header="0"/>
        </w:sectPr>
      </w:pPr>
    </w:p>
    <w:bookmarkStart w:id="43" w:name="page44"/>
    <w:bookmarkEnd w:id="43"/>
    <w:p>
      <w:pPr>
        <w:ind w:left="1400"/>
        <w:spacing w:after="0" w:line="260" w:lineRule="auto"/>
        <w:rPr>
          <w:sz w:val="20"/>
          <w:szCs w:val="20"/>
          <w:color w:val="auto"/>
        </w:rPr>
      </w:pPr>
      <w:r>
        <w:rPr>
          <w:rFonts w:ascii="Arial" w:cs="Arial" w:eastAsia="Arial" w:hAnsi="Arial"/>
          <w:sz w:val="19"/>
          <w:szCs w:val="19"/>
          <w:color w:val="auto"/>
        </w:rPr>
        <w:t>into an agreement with the Company to effect a transaction described in clause (i), (iii) or (iv) of this Section and other than a director initially elected or nominated as a result of an actual or threatened election contest with respect to directors) whose election by the Board or nomination for election by the Company’s stockholders was approved by a vote of a majority of the directors then still in office who either (x) were directors at the beginning of such period or (y) were so elected or nominated with such approval, cease for any reason to constitute at least a majority of the Board;</w:t>
      </w:r>
    </w:p>
    <w:p>
      <w:pPr>
        <w:spacing w:after="0" w:line="180" w:lineRule="exact"/>
        <w:rPr>
          <w:sz w:val="20"/>
          <w:szCs w:val="20"/>
          <w:color w:val="auto"/>
        </w:rPr>
      </w:pPr>
    </w:p>
    <w:p>
      <w:pPr>
        <w:ind w:left="1400" w:hanging="644"/>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consummated a stockholder-approved merger or consolidation of the Company with any other company, other than</w:t>
      </w:r>
    </w:p>
    <w:p>
      <w:pPr>
        <w:spacing w:after="0" w:line="38" w:lineRule="exact"/>
        <w:rPr>
          <w:rFonts w:ascii="Arial" w:cs="Arial" w:eastAsia="Arial" w:hAnsi="Arial"/>
          <w:sz w:val="18"/>
          <w:szCs w:val="18"/>
          <w:color w:val="auto"/>
        </w:rPr>
      </w:pPr>
    </w:p>
    <w:p>
      <w:pPr>
        <w:ind w:left="1400" w:right="40" w:firstLine="4"/>
        <w:spacing w:after="0" w:line="272" w:lineRule="auto"/>
        <w:tabs>
          <w:tab w:leader="none" w:pos="1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merger or consolidation which would result in the voting securities of the Company outstanding immediately prior thereto continuing to represent (either by remaining outstanding or by being converted into voting securities of the surviving entity) more than fifty percent (50%) of the combined voting power of the voting securities of the Company or such surviving entity outstanding immediately after such merger or consolidation or (y) a merger or consolidation effected to implement a recapitalization of the Company (or similar transaction) in which no “person” (as hereinabove defined) acquires more than thirty percent (30%) of the combined voting power of the Company’s then outstanding securities; or</w:t>
      </w:r>
    </w:p>
    <w:p>
      <w:pPr>
        <w:spacing w:after="0" w:line="169" w:lineRule="exact"/>
        <w:rPr>
          <w:rFonts w:ascii="Arial" w:cs="Arial" w:eastAsia="Arial" w:hAnsi="Arial"/>
          <w:sz w:val="18"/>
          <w:szCs w:val="18"/>
          <w:color w:val="auto"/>
        </w:rPr>
      </w:pPr>
    </w:p>
    <w:p>
      <w:pPr>
        <w:ind w:left="1400" w:right="260" w:hanging="644"/>
        <w:spacing w:after="0" w:line="260" w:lineRule="auto"/>
        <w:tabs>
          <w:tab w:leader="none" w:pos="1388"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there is consummated an agreement for the sale or disposition by the Company of all or substantially all of the Company’s assets; or</w:t>
      </w:r>
    </w:p>
    <w:p>
      <w:pPr>
        <w:spacing w:after="0" w:line="176" w:lineRule="exact"/>
        <w:rPr>
          <w:rFonts w:ascii="Arial" w:cs="Arial" w:eastAsia="Arial" w:hAnsi="Arial"/>
          <w:sz w:val="20"/>
          <w:szCs w:val="20"/>
          <w:color w:val="auto"/>
        </w:rPr>
      </w:pPr>
    </w:p>
    <w:p>
      <w:pPr>
        <w:ind w:left="1400" w:hanging="644"/>
        <w:spacing w:after="0"/>
        <w:tabs>
          <w:tab w:leader="none" w:pos="14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stockholders of the Company approve a plan of complete liquidation of the Company; and</w:t>
      </w:r>
    </w:p>
    <w:p>
      <w:pPr>
        <w:spacing w:after="0" w:line="216" w:lineRule="exact"/>
        <w:rPr>
          <w:sz w:val="20"/>
          <w:szCs w:val="20"/>
          <w:color w:val="auto"/>
        </w:rPr>
      </w:pPr>
    </w:p>
    <w:p>
      <w:pPr>
        <w:ind w:left="100" w:right="80"/>
        <w:spacing w:after="0" w:line="246" w:lineRule="auto"/>
        <w:rPr>
          <w:sz w:val="20"/>
          <w:szCs w:val="20"/>
          <w:color w:val="auto"/>
        </w:rPr>
      </w:pPr>
      <w:r>
        <w:rPr>
          <w:rFonts w:ascii="Arial" w:cs="Arial" w:eastAsia="Arial" w:hAnsi="Arial"/>
          <w:sz w:val="20"/>
          <w:szCs w:val="20"/>
          <w:color w:val="auto"/>
        </w:rPr>
        <w:t xml:space="preserve">in each of the foregoing cases, </w:t>
      </w:r>
      <w:r>
        <w:rPr>
          <w:rFonts w:ascii="Arial" w:cs="Arial" w:eastAsia="Arial" w:hAnsi="Arial"/>
          <w:sz w:val="20"/>
          <w:szCs w:val="20"/>
          <w:i w:val="1"/>
          <w:iCs w:val="1"/>
          <w:color w:val="auto"/>
        </w:rPr>
        <w:t>provided that</w:t>
      </w:r>
      <w:r>
        <w:rPr>
          <w:rFonts w:ascii="Arial" w:cs="Arial" w:eastAsia="Arial" w:hAnsi="Arial"/>
          <w:sz w:val="20"/>
          <w:szCs w:val="20"/>
          <w:color w:val="auto"/>
        </w:rPr>
        <w:t>, as to Share Repurchase Rights subject to Section 409A of the Code, such event also constitutes a “change in control” within the meaning of Section 409A of the Code. In addition, notwithstanding the foregoing, a Change in Control shall not be deemed to occur if the Company files for bankruptcy, liquidation or reorganization under the United States Bankruptcy Code or as a result of any restructuring that occurs as a result of any such proceeding.</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“Change in Control Date”</w:t>
      </w:r>
    </w:p>
    <w:p>
      <w:pPr>
        <w:spacing w:after="0" w:line="216" w:lineRule="exact"/>
        <w:rPr>
          <w:sz w:val="20"/>
          <w:szCs w:val="20"/>
          <w:color w:val="auto"/>
        </w:rPr>
      </w:pPr>
    </w:p>
    <w:p>
      <w:pPr>
        <w:ind w:left="1400"/>
        <w:spacing w:after="0"/>
        <w:rPr>
          <w:sz w:val="20"/>
          <w:szCs w:val="20"/>
          <w:color w:val="auto"/>
        </w:rPr>
      </w:pPr>
      <w:r>
        <w:rPr>
          <w:rFonts w:ascii="Arial" w:cs="Arial" w:eastAsia="Arial" w:hAnsi="Arial"/>
          <w:sz w:val="20"/>
          <w:szCs w:val="20"/>
          <w:color w:val="auto"/>
        </w:rPr>
        <w:t>means the first date as of which a Change in Control occurs.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“Code”</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means the Internal Revenue Code of 1986, as amended.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“Common Stock”</w:t>
      </w:r>
    </w:p>
    <w:p>
      <w:pPr>
        <w:spacing w:after="0" w:line="216" w:lineRule="exact"/>
        <w:rPr>
          <w:sz w:val="20"/>
          <w:szCs w:val="20"/>
          <w:color w:val="auto"/>
        </w:rPr>
      </w:pPr>
    </w:p>
    <w:p>
      <w:pPr>
        <w:ind w:left="100" w:right="380"/>
        <w:spacing w:after="0" w:line="260" w:lineRule="auto"/>
        <w:rPr>
          <w:sz w:val="20"/>
          <w:szCs w:val="20"/>
          <w:color w:val="auto"/>
        </w:rPr>
      </w:pPr>
      <w:r>
        <w:rPr>
          <w:rFonts w:ascii="Arial" w:cs="Arial" w:eastAsia="Arial" w:hAnsi="Arial"/>
          <w:sz w:val="20"/>
          <w:szCs w:val="20"/>
          <w:color w:val="auto"/>
        </w:rPr>
        <w:t>means the common stock, par value $.001 per share, of the Company and such other stock or securities into which such common stock is hereafter converted or for which such common stock is exchanged.</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“Company"</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means Priority Technology Holdings, Inc., a Delaware corporation, and any successor thereto.</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“Compensation”</w:t>
      </w:r>
    </w:p>
    <w:p>
      <w:pPr>
        <w:spacing w:after="0" w:line="216" w:lineRule="exact"/>
        <w:rPr>
          <w:sz w:val="20"/>
          <w:szCs w:val="20"/>
          <w:color w:val="auto"/>
        </w:rPr>
      </w:pPr>
    </w:p>
    <w:p>
      <w:pPr>
        <w:ind w:left="100" w:right="60"/>
        <w:spacing w:after="0" w:line="273" w:lineRule="auto"/>
        <w:rPr>
          <w:sz w:val="20"/>
          <w:szCs w:val="20"/>
          <w:color w:val="auto"/>
        </w:rPr>
      </w:pPr>
      <w:r>
        <w:rPr>
          <w:rFonts w:ascii="Arial" w:cs="Arial" w:eastAsia="Arial" w:hAnsi="Arial"/>
          <w:sz w:val="18"/>
          <w:szCs w:val="18"/>
          <w:color w:val="auto"/>
        </w:rPr>
        <w:t>means earnings paid by the Company or any Subsidiary during a plan year for personal services, prior to withholding, as reported on Form W-2, including bonus and incentive payments and commissions, but excluding employer contributions or benefits under the Company’s 401(k) Savings Plan or any other plan of deferred compensation maintained by the Company or any Subsidiary and excluding special allowances (such as statutory disability pay and disability benefits paid to an Employee during an authorized leave of absence, moving expenses, car expenses, tuition reimbursement, meal allowances, the cost of excess group life insurance income includible in taxable income, and similar items) and excluding the taxable value of any awards and/or gifts, including cash gifts, spiffs, gift certificates, gift cards, and similar items of readily convertible cash value given to an Employee by the Company or any Subsidiary in connection with a holiday or occasional corporate event. Compensation includes all pre-tax or Roth post-tax contributions to the Company’s 401(k)</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20" w:top="771" w:right="339" w:bottom="1440" w:gutter="0" w:footer="0" w:header="0"/>
        </w:sectPr>
      </w:pPr>
    </w:p>
    <w:bookmarkStart w:id="44" w:name="page45"/>
    <w:bookmarkEnd w:id="44"/>
    <w:p>
      <w:pPr>
        <w:ind w:left="100" w:right="460"/>
        <w:spacing w:after="0" w:line="260" w:lineRule="auto"/>
        <w:rPr>
          <w:sz w:val="20"/>
          <w:szCs w:val="20"/>
          <w:color w:val="auto"/>
        </w:rPr>
      </w:pPr>
      <w:r>
        <w:rPr>
          <w:rFonts w:ascii="Arial" w:cs="Arial" w:eastAsia="Arial" w:hAnsi="Arial"/>
          <w:sz w:val="20"/>
          <w:szCs w:val="20"/>
          <w:color w:val="auto"/>
        </w:rPr>
        <w:t>Savings Plan, any salary reduction contributions to a cafeteria plan under section 125 of the Code, and any elective amounts that are not includible in your gross income under Code section 132(f)(4).</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“Contribution”</w:t>
      </w:r>
    </w:p>
    <w:p>
      <w:pPr>
        <w:spacing w:after="0" w:line="216" w:lineRule="exact"/>
        <w:rPr>
          <w:sz w:val="20"/>
          <w:szCs w:val="20"/>
          <w:color w:val="auto"/>
        </w:rPr>
      </w:pPr>
    </w:p>
    <w:p>
      <w:pPr>
        <w:ind w:left="100" w:right="400"/>
        <w:spacing w:after="0" w:line="246" w:lineRule="auto"/>
        <w:rPr>
          <w:sz w:val="20"/>
          <w:szCs w:val="20"/>
          <w:color w:val="auto"/>
        </w:rPr>
      </w:pPr>
      <w:r>
        <w:rPr>
          <w:rFonts w:ascii="Arial" w:cs="Arial" w:eastAsia="Arial" w:hAnsi="Arial"/>
          <w:sz w:val="20"/>
          <w:szCs w:val="20"/>
          <w:color w:val="auto"/>
        </w:rPr>
        <w:t>means the amount of an after-tax payroll deduction an Employee has made, as set out in such Employee payroll deduction authorization form. If the Administrator so determines, a Contribution for Employees on a Company-approved leave of absence shall include a cash contribution equal to the amount of the after-tax payroll deduction the Employee would have made if such Employee had been receiving Compensation during the Company-approved leave of absence.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“Effective Date”</w:t>
      </w:r>
    </w:p>
    <w:p>
      <w:pPr>
        <w:spacing w:after="0" w:line="216" w:lineRule="exact"/>
        <w:rPr>
          <w:sz w:val="20"/>
          <w:szCs w:val="20"/>
          <w:color w:val="auto"/>
        </w:rPr>
      </w:pPr>
    </w:p>
    <w:p>
      <w:pPr>
        <w:ind w:left="100" w:right="260"/>
        <w:spacing w:after="0" w:line="260" w:lineRule="auto"/>
        <w:rPr>
          <w:sz w:val="20"/>
          <w:szCs w:val="20"/>
          <w:color w:val="auto"/>
        </w:rPr>
      </w:pPr>
      <w:r>
        <w:rPr>
          <w:rFonts w:ascii="Arial" w:cs="Arial" w:eastAsia="Arial" w:hAnsi="Arial"/>
          <w:sz w:val="20"/>
          <w:szCs w:val="20"/>
          <w:color w:val="auto"/>
        </w:rPr>
        <w:t>means the date on which the Plan is approved by the shareholders of the Company, which date shall be within the twelve months before or after the date the Plan is approved by the Board.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“Employee”</w:t>
      </w:r>
    </w:p>
    <w:p>
      <w:pPr>
        <w:spacing w:after="0" w:line="216" w:lineRule="exact"/>
        <w:rPr>
          <w:sz w:val="20"/>
          <w:szCs w:val="20"/>
          <w:color w:val="auto"/>
        </w:rPr>
      </w:pPr>
    </w:p>
    <w:p>
      <w:pPr>
        <w:ind w:left="100" w:right="40"/>
        <w:spacing w:after="0" w:line="274" w:lineRule="auto"/>
        <w:rPr>
          <w:sz w:val="20"/>
          <w:szCs w:val="20"/>
          <w:color w:val="auto"/>
        </w:rPr>
      </w:pPr>
      <w:r>
        <w:rPr>
          <w:rFonts w:ascii="Arial" w:cs="Arial" w:eastAsia="Arial" w:hAnsi="Arial"/>
          <w:sz w:val="18"/>
          <w:szCs w:val="18"/>
          <w:color w:val="auto"/>
        </w:rPr>
        <w:t>means any person who is employed by, and who is classified as an employee on the payroll records of, the Company or any of its Subsidiaries that the Administrator designates for participation under the Plan. The Employees of a Subsidiary are only eligible to participate in the Plan if the Administrator designates the Subsidiary as eligible to participate in the Plan. For purposes of the Plan, the employment relationship shall be treated as continuing intact while the individual is on sick leave or other leave of absence approved by the Company or Subsidiary and meeting the requirements of Treasury Regulation Section 1.421-1(h)(2). For purposes of this Plan, where the period of leave exceeds six (6) months and the individual’s right to reemployment is not guaranteed either by statute or by contract, the employment relationship shall be deemed to have terminated on the first day immediately following such six (6)-month period.</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“Exchange Act”</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means the Securities Exchange Act of 1934, as amended.</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“Fair Market Value”</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of a Share as of any date of determination shall be:</w:t>
      </w:r>
    </w:p>
    <w:p>
      <w:pPr>
        <w:spacing w:after="0" w:line="216" w:lineRule="exact"/>
        <w:rPr>
          <w:sz w:val="20"/>
          <w:szCs w:val="20"/>
          <w:color w:val="auto"/>
        </w:rPr>
      </w:pPr>
    </w:p>
    <w:p>
      <w:pPr>
        <w:ind w:left="1400" w:right="200" w:hanging="644"/>
        <w:spacing w:after="0" w:line="263" w:lineRule="auto"/>
        <w:tabs>
          <w:tab w:leader="none" w:pos="1388" w:val="left"/>
        </w:tabs>
        <w:numPr>
          <w:ilvl w:val="0"/>
          <w:numId w:val="30"/>
        </w:numPr>
        <w:rPr>
          <w:rFonts w:ascii="Arial" w:cs="Arial" w:eastAsia="Arial" w:hAnsi="Arial"/>
          <w:sz w:val="19"/>
          <w:szCs w:val="19"/>
          <w:color w:val="auto"/>
        </w:rPr>
      </w:pPr>
      <w:r>
        <w:rPr>
          <w:rFonts w:ascii="Arial" w:cs="Arial" w:eastAsia="Arial" w:hAnsi="Arial"/>
          <w:sz w:val="19"/>
          <w:szCs w:val="19"/>
          <w:color w:val="auto"/>
        </w:rPr>
        <w:t>If the Common Stock is listed on any established stock exchange or a national market system and transactions in the Common Stock are available to the Company as of the immediately preceding trading date, then closing price on such immediately preceding trading date per Share as reported on such stock exchange or system shall be the Fair Market Value for the date of determination, rounded down to the nearest whole cent; or</w:t>
      </w:r>
    </w:p>
    <w:p>
      <w:pPr>
        <w:spacing w:after="0" w:line="176" w:lineRule="exact"/>
        <w:rPr>
          <w:rFonts w:ascii="Arial" w:cs="Arial" w:eastAsia="Arial" w:hAnsi="Arial"/>
          <w:sz w:val="19"/>
          <w:szCs w:val="19"/>
          <w:color w:val="auto"/>
        </w:rPr>
      </w:pPr>
    </w:p>
    <w:p>
      <w:pPr>
        <w:ind w:left="1400" w:hanging="644"/>
        <w:spacing w:after="0" w:line="282" w:lineRule="auto"/>
        <w:tabs>
          <w:tab w:leader="none" w:pos="13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clause (i) shall not apply on any date of determination, then the Fair Market Value shall be determined in good faith by the Administrator with reference to (x) the most recent valuation of the Common Stock performed by an independent valuation consultant or appraiser of nationally recognized standing, if any, (y) sales prices of securities issued to investors in any recent arm’s length transactions and (z) any other factors determined to be relevant by the Administrator.</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“Offer Date”</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means the first day of each Offering Period.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“Offering Period”</w:t>
      </w:r>
    </w:p>
    <w:p>
      <w:pPr>
        <w:spacing w:after="0" w:line="216" w:lineRule="exact"/>
        <w:rPr>
          <w:sz w:val="20"/>
          <w:szCs w:val="20"/>
          <w:color w:val="auto"/>
        </w:rPr>
      </w:pPr>
    </w:p>
    <w:p>
      <w:pPr>
        <w:ind w:left="100" w:right="100"/>
        <w:spacing w:after="0" w:line="246" w:lineRule="auto"/>
        <w:rPr>
          <w:sz w:val="20"/>
          <w:szCs w:val="20"/>
          <w:color w:val="auto"/>
        </w:rPr>
      </w:pPr>
      <w:r>
        <w:rPr>
          <w:rFonts w:ascii="Arial" w:cs="Arial" w:eastAsia="Arial" w:hAnsi="Arial"/>
          <w:sz w:val="20"/>
          <w:szCs w:val="20"/>
          <w:color w:val="auto"/>
        </w:rPr>
        <w:t>means a period of time specified by the Administrator, consistent with Section 423 of the Code, beginning on the Offer Date and ending on the Acquisition Date. Unless otherwise determined by the Administrator, each Offering Period shall be a period of three (3) calendar months commencing on January 1, April 1, July 1 and October 1 of each calendar year during the Term of the Plan. The first Offering Period under the Plan shall commence as of July 1, 2021.</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20" w:top="771" w:right="359" w:bottom="1440" w:gutter="0" w:footer="0" w:header="0"/>
        </w:sectPr>
      </w:pPr>
    </w:p>
    <w:bookmarkStart w:id="45" w:name="page46"/>
    <w:bookmarkEnd w:id="45"/>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Participant”</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means an Employee who becomes a participant in the Plan pursuant to Article V.</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“Person”</w:t>
      </w:r>
    </w:p>
    <w:p>
      <w:pPr>
        <w:spacing w:after="0" w:line="216" w:lineRule="exact"/>
        <w:rPr>
          <w:sz w:val="20"/>
          <w:szCs w:val="20"/>
          <w:color w:val="auto"/>
        </w:rPr>
      </w:pPr>
    </w:p>
    <w:p>
      <w:pPr>
        <w:ind w:left="100" w:right="920"/>
        <w:spacing w:after="0" w:line="260" w:lineRule="auto"/>
        <w:rPr>
          <w:sz w:val="20"/>
          <w:szCs w:val="20"/>
          <w:color w:val="auto"/>
        </w:rPr>
      </w:pPr>
      <w:r>
        <w:rPr>
          <w:rFonts w:ascii="Arial" w:cs="Arial" w:eastAsia="Arial" w:hAnsi="Arial"/>
          <w:sz w:val="20"/>
          <w:szCs w:val="20"/>
          <w:color w:val="auto"/>
        </w:rPr>
        <w:t>means an individual, partnership, corporation, limited liability company, business trust, joint stock company, trust, unincorporated association, joint venture, governmental authority or any other entity of whatever nature.</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“Purchase Price”</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means the purchase price per Share subject to the Share Purchase Right determined pursuant to Section 6.3.</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“Securities Act”</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means the Securities Act of 1933, as amended.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“Share”</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means a share of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i w:val="1"/>
          <w:iCs w:val="1"/>
          <w:color w:val="auto"/>
        </w:rPr>
        <w:t>“Share Purchase Right”</w:t>
      </w:r>
    </w:p>
    <w:p>
      <w:pPr>
        <w:spacing w:after="0" w:line="216" w:lineRule="exact"/>
        <w:rPr>
          <w:sz w:val="20"/>
          <w:szCs w:val="20"/>
          <w:color w:val="auto"/>
        </w:rPr>
      </w:pPr>
    </w:p>
    <w:p>
      <w:pPr>
        <w:ind w:left="100" w:right="160"/>
        <w:spacing w:after="0" w:line="260" w:lineRule="auto"/>
        <w:rPr>
          <w:sz w:val="20"/>
          <w:szCs w:val="20"/>
          <w:color w:val="auto"/>
        </w:rPr>
      </w:pPr>
      <w:r>
        <w:rPr>
          <w:rFonts w:ascii="Arial" w:cs="Arial" w:eastAsia="Arial" w:hAnsi="Arial"/>
          <w:sz w:val="20"/>
          <w:szCs w:val="20"/>
          <w:color w:val="auto"/>
        </w:rPr>
        <w:t>means a right that entitles the holder to purchase from the Company a stated number of Shares in accordance with, and subject to, the terms and conditions of the Plan.</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“Subsidiary”</w:t>
      </w:r>
    </w:p>
    <w:p>
      <w:pPr>
        <w:spacing w:after="0" w:line="216" w:lineRule="exact"/>
        <w:rPr>
          <w:sz w:val="20"/>
          <w:szCs w:val="20"/>
          <w:color w:val="auto"/>
        </w:rPr>
      </w:pPr>
    </w:p>
    <w:p>
      <w:pPr>
        <w:jc w:val="both"/>
        <w:ind w:left="100" w:right="80"/>
        <w:spacing w:after="0" w:line="250" w:lineRule="auto"/>
        <w:rPr>
          <w:sz w:val="20"/>
          <w:szCs w:val="20"/>
          <w:color w:val="auto"/>
        </w:rPr>
      </w:pPr>
      <w:r>
        <w:rPr>
          <w:rFonts w:ascii="Arial" w:cs="Arial" w:eastAsia="Arial" w:hAnsi="Arial"/>
          <w:sz w:val="20"/>
          <w:szCs w:val="20"/>
          <w:color w:val="auto"/>
        </w:rPr>
        <w:t>of an entity means any corporation in an unbroken chain of corporations beginning with such entity if each of the corporations other than the last corporation in the unbroken chain then owns stock possessing 50% or more of the total combined voting power of all classes of stock in one of the other corporations in such chain.</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Available Shares and Adjustments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ction i.</w:t>
      </w:r>
      <w:r>
        <w:rPr>
          <w:rFonts w:ascii="Arial" w:cs="Arial" w:eastAsia="Arial" w:hAnsi="Arial"/>
          <w:sz w:val="20"/>
          <w:szCs w:val="20"/>
          <w:i w:val="1"/>
          <w:iCs w:val="1"/>
          <w:color w:val="auto"/>
        </w:rPr>
        <w:t>Available Shares</w:t>
      </w:r>
      <w:r>
        <w:rPr>
          <w:rFonts w:ascii="Arial" w:cs="Arial" w:eastAsia="Arial" w:hAnsi="Arial"/>
          <w:sz w:val="20"/>
          <w:szCs w:val="20"/>
          <w:color w:val="auto"/>
        </w:rPr>
        <w:t>.</w:t>
      </w:r>
    </w:p>
    <w:p>
      <w:pPr>
        <w:spacing w:after="0" w:line="200" w:lineRule="exact"/>
        <w:rPr>
          <w:sz w:val="20"/>
          <w:szCs w:val="20"/>
          <w:color w:val="auto"/>
        </w:rPr>
      </w:pPr>
    </w:p>
    <w:p>
      <w:pPr>
        <w:ind w:left="100" w:right="160"/>
        <w:spacing w:after="0" w:line="260" w:lineRule="auto"/>
        <w:rPr>
          <w:sz w:val="20"/>
          <w:szCs w:val="20"/>
          <w:color w:val="auto"/>
        </w:rPr>
      </w:pPr>
      <w:r>
        <w:rPr>
          <w:rFonts w:ascii="Arial" w:cs="Arial" w:eastAsia="Arial" w:hAnsi="Arial"/>
          <w:sz w:val="20"/>
          <w:szCs w:val="20"/>
          <w:color w:val="auto"/>
        </w:rPr>
        <w:t xml:space="preserve">Subject to adjustments as provided in this Article III, the maximum number of Shares available for purchase under the Plan on and after the first day of the first Offering Period under the Plan is </w:t>
      </w:r>
      <w:r>
        <w:rPr>
          <w:rFonts w:ascii="Arial" w:cs="Arial" w:eastAsia="Arial" w:hAnsi="Arial"/>
          <w:sz w:val="20"/>
          <w:szCs w:val="20"/>
          <w:b w:val="1"/>
          <w:bCs w:val="1"/>
          <w:color w:val="auto"/>
        </w:rPr>
        <w:t>[________]</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20"/>
          <w:szCs w:val="20"/>
          <w:color w:val="auto"/>
        </w:rPr>
        <w:t>tion ii.</w:t>
      </w:r>
      <w:r>
        <w:rPr>
          <w:rFonts w:ascii="Arial" w:cs="Arial" w:eastAsia="Arial" w:hAnsi="Arial"/>
          <w:sz w:val="20"/>
          <w:szCs w:val="20"/>
          <w:i w:val="1"/>
          <w:iCs w:val="1"/>
          <w:color w:val="auto"/>
        </w:rPr>
        <w:t>Shares</w:t>
      </w:r>
    </w:p>
    <w:p>
      <w:pPr>
        <w:spacing w:after="0" w:line="216" w:lineRule="exact"/>
        <w:rPr>
          <w:sz w:val="20"/>
          <w:szCs w:val="20"/>
          <w:color w:val="auto"/>
        </w:rPr>
      </w:pPr>
    </w:p>
    <w:p>
      <w:pPr>
        <w:ind w:right="3100" w:firstLine="108"/>
        <w:spacing w:after="0" w:line="464" w:lineRule="auto"/>
        <w:tabs>
          <w:tab w:leader="none" w:pos="207" w:val="left"/>
        </w:tabs>
        <w:numPr>
          <w:ilvl w:val="0"/>
          <w:numId w:val="31"/>
        </w:numPr>
        <w:rPr>
          <w:rFonts w:ascii="Arial" w:cs="Arial" w:eastAsia="Arial" w:hAnsi="Arial"/>
          <w:sz w:val="20"/>
          <w:szCs w:val="20"/>
          <w:color w:val="auto"/>
        </w:rPr>
      </w:pPr>
      <w:r>
        <w:rPr>
          <w:rFonts w:ascii="Arial" w:cs="Arial" w:eastAsia="Arial" w:hAnsi="Arial"/>
          <w:sz w:val="20"/>
          <w:szCs w:val="20"/>
          <w:color w:val="auto"/>
        </w:rPr>
        <w:t>Shares issued under the Plan may be authorized but unissued or reacquired shares of Common Stock. tion iii.</w:t>
      </w:r>
      <w:r>
        <w:rPr>
          <w:rFonts w:ascii="Arial" w:cs="Arial" w:eastAsia="Arial" w:hAnsi="Arial"/>
          <w:sz w:val="20"/>
          <w:szCs w:val="20"/>
          <w:i w:val="1"/>
          <w:iCs w:val="1"/>
          <w:color w:val="auto"/>
        </w:rPr>
        <w:t>Adjustments</w:t>
      </w:r>
      <w:r>
        <w:rPr>
          <w:rFonts w:ascii="Arial" w:cs="Arial" w:eastAsia="Arial" w:hAnsi="Arial"/>
          <w:sz w:val="20"/>
          <w:szCs w:val="20"/>
          <w:color w:val="auto"/>
        </w:rPr>
        <w:t>.</w:t>
      </w:r>
    </w:p>
    <w:p>
      <w:pPr>
        <w:spacing w:after="0" w:line="2" w:lineRule="exact"/>
        <w:rPr>
          <w:sz w:val="20"/>
          <w:szCs w:val="20"/>
          <w:color w:val="auto"/>
        </w:rPr>
      </w:pPr>
    </w:p>
    <w:p>
      <w:pPr>
        <w:ind w:left="100" w:firstLine="8"/>
        <w:spacing w:after="0" w:line="273" w:lineRule="auto"/>
        <w:tabs>
          <w:tab w:leader="none" w:pos="738"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Changes in Capitalization</w:t>
      </w:r>
      <w:r>
        <w:rPr>
          <w:rFonts w:ascii="Arial" w:cs="Arial" w:eastAsia="Arial" w:hAnsi="Arial"/>
          <w:sz w:val="18"/>
          <w:szCs w:val="18"/>
          <w:color w:val="auto"/>
        </w:rPr>
        <w:t>. If and to the extent necessary or appropriate to reflect any stock dividend, extraordinary dividend,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or share recombination or any recapitalization, merger, consolidation, exchange of shares, spin-off, liquidation or dissolution of the Company or other similar transaction affecting the Company Common Stock (each, a “</w:t>
      </w:r>
      <w:r>
        <w:rPr>
          <w:rFonts w:ascii="Arial" w:cs="Arial" w:eastAsia="Arial" w:hAnsi="Arial"/>
          <w:sz w:val="18"/>
          <w:szCs w:val="18"/>
          <w:i w:val="1"/>
          <w:iCs w:val="1"/>
          <w:color w:val="auto"/>
        </w:rPr>
        <w:t>Corporate Event</w:t>
      </w:r>
      <w:r>
        <w:rPr>
          <w:rFonts w:ascii="Arial" w:cs="Arial" w:eastAsia="Arial" w:hAnsi="Arial"/>
          <w:sz w:val="18"/>
          <w:szCs w:val="18"/>
          <w:color w:val="auto"/>
        </w:rPr>
        <w:t>”), the Administrator shall, in such manner as it may deem equitable to prevent the diminution or enlargement or the rights of the Company and Participants hereunder by reason of such Corporate Event, adjust any or all of the number and kind of Shares (or other securities or property) with respect to which a Share Purchase Right may be granted under the Plan (including, but not limited to, adjustments of the limitations in Section 3.1 on the maximum number and kind of Shares that may be issued under the Plan). All determinations and adjustments made by the Administrator in good faith pursuant to this Section 3.2 shall be final and binding on the affected Participants and the</w:t>
      </w:r>
    </w:p>
    <w:p>
      <w:pPr>
        <w:sectPr>
          <w:pgSz w:w="11900" w:h="16838" w:orient="portrait"/>
          <w:cols w:equalWidth="0" w:num="1">
            <w:col w:w="11320"/>
          </w:cols>
          <w:pgMar w:left="220" w:top="771" w:right="359" w:bottom="1440" w:gutter="0" w:footer="0" w:header="0"/>
        </w:sect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20"/>
          </w:cols>
          <w:pgMar w:left="220" w:top="771" w:right="359" w:bottom="1440" w:gutter="0" w:footer="0" w:header="0"/>
          <w:type w:val="continuous"/>
        </w:sectPr>
      </w:pPr>
    </w:p>
    <w:bookmarkStart w:id="46" w:name="page47"/>
    <w:bookmarkEnd w:id="46"/>
    <w:p>
      <w:pPr>
        <w:ind w:left="100"/>
        <w:spacing w:after="0"/>
        <w:rPr>
          <w:sz w:val="20"/>
          <w:szCs w:val="20"/>
          <w:color w:val="auto"/>
        </w:rPr>
      </w:pPr>
      <w:r>
        <w:rPr>
          <w:rFonts w:ascii="Arial" w:cs="Arial" w:eastAsia="Arial" w:hAnsi="Arial"/>
          <w:sz w:val="19"/>
          <w:szCs w:val="19"/>
          <w:color w:val="auto"/>
        </w:rPr>
        <w:t>Company. Any adjustment of an Award pursuant to this Section 3.2 shall be effected in compliance with Section 423 of the Code.</w:t>
      </w:r>
    </w:p>
    <w:p>
      <w:pPr>
        <w:spacing w:after="0" w:line="227" w:lineRule="exact"/>
        <w:rPr>
          <w:sz w:val="20"/>
          <w:szCs w:val="20"/>
          <w:color w:val="auto"/>
        </w:rPr>
      </w:pPr>
    </w:p>
    <w:p>
      <w:pPr>
        <w:ind w:left="100" w:right="200" w:firstLine="8"/>
        <w:spacing w:after="0" w:line="272" w:lineRule="auto"/>
        <w:tabs>
          <w:tab w:leader="none" w:pos="73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Notwithstanding any other provision of this Plan, in the event of a Change in Control of the Company,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in its sole discretion, may take whatever action it deems necessary or appropriate in connection therewith, including, but not limited to (i) shortening any Offering Period then in progress such that the Acquisition Date is on or prior to the Change in Control Date,</w:t>
      </w:r>
    </w:p>
    <w:p>
      <w:pPr>
        <w:ind w:left="100" w:right="220" w:firstLine="8"/>
        <w:spacing w:after="0"/>
        <w:tabs>
          <w:tab w:leader="none" w:pos="391" w:val="left"/>
        </w:tabs>
        <w:numPr>
          <w:ilvl w:val="0"/>
          <w:numId w:val="34"/>
        </w:numPr>
        <w:rPr>
          <w:rFonts w:ascii="Arial" w:cs="Arial" w:eastAsia="Arial" w:hAnsi="Arial"/>
          <w:sz w:val="20"/>
          <w:szCs w:val="20"/>
          <w:color w:val="auto"/>
        </w:rPr>
      </w:pPr>
      <w:r>
        <w:rPr>
          <w:rFonts w:ascii="Arial" w:cs="Arial" w:eastAsia="Arial" w:hAnsi="Arial"/>
          <w:sz w:val="20"/>
          <w:szCs w:val="20"/>
          <w:color w:val="auto"/>
        </w:rPr>
        <w:t>shortening any Offering Period then in progress and refunding any amounts accumulated in a Participant’s account for such Offering Period, (iii) cancelling all outstanding Share Purchase Rights as of the Change in Control Date and paying each holder thereof an amount equal to the difference between the per Share Fair Market Value as of the Change in Control Date and the Purchase Price determined in accordance with Section 6.3, or (iv) for each outstanding Share Purchase Right, granting a substitute right to purchase shares in accordance with Section 424 of the Code. Nothing in this Section 3.2(b) shall affect in any way the Company’s right to terminate the Plan at any time pursuant to Section 10.7 or 10.8.</w:t>
      </w:r>
    </w:p>
    <w:p>
      <w:pPr>
        <w:spacing w:after="0" w:line="197" w:lineRule="exact"/>
        <w:rPr>
          <w:rFonts w:ascii="Arial" w:cs="Arial" w:eastAsia="Arial" w:hAnsi="Arial"/>
          <w:sz w:val="20"/>
          <w:szCs w:val="20"/>
          <w:color w:val="auto"/>
        </w:rPr>
      </w:pPr>
    </w:p>
    <w:p>
      <w:pPr>
        <w:ind w:left="100" w:right="40" w:firstLine="8"/>
        <w:spacing w:after="0" w:line="307" w:lineRule="auto"/>
        <w:tabs>
          <w:tab w:leader="none" w:pos="738"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Insufficient Shares</w:t>
      </w:r>
      <w:r>
        <w:rPr>
          <w:rFonts w:ascii="Arial" w:cs="Arial" w:eastAsia="Arial" w:hAnsi="Arial"/>
          <w:sz w:val="16"/>
          <w:szCs w:val="16"/>
          <w:color w:val="auto"/>
        </w:rPr>
        <w:t>. If the Administrator determines that, on a given Acquisition Date, the number of Shares that may be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outstanding Share Purchase Rights for the applicable Offering Period may exceed (i) the number of Shares that were available for issuance under the Plan on the Offer Date of the applicable Offering Period or (ii) the number of Shares available for sale under the Plan on such Acquisition Date, including but not limited to by reason of a limitation on the maximum number of Shares that may be purchased set by the Administrator pursuant to Section 6.2(a) or (b), the Administrator shall make a pro rata allocation of the Shares available for issuance on such Acquisition Date in as uniform a manner as shall be practicable and as it shall determine in its sole discretion to be equitable among all Participants purchasing Shares on such Acquisition Date, and unless additional Shares are authorized for issuance under the Plan, no further Offering Periods shall take place and the Plan shall terminate pursuant to Section 10.7 hereof. If the Plan is so terminated, then the balance of the amount credited to the Participant’s account which has not been applied to the purchase of Shares shall be paid to such Participant in one lump sum in cash as soon as reasonably practicable without any interest thereon. The Company may make a pro rata allocation of the Shares available on the Offer Date of any applicable Offering Period pursuant to the first sentence of this section, notwithstanding any authorization of additional Shares for issuance under the Plan by the Company’s shareholders subsequent to such Offer Date.</w:t>
      </w: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Eligibility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ction i.</w:t>
      </w:r>
      <w:r>
        <w:rPr>
          <w:rFonts w:ascii="Arial" w:cs="Arial" w:eastAsia="Arial" w:hAnsi="Arial"/>
          <w:sz w:val="20"/>
          <w:szCs w:val="20"/>
          <w:i w:val="1"/>
          <w:iCs w:val="1"/>
          <w:color w:val="auto"/>
        </w:rPr>
        <w:t>Eligible Employees</w:t>
      </w:r>
    </w:p>
    <w:p>
      <w:pPr>
        <w:spacing w:after="0" w:line="200" w:lineRule="exact"/>
        <w:rPr>
          <w:sz w:val="20"/>
          <w:szCs w:val="20"/>
          <w:color w:val="auto"/>
        </w:rPr>
      </w:pPr>
    </w:p>
    <w:p>
      <w:pPr>
        <w:ind w:left="100" w:right="40" w:firstLine="1304"/>
        <w:spacing w:after="0" w:line="255" w:lineRule="auto"/>
        <w:tabs>
          <w:tab w:leader="none" w:pos="1495"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person who is an Employee employed by the Company or an eligible Subsidiary as of the Offer Date for a given Offering Period shall be eligible to participate in the Plan for such Offering Period, subject to the requirements of this Article IV and the limitations imposed by Section 423(b) of the Code, provided such Employee (a) is not customarily employed for 20 hours or less per week or for not more than five months per year; (b) is not a citizen or resident of a non-U.S. jurisdiction if grant of a Share Purchase Right under the Plan is prohibited under the laws of such non-U.S. jurisdiction or compliance with the laws of such non-U.S. jurisdiction would cause the Plan or any actions under the Plan to violate Section 423 of the Code; and (c) has not been employed by the Company or such Subsidiary for less than 30 days. Notwithstanding any other provision of the Plan, and regardless of any subsequent reclassification as an employee of the Company or any Subsidiary, an eligible Employee will not include (i) any independent contractor, (ii) any consultant, (iii) any individual performing services for the Company or any Subsidiary who has entered into an independent contractor or consultant agreement with the Company or any Subsidiary, or (iv) any individual who is classified as an independent contractor or consultant on the payroll records of the Company or any of its Subsidiaries.</w:t>
      </w:r>
    </w:p>
    <w:p>
      <w:pPr>
        <w:spacing w:after="0" w:line="187" w:lineRule="exact"/>
        <w:rPr>
          <w:sz w:val="20"/>
          <w:szCs w:val="20"/>
          <w:color w:val="auto"/>
        </w:rPr>
      </w:pPr>
    </w:p>
    <w:p>
      <w:pPr>
        <w:ind w:left="100"/>
        <w:spacing w:after="0" w:line="260" w:lineRule="auto"/>
        <w:rPr>
          <w:sz w:val="20"/>
          <w:szCs w:val="20"/>
          <w:color w:val="auto"/>
        </w:rPr>
      </w:pPr>
      <w:r>
        <w:rPr>
          <w:rFonts w:ascii="Arial" w:cs="Arial" w:eastAsia="Arial" w:hAnsi="Arial"/>
          <w:sz w:val="20"/>
          <w:szCs w:val="20"/>
          <w:color w:val="auto"/>
        </w:rPr>
        <w:t>Notwithstanding the foregoing, the Administrator may, on a prospective basis, impose a generally applicable eligibility service requirement of greater than 30 days and up to two years of employment.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20"/>
          <w:szCs w:val="20"/>
          <w:color w:val="auto"/>
        </w:rPr>
        <w:t>tion ii.</w:t>
      </w:r>
      <w:r>
        <w:rPr>
          <w:rFonts w:ascii="Arial" w:cs="Arial" w:eastAsia="Arial" w:hAnsi="Arial"/>
          <w:sz w:val="20"/>
          <w:szCs w:val="20"/>
          <w:i w:val="1"/>
          <w:iCs w:val="1"/>
          <w:color w:val="auto"/>
        </w:rPr>
        <w:t>Five Percent Shareholders</w:t>
      </w:r>
    </w:p>
    <w:p>
      <w:pPr>
        <w:spacing w:after="0" w:line="216" w:lineRule="exact"/>
        <w:rPr>
          <w:sz w:val="20"/>
          <w:szCs w:val="20"/>
          <w:color w:val="auto"/>
        </w:rPr>
      </w:pPr>
    </w:p>
    <w:p>
      <w:pPr>
        <w:ind w:left="100" w:right="180" w:firstLine="1304"/>
        <w:spacing w:after="0" w:line="260" w:lineRule="auto"/>
        <w:tabs>
          <w:tab w:leader="none" w:pos="1495" w:val="left"/>
        </w:tabs>
        <w:numPr>
          <w:ilvl w:val="0"/>
          <w:numId w:val="37"/>
        </w:numPr>
        <w:rPr>
          <w:rFonts w:ascii="Arial" w:cs="Arial" w:eastAsia="Arial" w:hAnsi="Arial"/>
          <w:sz w:val="20"/>
          <w:szCs w:val="20"/>
          <w:color w:val="auto"/>
        </w:rPr>
      </w:pPr>
      <w:r>
        <w:rPr>
          <w:rFonts w:ascii="Arial" w:cs="Arial" w:eastAsia="Arial" w:hAnsi="Arial"/>
          <w:sz w:val="20"/>
          <w:szCs w:val="20"/>
          <w:color w:val="auto"/>
        </w:rPr>
        <w:t>Notwithstanding any other provision of the Plan to the contrary, no Employee shall be eligible to participate in the Plan if, after giving effect to the grant of a Share Purchase Right in the Offering Period, the Employee</w:t>
      </w: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20" w:top="771" w:right="339" w:bottom="1440" w:gutter="0" w:footer="0" w:header="0"/>
        </w:sectPr>
      </w:pPr>
    </w:p>
    <w:bookmarkStart w:id="47" w:name="page48"/>
    <w:bookmarkEnd w:id="47"/>
    <w:p>
      <w:pPr>
        <w:ind w:left="100" w:right="20"/>
        <w:spacing w:after="0" w:line="250" w:lineRule="auto"/>
        <w:rPr>
          <w:sz w:val="20"/>
          <w:szCs w:val="20"/>
          <w:color w:val="auto"/>
        </w:rPr>
      </w:pPr>
      <w:r>
        <w:rPr>
          <w:rFonts w:ascii="Arial" w:cs="Arial" w:eastAsia="Arial" w:hAnsi="Arial"/>
          <w:sz w:val="20"/>
          <w:szCs w:val="20"/>
          <w:color w:val="auto"/>
        </w:rPr>
        <w:t>(or any other person whose stock would be attributed to the Employee pursuant to Section 424(d) of the Code) owns and/or holds Common Stock and outstanding rights to purchase Common Stock possessing, in the aggregate, five percent (5%) or more of the total combined voting power or value of all issued and outstanding stock of the Company.</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V.</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Participation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ction i.</w:t>
      </w:r>
      <w:r>
        <w:rPr>
          <w:rFonts w:ascii="Arial" w:cs="Arial" w:eastAsia="Arial" w:hAnsi="Arial"/>
          <w:sz w:val="20"/>
          <w:szCs w:val="20"/>
          <w:i w:val="1"/>
          <w:iCs w:val="1"/>
          <w:color w:val="auto"/>
        </w:rPr>
        <w:t>Enrollment</w:t>
      </w:r>
    </w:p>
    <w:p>
      <w:pPr>
        <w:spacing w:after="0" w:line="200" w:lineRule="exact"/>
        <w:rPr>
          <w:sz w:val="20"/>
          <w:szCs w:val="20"/>
          <w:color w:val="auto"/>
        </w:rPr>
      </w:pPr>
    </w:p>
    <w:p>
      <w:pPr>
        <w:ind w:left="100" w:right="40" w:firstLine="8"/>
        <w:spacing w:after="0" w:line="255" w:lineRule="auto"/>
        <w:tabs>
          <w:tab w:leader="none" w:pos="199" w:val="left"/>
        </w:tabs>
        <w:numPr>
          <w:ilvl w:val="0"/>
          <w:numId w:val="38"/>
        </w:numPr>
        <w:rPr>
          <w:rFonts w:ascii="Arial" w:cs="Arial" w:eastAsia="Arial" w:hAnsi="Arial"/>
          <w:sz w:val="19"/>
          <w:szCs w:val="19"/>
          <w:i w:val="1"/>
          <w:iCs w:val="1"/>
          <w:color w:val="auto"/>
        </w:rPr>
      </w:pPr>
      <w:r>
        <w:rPr>
          <w:rFonts w:ascii="Arial" w:cs="Arial" w:eastAsia="Arial" w:hAnsi="Arial"/>
          <w:sz w:val="19"/>
          <w:szCs w:val="19"/>
          <w:color w:val="auto"/>
        </w:rPr>
        <w:t>An eligible Employee may become a Participant in the Plan by completing an enrollment election form and any other required enrollment documents provided by the Administrator or its designee and submitting them to the Administrator or its designee prior to the commencement of an Offering Period in accordance with the rules established by the Administrator. The enrollment documents, which may, in the discretion of the Administrator, be in electronic form, shall set forth the amount of the Participant’s Compensation in whole dollars, which may not exceed $5,000 per Offering Period (or such other amount as may be prescribed by the Administrator from time to time) or forty percent (40%) of Participant’s Compensation per Offering Period (or such other percentage as may be prescribed by the Administrator from time to time), to be paid as Contributions pursuant to the Plan. An Employee’s payroll enrollment election shall become effective on an Offer Date in accordance with the rules established by the Administrator. Amounts deducted from a Participant’s Compensation pursuant to this Article V shall be credited to the Participant’s Plan account. No interest shall be payable on the amounts credited to the Participant’s Plan account. After an eligible Employee has become a Participant in the Plan for an Offering Period, the Participant’s payroll authorization for that Offering Period shall continue in force and effect for that Offering Period, unless the Participant withdraws from the Plan or the Administrator permits any such change during the Offering Period and the Participant changes such election in accordance with the procedures established by the Administrator.</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20"/>
          <w:szCs w:val="20"/>
          <w:color w:val="auto"/>
        </w:rPr>
        <w:t>tion ii.</w:t>
      </w:r>
      <w:r>
        <w:rPr>
          <w:rFonts w:ascii="Arial" w:cs="Arial" w:eastAsia="Arial" w:hAnsi="Arial"/>
          <w:sz w:val="20"/>
          <w:szCs w:val="20"/>
          <w:i w:val="1"/>
          <w:iCs w:val="1"/>
          <w:color w:val="auto"/>
        </w:rPr>
        <w:t>Evergreen Election</w:t>
      </w:r>
      <w:r>
        <w:rPr>
          <w:rFonts w:ascii="Arial" w:cs="Arial" w:eastAsia="Arial" w:hAnsi="Arial"/>
          <w:sz w:val="20"/>
          <w:szCs w:val="20"/>
          <w:color w:val="auto"/>
        </w:rPr>
        <w:t>.</w:t>
      </w:r>
    </w:p>
    <w:p>
      <w:pPr>
        <w:spacing w:after="0" w:line="216" w:lineRule="exact"/>
        <w:rPr>
          <w:sz w:val="20"/>
          <w:szCs w:val="20"/>
          <w:color w:val="auto"/>
        </w:rPr>
      </w:pPr>
    </w:p>
    <w:p>
      <w:pPr>
        <w:ind w:left="100" w:firstLine="1296"/>
        <w:spacing w:after="0" w:line="243" w:lineRule="auto"/>
        <w:rPr>
          <w:sz w:val="20"/>
          <w:szCs w:val="20"/>
          <w:color w:val="auto"/>
        </w:rPr>
      </w:pPr>
      <w:r>
        <w:rPr>
          <w:rFonts w:ascii="Arial" w:cs="Arial" w:eastAsia="Arial" w:hAnsi="Arial"/>
          <w:sz w:val="20"/>
          <w:szCs w:val="20"/>
          <w:color w:val="auto"/>
        </w:rPr>
        <w:t>A Participant’s election to participate in the Plan with respect to an Offering Period shall enroll such Participant in the Plan for each successive Offering Period at the same amount as in effect at the termination of the prior Offering Period, unless (i) such Participant delivers to the Company a different election with respect to the successive Offering Period by such time and in such manner as is designated by the Administrator for enrollment in the Plan for such successive Offering Period, (ii) such Participant withdraws from the Plan pursuant to Article IX or becomes ineligible for participation in the Plan or (iii) the Administrator determines that elections for all Participants shall cease at the end of an applicable Offering Period.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tion iii.</w:t>
      </w:r>
      <w:r>
        <w:rPr>
          <w:rFonts w:ascii="Arial" w:cs="Arial" w:eastAsia="Arial" w:hAnsi="Arial"/>
          <w:sz w:val="20"/>
          <w:szCs w:val="20"/>
          <w:i w:val="1"/>
          <w:iCs w:val="1"/>
          <w:color w:val="auto"/>
        </w:rPr>
        <w:t>Same Rights and Privileges</w:t>
      </w:r>
    </w:p>
    <w:p>
      <w:pPr>
        <w:spacing w:after="0" w:line="216" w:lineRule="exact"/>
        <w:rPr>
          <w:sz w:val="20"/>
          <w:szCs w:val="20"/>
          <w:color w:val="auto"/>
        </w:rPr>
      </w:pPr>
    </w:p>
    <w:p>
      <w:pPr>
        <w:ind w:left="100" w:right="40" w:firstLine="8"/>
        <w:spacing w:after="0" w:line="260" w:lineRule="auto"/>
        <w:tabs>
          <w:tab w:leader="none" w:pos="199" w:val="left"/>
        </w:tabs>
        <w:numPr>
          <w:ilvl w:val="0"/>
          <w:numId w:val="39"/>
        </w:numPr>
        <w:rPr>
          <w:rFonts w:ascii="Arial" w:cs="Arial" w:eastAsia="Arial" w:hAnsi="Arial"/>
          <w:sz w:val="20"/>
          <w:szCs w:val="20"/>
          <w:color w:val="auto"/>
        </w:rPr>
      </w:pPr>
      <w:r>
        <w:rPr>
          <w:rFonts w:ascii="Arial" w:cs="Arial" w:eastAsia="Arial" w:hAnsi="Arial"/>
          <w:sz w:val="20"/>
          <w:szCs w:val="20"/>
          <w:color w:val="auto"/>
        </w:rPr>
        <w:t>Each Teammate who is granted a Share Purchase Right under the Plan for an Offering Period shall have the same rights and privileges as all those Teammates granted Share Purchase Rights under the Plan for such Offering Period.</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VI.</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Share Purchase Rights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ction i.</w:t>
      </w:r>
      <w:r>
        <w:rPr>
          <w:rFonts w:ascii="Arial" w:cs="Arial" w:eastAsia="Arial" w:hAnsi="Arial"/>
          <w:sz w:val="20"/>
          <w:szCs w:val="20"/>
          <w:i w:val="1"/>
          <w:iCs w:val="1"/>
          <w:color w:val="auto"/>
        </w:rPr>
        <w:t>Number of Shares</w:t>
      </w:r>
    </w:p>
    <w:p>
      <w:pPr>
        <w:spacing w:after="0" w:line="200" w:lineRule="exact"/>
        <w:rPr>
          <w:sz w:val="20"/>
          <w:szCs w:val="20"/>
          <w:color w:val="auto"/>
        </w:rPr>
      </w:pPr>
    </w:p>
    <w:p>
      <w:pPr>
        <w:ind w:left="100" w:firstLine="8"/>
        <w:spacing w:after="0" w:line="244" w:lineRule="auto"/>
        <w:tabs>
          <w:tab w:leader="none" w:pos="199" w:val="left"/>
        </w:tabs>
        <w:numPr>
          <w:ilvl w:val="0"/>
          <w:numId w:val="40"/>
        </w:numPr>
        <w:rPr>
          <w:rFonts w:ascii="Arial" w:cs="Arial" w:eastAsia="Arial" w:hAnsi="Arial"/>
          <w:sz w:val="20"/>
          <w:szCs w:val="20"/>
          <w:color w:val="auto"/>
        </w:rPr>
      </w:pPr>
      <w:r>
        <w:rPr>
          <w:rFonts w:ascii="Arial" w:cs="Arial" w:eastAsia="Arial" w:hAnsi="Arial"/>
          <w:sz w:val="20"/>
          <w:szCs w:val="20"/>
          <w:color w:val="auto"/>
        </w:rPr>
        <w:t>Each Eligible Employee who on the Offer Date is a Participant participating in such Offering Period shall, by virtue of such participation, be granted a Share Purchase Right to purchase Shares on the Acquisition Date for such Offering Period in an amount determined in accordance with such Participant’s election. Subject to the limitations set forth in Section 6.2, the number of Shares subject to such Share Purchase Right shall be the number of whole Shares determined by dividing the Purchase Price into the balance credited to the Participant’s Plan account as of the Acquisition Date.</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20"/>
          <w:szCs w:val="20"/>
          <w:color w:val="auto"/>
        </w:rPr>
        <w:t>tion ii.</w:t>
      </w:r>
      <w:r>
        <w:rPr>
          <w:rFonts w:ascii="Arial" w:cs="Arial" w:eastAsia="Arial" w:hAnsi="Arial"/>
          <w:sz w:val="20"/>
          <w:szCs w:val="20"/>
          <w:i w:val="1"/>
          <w:iCs w:val="1"/>
          <w:color w:val="auto"/>
        </w:rPr>
        <w:t>Limitation on Purchases</w:t>
      </w:r>
    </w:p>
    <w:p>
      <w:pPr>
        <w:spacing w:after="0" w:line="216" w:lineRule="exact"/>
        <w:rPr>
          <w:sz w:val="20"/>
          <w:szCs w:val="20"/>
          <w:color w:val="auto"/>
        </w:rPr>
      </w:pPr>
    </w:p>
    <w:p>
      <w:pPr>
        <w:ind w:left="200" w:hanging="92"/>
        <w:spacing w:after="0"/>
        <w:tabs>
          <w:tab w:leader="none" w:pos="2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Participant purchases are subject to adjustment as provided in Section 3.2(c) and to the following limitations:</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ind w:left="5680"/>
        <w:spacing w:after="0"/>
        <w:rPr>
          <w:rFonts w:ascii="Arial" w:cs="Arial" w:eastAsia="Arial" w:hAnsi="Arial"/>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20" w:top="771" w:right="339" w:bottom="1440" w:gutter="0" w:footer="0" w:header="0"/>
        </w:sectPr>
      </w:pPr>
    </w:p>
    <w:bookmarkStart w:id="48" w:name="page49"/>
    <w:bookmarkEnd w:id="48"/>
    <w:p>
      <w:pPr>
        <w:ind w:left="100" w:right="100" w:firstLine="8"/>
        <w:spacing w:after="0" w:line="259" w:lineRule="auto"/>
        <w:tabs>
          <w:tab w:leader="none" w:pos="738"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Offering Period Limitation</w:t>
      </w:r>
      <w:r>
        <w:rPr>
          <w:rFonts w:ascii="Arial" w:cs="Arial" w:eastAsia="Arial" w:hAnsi="Arial"/>
          <w:sz w:val="19"/>
          <w:szCs w:val="19"/>
          <w:color w:val="auto"/>
        </w:rPr>
        <w:t>. Subject to the calendar year limits provided in Section 6.2(b), the maximum number of Shares that a</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 shall have the right to purchase in any Offering Period shall be determined as of the Offer Date and shall be equal to that number of Shares determined by dividing $25,000 by the Fair Market Value of a Share as of the Offer Date. Notwithstanding the foregoing, the Administrator from time to time may establish a different maximum value or number of Shares that a Participant shall have the right to purchase in any Offering Period, so long as such maximum value or number of Shares is determinable as of the applicable Offer Date (subject to the $25,000 limitation set forth in Section 6.2(b)).</w:t>
      </w:r>
    </w:p>
    <w:p>
      <w:pPr>
        <w:spacing w:after="0" w:line="178" w:lineRule="exact"/>
        <w:rPr>
          <w:rFonts w:ascii="Arial" w:cs="Arial" w:eastAsia="Arial" w:hAnsi="Arial"/>
          <w:sz w:val="19"/>
          <w:szCs w:val="19"/>
          <w:color w:val="auto"/>
        </w:rPr>
      </w:pPr>
    </w:p>
    <w:p>
      <w:pPr>
        <w:ind w:left="100" w:right="80" w:firstLine="8"/>
        <w:spacing w:after="0" w:line="273" w:lineRule="auto"/>
        <w:tabs>
          <w:tab w:leader="none" w:pos="736"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Calendar Year Limitation</w:t>
      </w:r>
      <w:r>
        <w:rPr>
          <w:rFonts w:ascii="Arial" w:cs="Arial" w:eastAsia="Arial" w:hAnsi="Arial"/>
          <w:sz w:val="18"/>
          <w:szCs w:val="18"/>
          <w:color w:val="auto"/>
        </w:rPr>
        <w:t>. In addition to the limitations provided for in Section 6.2(a), in the event that a Participant makes an</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for a Share Purchase Right that permits such Participant to purchase Shares that, together with all other Share Purchase Rights granted hereunder and any other plan of the Company or any Subsidiary for the same calendar year that are qualified under Section 423 of the Code, has an aggregate value in excess of $25,000 (determined on the date of grant), such Share Purchase Right shall be reduced such that the aggregate value of all Share Purchase Rights granted to or exercisable by the Participant during the same calendar year under any plan of the Company or any Subsidiary of the Company that are qualified under Section 423 of the Code is $25,000. The Administrator may also set a maximum aggregate number of Shares or maximum aggregate Fair Market Value of Shares, which is less than the $25,000 limitation set forth in this Section 6.2(b), that may be purchased in a calendar year.</w:t>
      </w:r>
    </w:p>
    <w:p>
      <w:pPr>
        <w:spacing w:after="0" w:line="168" w:lineRule="exact"/>
        <w:rPr>
          <w:rFonts w:ascii="Arial" w:cs="Arial" w:eastAsia="Arial" w:hAnsi="Arial"/>
          <w:sz w:val="18"/>
          <w:szCs w:val="18"/>
          <w:color w:val="auto"/>
        </w:rPr>
      </w:pPr>
    </w:p>
    <w:p>
      <w:pPr>
        <w:ind w:left="100" w:firstLine="8"/>
        <w:spacing w:after="0" w:line="250" w:lineRule="auto"/>
        <w:tabs>
          <w:tab w:leader="none" w:pos="738" w:val="left"/>
        </w:tabs>
        <w:numPr>
          <w:ilvl w:val="0"/>
          <w:numId w:val="42"/>
        </w:numPr>
        <w:rPr>
          <w:rFonts w:ascii="Arial" w:cs="Arial" w:eastAsia="Arial" w:hAnsi="Arial"/>
          <w:sz w:val="20"/>
          <w:szCs w:val="20"/>
          <w:color w:val="auto"/>
        </w:rPr>
      </w:pPr>
      <w:r>
        <w:rPr>
          <w:rFonts w:ascii="Arial" w:cs="Arial" w:eastAsia="Arial" w:hAnsi="Arial"/>
          <w:sz w:val="20"/>
          <w:szCs w:val="20"/>
          <w:i w:val="1"/>
          <w:iCs w:val="1"/>
          <w:color w:val="auto"/>
        </w:rPr>
        <w:t>Refunds</w:t>
      </w:r>
      <w:r>
        <w:rPr>
          <w:rFonts w:ascii="Arial" w:cs="Arial" w:eastAsia="Arial" w:hAnsi="Arial"/>
          <w:sz w:val="20"/>
          <w:szCs w:val="20"/>
          <w:color w:val="auto"/>
        </w:rPr>
        <w:t>. As of the first date on which a Participant’s ability to purchase Shares is limited by this Section 6.2, the Participant’s payroll</w:t>
      </w:r>
      <w:r>
        <w:rPr>
          <w:rFonts w:ascii="Arial" w:cs="Arial" w:eastAsia="Arial" w:hAnsi="Arial"/>
          <w:sz w:val="20"/>
          <w:szCs w:val="20"/>
          <w:i w:val="1"/>
          <w:iCs w:val="1"/>
          <w:color w:val="auto"/>
        </w:rPr>
        <w:t xml:space="preserve"> </w:t>
      </w:r>
      <w:r>
        <w:rPr>
          <w:rFonts w:ascii="Arial" w:cs="Arial" w:eastAsia="Arial" w:hAnsi="Arial"/>
          <w:sz w:val="20"/>
          <w:szCs w:val="20"/>
          <w:color w:val="auto"/>
        </w:rPr>
        <w:t>deductions shall terminate, and any excess payroll deductions credited to his or her account shall be paid to the Participant in a lump sum as soon as reasonably practicable without any interest thereon.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tion iii.</w:t>
      </w:r>
      <w:r>
        <w:rPr>
          <w:rFonts w:ascii="Arial" w:cs="Arial" w:eastAsia="Arial" w:hAnsi="Arial"/>
          <w:sz w:val="20"/>
          <w:szCs w:val="20"/>
          <w:i w:val="1"/>
          <w:iCs w:val="1"/>
          <w:color w:val="auto"/>
        </w:rPr>
        <w:t>Purchase Price</w:t>
      </w:r>
    </w:p>
    <w:p>
      <w:pPr>
        <w:spacing w:after="0" w:line="216" w:lineRule="exact"/>
        <w:rPr>
          <w:sz w:val="20"/>
          <w:szCs w:val="20"/>
          <w:color w:val="auto"/>
        </w:rPr>
      </w:pPr>
    </w:p>
    <w:p>
      <w:pPr>
        <w:ind w:left="100" w:firstLine="8"/>
        <w:spacing w:after="0" w:line="246" w:lineRule="auto"/>
        <w:tabs>
          <w:tab w:leader="none" w:pos="199"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purchase price per Share with respect to an Offering Period shall be ninety-five percent (95%) of the lesser of the Fair Market Value of a Share on the Offer Date or the Acquisition Date; provided, however, the purchase price may be determined for subsequent Offering Periods by the Administrator subject to compliance with Section 423 of the Code (or any successor rule or provision or any other applicable law, regulation or stock exchange rule) or pursuant to Section 10.9 below.</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Article VII.</w:t>
      </w: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Purchase of Shares Under Share Purchase Rights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ction i.</w:t>
      </w:r>
      <w:r>
        <w:rPr>
          <w:rFonts w:ascii="Arial" w:cs="Arial" w:eastAsia="Arial" w:hAnsi="Arial"/>
          <w:sz w:val="20"/>
          <w:szCs w:val="20"/>
          <w:i w:val="1"/>
          <w:iCs w:val="1"/>
          <w:color w:val="auto"/>
        </w:rPr>
        <w:t>Purchase</w:t>
      </w:r>
    </w:p>
    <w:p>
      <w:pPr>
        <w:spacing w:after="0" w:line="200" w:lineRule="exact"/>
        <w:rPr>
          <w:sz w:val="20"/>
          <w:szCs w:val="20"/>
          <w:color w:val="auto"/>
        </w:rPr>
      </w:pPr>
    </w:p>
    <w:p>
      <w:pPr>
        <w:ind w:left="100" w:right="100" w:firstLine="8"/>
        <w:spacing w:after="0" w:line="276" w:lineRule="auto"/>
        <w:tabs>
          <w:tab w:leader="none" w:pos="199"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Participant shall automatically be deemed to have exercised his/her Share Purchase Right for such Offering Period and to have purchased and acquired as of the Acquisition Date the number of whole Shares subject to the Share Purchase Right at the Purchase Price for that Offering Period with the Contributions in such Participant’s account. Any surplus in the account that is insufficient to purchase a whole Share shall be carried forward into the next Offering Period unless the Participant has elected to withdraw from the Plan pursuant to Article IX or the Administrator determines that surplus amounts for Participants shall not be carried forward, in which case such surplus amount shall be distributed to the Participant in a lump sum as soon as reasonably practicable without any interest thereon.</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20"/>
          <w:szCs w:val="20"/>
          <w:color w:val="auto"/>
        </w:rPr>
        <w:t>tion ii.</w:t>
      </w:r>
      <w:r>
        <w:rPr>
          <w:rFonts w:ascii="Arial" w:cs="Arial" w:eastAsia="Arial" w:hAnsi="Arial"/>
          <w:sz w:val="20"/>
          <w:szCs w:val="20"/>
          <w:i w:val="1"/>
          <w:iCs w:val="1"/>
          <w:color w:val="auto"/>
        </w:rPr>
        <w:t>Registration Compliance</w:t>
      </w:r>
    </w:p>
    <w:p>
      <w:pPr>
        <w:spacing w:after="0" w:line="2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100" w:right="320" w:firstLine="8"/>
        <w:spacing w:after="0" w:line="291" w:lineRule="auto"/>
        <w:tabs>
          <w:tab w:leader="none" w:pos="738"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Shares may be purchased hereunder unless the Shares to be issued or transferred upon purchase are covered by an effective registration statement pursuant to the Securities Act or are eligible for an exemption from the registration requirements, and the Plan is in material compliance with all applicable federal, state, foreign and other securities and other laws applicable to the Plan.</w:t>
      </w:r>
    </w:p>
    <w:p>
      <w:pPr>
        <w:spacing w:after="0" w:line="151" w:lineRule="exact"/>
        <w:rPr>
          <w:rFonts w:ascii="Arial" w:cs="Arial" w:eastAsia="Arial" w:hAnsi="Arial"/>
          <w:sz w:val="18"/>
          <w:szCs w:val="18"/>
          <w:color w:val="auto"/>
        </w:rPr>
      </w:pPr>
    </w:p>
    <w:p>
      <w:pPr>
        <w:jc w:val="both"/>
        <w:ind w:left="100" w:right="80" w:firstLine="8"/>
        <w:spacing w:after="0" w:line="250" w:lineRule="auto"/>
        <w:tabs>
          <w:tab w:leader="none" w:pos="736"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on the Acquisition Date of any Offering Period, the Shares are not registered or exempt, or the Plan is not in such compliance, no Shares shall be purchased hereunder on the Acquisition Date. In such case, the Acquisition Date shall be delayed until the Shares are subject to such an effective registration statement or exempt, and the Plan is in such</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20" w:top="771" w:right="379" w:bottom="1440" w:gutter="0" w:footer="0" w:header="0"/>
        </w:sectPr>
      </w:pPr>
    </w:p>
    <w:bookmarkStart w:id="49" w:name="page50"/>
    <w:bookmarkEnd w:id="49"/>
    <w:p>
      <w:pPr>
        <w:ind w:left="100" w:right="80"/>
        <w:spacing w:after="0" w:line="260" w:lineRule="auto"/>
        <w:rPr>
          <w:sz w:val="20"/>
          <w:szCs w:val="20"/>
          <w:color w:val="auto"/>
        </w:rPr>
      </w:pPr>
      <w:r>
        <w:rPr>
          <w:rFonts w:ascii="Arial" w:cs="Arial" w:eastAsia="Arial" w:hAnsi="Arial"/>
          <w:sz w:val="20"/>
          <w:szCs w:val="20"/>
          <w:color w:val="auto"/>
        </w:rPr>
        <w:t>compliance. The delayed Acquisition Date shall in no event be more than 27 months after the Offer Date or, if applicable, such lesser time as permitted under Section 423 of the Code.</w:t>
      </w:r>
    </w:p>
    <w:p>
      <w:pPr>
        <w:spacing w:after="0" w:line="177" w:lineRule="exact"/>
        <w:rPr>
          <w:sz w:val="20"/>
          <w:szCs w:val="20"/>
          <w:color w:val="auto"/>
        </w:rPr>
      </w:pPr>
    </w:p>
    <w:p>
      <w:pPr>
        <w:ind w:left="100" w:right="240" w:firstLine="8"/>
        <w:spacing w:after="0" w:line="328" w:lineRule="auto"/>
        <w:tabs>
          <w:tab w:leader="none" w:pos="738"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on the Acquisition Date of any Offering Period, as delayed to the maximum extent permissible as provided for in Section 7.2(b) above, the Shares are not registered or exempt and the Plan is not in such compliance, no Shares under the Share Purchase Rights shall be purchased, and all Contributions accumulated during the Offering Period (reduced to the extent, if any, such deductions have been used to acquire Shares) shall be distributed to the Participants in a lump sum as soon as reasonably practicable without any interest thereon.</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tion iii.</w:t>
      </w:r>
      <w:r>
        <w:rPr>
          <w:rFonts w:ascii="Arial" w:cs="Arial" w:eastAsia="Arial" w:hAnsi="Arial"/>
          <w:sz w:val="20"/>
          <w:szCs w:val="20"/>
          <w:i w:val="1"/>
          <w:iCs w:val="1"/>
          <w:color w:val="auto"/>
        </w:rPr>
        <w:t>Delivery of Shares</w:t>
      </w:r>
    </w:p>
    <w:p>
      <w:pPr>
        <w:spacing w:after="0" w:line="216" w:lineRule="exact"/>
        <w:rPr>
          <w:sz w:val="20"/>
          <w:szCs w:val="20"/>
          <w:color w:val="auto"/>
        </w:rPr>
      </w:pPr>
    </w:p>
    <w:p>
      <w:pPr>
        <w:ind w:left="100" w:right="80" w:firstLine="8"/>
        <w:spacing w:after="0" w:line="250" w:lineRule="auto"/>
        <w:tabs>
          <w:tab w:leader="none" w:pos="199" w:val="left"/>
        </w:tabs>
        <w:numPr>
          <w:ilvl w:val="0"/>
          <w:numId w:val="47"/>
        </w:numPr>
        <w:rPr>
          <w:rFonts w:ascii="Arial" w:cs="Arial" w:eastAsia="Arial" w:hAnsi="Arial"/>
          <w:sz w:val="20"/>
          <w:szCs w:val="20"/>
          <w:color w:val="auto"/>
        </w:rPr>
      </w:pPr>
      <w:r>
        <w:rPr>
          <w:rFonts w:ascii="Arial" w:cs="Arial" w:eastAsia="Arial" w:hAnsi="Arial"/>
          <w:sz w:val="20"/>
          <w:szCs w:val="20"/>
          <w:color w:val="auto"/>
        </w:rPr>
        <w:t>As soon as reasonably practicable after each Acquisition Date, the Company shall deliver the Shares acquired by each Participant during an Offering Period to the Participant’s individual Plan designated brokerage account at a stock brokerage or other financial services firm designated by the Administrator.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tion iv.</w:t>
      </w:r>
      <w:r>
        <w:rPr>
          <w:rFonts w:ascii="Arial" w:cs="Arial" w:eastAsia="Arial" w:hAnsi="Arial"/>
          <w:sz w:val="20"/>
          <w:szCs w:val="20"/>
          <w:i w:val="1"/>
          <w:iCs w:val="1"/>
          <w:color w:val="auto"/>
        </w:rPr>
        <w:t>Vesting</w:t>
      </w:r>
    </w:p>
    <w:p>
      <w:pPr>
        <w:spacing w:after="0" w:line="216" w:lineRule="exact"/>
        <w:rPr>
          <w:sz w:val="20"/>
          <w:szCs w:val="20"/>
          <w:color w:val="auto"/>
        </w:rPr>
      </w:pPr>
    </w:p>
    <w:p>
      <w:pPr>
        <w:ind w:right="2040" w:firstLine="108"/>
        <w:spacing w:after="0" w:line="464" w:lineRule="auto"/>
        <w:tabs>
          <w:tab w:leader="none" w:pos="207" w:val="left"/>
        </w:tabs>
        <w:numPr>
          <w:ilvl w:val="0"/>
          <w:numId w:val="48"/>
        </w:numPr>
        <w:rPr>
          <w:rFonts w:ascii="Arial" w:cs="Arial" w:eastAsia="Arial" w:hAnsi="Arial"/>
          <w:sz w:val="20"/>
          <w:szCs w:val="20"/>
          <w:color w:val="auto"/>
        </w:rPr>
      </w:pPr>
      <w:r>
        <w:rPr>
          <w:rFonts w:ascii="Arial" w:cs="Arial" w:eastAsia="Arial" w:hAnsi="Arial"/>
          <w:sz w:val="20"/>
          <w:szCs w:val="20"/>
          <w:color w:val="auto"/>
        </w:rPr>
        <w:t>A Participant’s interest in the Common Stock purchased hereunder shall be immediately vested and nonforfeitable. ction v.</w:t>
      </w:r>
      <w:r>
        <w:rPr>
          <w:rFonts w:ascii="Arial" w:cs="Arial" w:eastAsia="Arial" w:hAnsi="Arial"/>
          <w:sz w:val="20"/>
          <w:szCs w:val="20"/>
          <w:i w:val="1"/>
          <w:iCs w:val="1"/>
          <w:color w:val="auto"/>
        </w:rPr>
        <w:t>Nontransferability</w:t>
      </w:r>
    </w:p>
    <w:p>
      <w:pPr>
        <w:spacing w:after="0" w:line="2" w:lineRule="exact"/>
        <w:rPr>
          <w:sz w:val="20"/>
          <w:szCs w:val="20"/>
          <w:color w:val="auto"/>
        </w:rPr>
      </w:pPr>
    </w:p>
    <w:p>
      <w:pPr>
        <w:jc w:val="both"/>
        <w:ind w:left="100" w:right="80" w:firstLine="8"/>
        <w:spacing w:after="0" w:line="250" w:lineRule="auto"/>
        <w:tabs>
          <w:tab w:leader="none" w:pos="199" w:val="left"/>
        </w:tabs>
        <w:numPr>
          <w:ilvl w:val="0"/>
          <w:numId w:val="49"/>
        </w:numPr>
        <w:rPr>
          <w:rFonts w:ascii="Arial" w:cs="Arial" w:eastAsia="Arial" w:hAnsi="Arial"/>
          <w:sz w:val="20"/>
          <w:szCs w:val="20"/>
          <w:color w:val="auto"/>
        </w:rPr>
      </w:pPr>
      <w:r>
        <w:rPr>
          <w:rFonts w:ascii="Arial" w:cs="Arial" w:eastAsia="Arial" w:hAnsi="Arial"/>
          <w:sz w:val="20"/>
          <w:szCs w:val="20"/>
          <w:color w:val="auto"/>
        </w:rPr>
        <w:t>Each Share Purchase Right granted under this Plan shall be nontransferable. During the lifetime of the Participant, the Shares under a Share Purchase Right may be purchased only by the Participant. No right or interest of a Participant in any Share Purchase Right shall be liable for, or subject to, any lien, obligation, or liability of such Participant.</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VIII.</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Restrictions on Sale</w:t>
      </w:r>
    </w:p>
    <w:p>
      <w:pPr>
        <w:spacing w:after="0" w:line="22" w:lineRule="exact"/>
        <w:rPr>
          <w:sz w:val="20"/>
          <w:szCs w:val="20"/>
          <w:color w:val="auto"/>
        </w:rPr>
      </w:pPr>
    </w:p>
    <w:p>
      <w:pPr>
        <w:jc w:val="both"/>
        <w:ind w:left="100"/>
        <w:spacing w:after="0" w:line="244" w:lineRule="auto"/>
        <w:rPr>
          <w:sz w:val="20"/>
          <w:szCs w:val="20"/>
          <w:color w:val="auto"/>
        </w:rPr>
      </w:pPr>
      <w:r>
        <w:rPr>
          <w:rFonts w:ascii="Arial" w:cs="Arial" w:eastAsia="Arial" w:hAnsi="Arial"/>
          <w:sz w:val="20"/>
          <w:szCs w:val="20"/>
          <w:color w:val="auto"/>
        </w:rPr>
        <w:t>Shares of Common Stock purchased under the Plan may be subject to any such holding restrictions that the Administrator shall determine to be appropriate with respect to any Offering Period consistent with Section 423 of the Code.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IX.</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Withdrawal from Participation and Termination of Employment</w:t>
      </w:r>
    </w:p>
    <w:p>
      <w:pPr>
        <w:spacing w:after="0" w:line="22" w:lineRule="exact"/>
        <w:rPr>
          <w:sz w:val="20"/>
          <w:szCs w:val="20"/>
          <w:color w:val="auto"/>
        </w:rPr>
      </w:pPr>
    </w:p>
    <w:p>
      <w:pPr>
        <w:jc w:val="both"/>
        <w:ind w:left="100"/>
        <w:spacing w:after="0" w:line="269" w:lineRule="auto"/>
        <w:rPr>
          <w:sz w:val="20"/>
          <w:szCs w:val="20"/>
          <w:color w:val="auto"/>
        </w:rPr>
      </w:pPr>
      <w:r>
        <w:rPr>
          <w:rFonts w:ascii="Arial" w:cs="Arial" w:eastAsia="Arial" w:hAnsi="Arial"/>
          <w:sz w:val="18"/>
          <w:szCs w:val="18"/>
          <w:color w:val="auto"/>
        </w:rPr>
        <w:t>A Participant may terminate his/her participation in an Offering Period by giving notice to the Administrator in such form and by such time before the Acquisition Date as may be established by the Administrator. In the event of a Participant’s withdrawal in accordance with the preceding sentence, payroll deductions shall cease for the remainder of the Offering Period in accordance with established payroll processes and schedules, and the payroll deductions credited to his or her Plan account as of the date of such withdrawal shall be used to purchase shares of Common Stock following such Offering Period in accordance with Section 7.1. A Participant shall be deemed to have elected to withdraw from the Plan in accordance with this Article IX if he or she ceases to be an Employee employed by the Company or an eligible Subsidiary for any reason. A Participant also shall be deemed to have elected to withdraw from the Plan as of the date of any hardship withdrawal, if the Participant makes a hardship withdrawal from the Company’s 401(k) Savings Plan and is prohibited from making employee contributions to the Plan under Section 401(k) of the Code and the regulations thereunder. Unless the Administrator determines otherwise consistent with Section 423 of the Code, a Participant’s withdrawal (other than due to a termination of employment) during an Offering Period shall not have any effect upon the Participant’s eligibility to participate in the Plan during a subsequent Offering Period.</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X.</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General Provisions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ction i.</w:t>
      </w:r>
      <w:r>
        <w:rPr>
          <w:rFonts w:ascii="Arial" w:cs="Arial" w:eastAsia="Arial" w:hAnsi="Arial"/>
          <w:sz w:val="20"/>
          <w:szCs w:val="20"/>
          <w:i w:val="1"/>
          <w:iCs w:val="1"/>
          <w:color w:val="auto"/>
        </w:rPr>
        <w:t>Administration</w:t>
      </w:r>
    </w:p>
    <w:p>
      <w:pPr>
        <w:spacing w:after="0" w:line="200" w:lineRule="exact"/>
        <w:rPr>
          <w:sz w:val="20"/>
          <w:szCs w:val="20"/>
          <w:color w:val="auto"/>
        </w:rPr>
      </w:pPr>
    </w:p>
    <w:p>
      <w:pPr>
        <w:jc w:val="both"/>
        <w:ind w:left="100" w:right="140" w:firstLine="8"/>
        <w:spacing w:after="0" w:line="250" w:lineRule="auto"/>
        <w:tabs>
          <w:tab w:leader="none" w:pos="199" w:val="left"/>
        </w:tabs>
        <w:numPr>
          <w:ilvl w:val="0"/>
          <w:numId w:val="50"/>
        </w:numPr>
        <w:rPr>
          <w:rFonts w:ascii="Arial" w:cs="Arial" w:eastAsia="Arial" w:hAnsi="Arial"/>
          <w:sz w:val="20"/>
          <w:szCs w:val="20"/>
          <w:i w:val="1"/>
          <w:iCs w:val="1"/>
          <w:color w:val="auto"/>
        </w:rPr>
      </w:pPr>
      <w:r>
        <w:rPr>
          <w:rFonts w:ascii="Arial" w:cs="Arial" w:eastAsia="Arial" w:hAnsi="Arial"/>
          <w:sz w:val="20"/>
          <w:szCs w:val="20"/>
          <w:color w:val="auto"/>
        </w:rPr>
        <w:t>The Plan shall be administered by the Administrator. The Administrator may prescribe, amend and rescind rules and regulations relating to the administration of the Plan and make all other determinations necessary or advisable for the administration and interpretation of the Plan. Any authority exercised by the Administrator under the Plan shall be</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20" w:top="771" w:right="339" w:bottom="1440" w:gutter="0" w:footer="0" w:header="0"/>
        </w:sectPr>
      </w:pPr>
    </w:p>
    <w:bookmarkStart w:id="50" w:name="page51"/>
    <w:bookmarkEnd w:id="50"/>
    <w:p>
      <w:pPr>
        <w:ind w:left="100" w:right="380"/>
        <w:spacing w:after="0" w:line="260" w:lineRule="auto"/>
        <w:rPr>
          <w:sz w:val="20"/>
          <w:szCs w:val="20"/>
          <w:color w:val="auto"/>
        </w:rPr>
      </w:pPr>
      <w:r>
        <w:rPr>
          <w:rFonts w:ascii="Arial" w:cs="Arial" w:eastAsia="Arial" w:hAnsi="Arial"/>
          <w:sz w:val="20"/>
          <w:szCs w:val="20"/>
          <w:color w:val="auto"/>
        </w:rPr>
        <w:t>exercised by the Administrator in its sole discretion. Determinations, interpretations, or other actions made or taken by the Administrator under the Plan shall be final, binding, and conclusive for all purposes and upon all Persons.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20"/>
          <w:szCs w:val="20"/>
          <w:color w:val="auto"/>
        </w:rPr>
        <w:t>tion ii.</w:t>
      </w:r>
      <w:r>
        <w:rPr>
          <w:rFonts w:ascii="Arial" w:cs="Arial" w:eastAsia="Arial" w:hAnsi="Arial"/>
          <w:sz w:val="20"/>
          <w:szCs w:val="20"/>
          <w:i w:val="1"/>
          <w:iCs w:val="1"/>
          <w:color w:val="auto"/>
        </w:rPr>
        <w:t>Delegation by the Administrator</w:t>
      </w:r>
      <w:r>
        <w:rPr>
          <w:rFonts w:ascii="Arial" w:cs="Arial" w:eastAsia="Arial" w:hAnsi="Arial"/>
          <w:sz w:val="20"/>
          <w:szCs w:val="20"/>
          <w:color w:val="auto"/>
        </w:rPr>
        <w:t>.</w:t>
      </w:r>
    </w:p>
    <w:p>
      <w:pPr>
        <w:spacing w:after="0" w:line="216" w:lineRule="exact"/>
        <w:rPr>
          <w:sz w:val="20"/>
          <w:szCs w:val="20"/>
          <w:color w:val="auto"/>
        </w:rPr>
      </w:pPr>
    </w:p>
    <w:p>
      <w:pPr>
        <w:ind w:left="100" w:right="140" w:firstLine="1296"/>
        <w:spacing w:after="0" w:line="282" w:lineRule="auto"/>
        <w:rPr>
          <w:sz w:val="20"/>
          <w:szCs w:val="20"/>
          <w:color w:val="auto"/>
        </w:rPr>
      </w:pPr>
      <w:r>
        <w:rPr>
          <w:rFonts w:ascii="Arial" w:cs="Arial" w:eastAsia="Arial" w:hAnsi="Arial"/>
          <w:sz w:val="18"/>
          <w:szCs w:val="18"/>
          <w:color w:val="auto"/>
        </w:rPr>
        <w:t>Any or all of the powers, duties, and responsibilities of the Administrator hereunder may be delegated by the Administrator to, and thereafter exercised by, one or more persons designated by the Administrator, including members of management of the Company and/or members of the human resources function of the Company, and any determination, interpretation, or other action taken by such designee shall have the same effect hereunder as if made or taken by the Administrator.</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tion iii.</w:t>
      </w:r>
      <w:r>
        <w:rPr>
          <w:rFonts w:ascii="Arial" w:cs="Arial" w:eastAsia="Arial" w:hAnsi="Arial"/>
          <w:sz w:val="20"/>
          <w:szCs w:val="20"/>
          <w:i w:val="1"/>
          <w:iCs w:val="1"/>
          <w:color w:val="auto"/>
        </w:rPr>
        <w:t>Rights as a Shareholder</w:t>
      </w:r>
    </w:p>
    <w:p>
      <w:pPr>
        <w:spacing w:after="0" w:line="216" w:lineRule="exact"/>
        <w:rPr>
          <w:sz w:val="20"/>
          <w:szCs w:val="20"/>
          <w:color w:val="auto"/>
        </w:rPr>
      </w:pPr>
    </w:p>
    <w:p>
      <w:pPr>
        <w:ind w:left="100" w:right="80" w:firstLine="8"/>
        <w:spacing w:after="0" w:line="244" w:lineRule="auto"/>
        <w:tabs>
          <w:tab w:leader="none" w:pos="199" w:val="left"/>
        </w:tabs>
        <w:numPr>
          <w:ilvl w:val="0"/>
          <w:numId w:val="51"/>
        </w:numPr>
        <w:rPr>
          <w:rFonts w:ascii="Arial" w:cs="Arial" w:eastAsia="Arial" w:hAnsi="Arial"/>
          <w:sz w:val="20"/>
          <w:szCs w:val="20"/>
          <w:color w:val="auto"/>
        </w:rPr>
      </w:pPr>
      <w:r>
        <w:rPr>
          <w:rFonts w:ascii="Arial" w:cs="Arial" w:eastAsia="Arial" w:hAnsi="Arial"/>
          <w:sz w:val="20"/>
          <w:szCs w:val="20"/>
          <w:color w:val="auto"/>
        </w:rPr>
        <w:t>A Participant shall have no rights as a shareholder of the Company with respect to shares of Common Stock covered by a Share Purchase Right until the date of the issuance of the Shares pursuant to Section 7.3 hereof. No adjustment will be made for dividends or other rights for which the record date is prior to the date of such issuance. For purposes of the plan, the Company, in lieu of the issuance of certificates, may utilize a book entry account system for recording ownership of Shares of Common Stock, subject to the rules generally applicable to such system.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tion iv.</w:t>
      </w:r>
      <w:r>
        <w:rPr>
          <w:rFonts w:ascii="Arial" w:cs="Arial" w:eastAsia="Arial" w:hAnsi="Arial"/>
          <w:sz w:val="20"/>
          <w:szCs w:val="20"/>
          <w:i w:val="1"/>
          <w:iCs w:val="1"/>
          <w:color w:val="auto"/>
        </w:rPr>
        <w:t>Tax Withholding</w:t>
      </w:r>
    </w:p>
    <w:p>
      <w:pPr>
        <w:spacing w:after="0" w:line="216" w:lineRule="exact"/>
        <w:rPr>
          <w:sz w:val="20"/>
          <w:szCs w:val="20"/>
          <w:color w:val="auto"/>
        </w:rPr>
      </w:pPr>
    </w:p>
    <w:p>
      <w:pPr>
        <w:ind w:left="100" w:firstLine="8"/>
        <w:spacing w:after="0" w:line="246" w:lineRule="auto"/>
        <w:tabs>
          <w:tab w:leader="none" w:pos="199"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Company shall have the power to withhold, or to require the Participant to remit to the Company, an amount in cash sufficient to satisfy any and all U.S. federal, state, local, and any non-U.S. withholding tax or other governmental tax, charge or fee requirements in respect of any payment under the Plan. In any event, each Participant shall be solely responsible for all tax liabilities associated with his/her participation in this Plan.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ction v.</w:t>
      </w:r>
      <w:r>
        <w:rPr>
          <w:rFonts w:ascii="Arial" w:cs="Arial" w:eastAsia="Arial" w:hAnsi="Arial"/>
          <w:sz w:val="20"/>
          <w:szCs w:val="20"/>
          <w:i w:val="1"/>
          <w:iCs w:val="1"/>
          <w:color w:val="auto"/>
        </w:rPr>
        <w:t>At-Will Employment</w:t>
      </w:r>
    </w:p>
    <w:p>
      <w:pPr>
        <w:spacing w:after="0" w:line="216" w:lineRule="exact"/>
        <w:rPr>
          <w:sz w:val="20"/>
          <w:szCs w:val="20"/>
          <w:color w:val="auto"/>
        </w:rPr>
      </w:pPr>
    </w:p>
    <w:p>
      <w:pPr>
        <w:jc w:val="both"/>
        <w:ind w:left="100" w:right="100" w:firstLine="8"/>
        <w:spacing w:after="0" w:line="250" w:lineRule="auto"/>
        <w:tabs>
          <w:tab w:leader="none" w:pos="199" w:val="left"/>
        </w:tabs>
        <w:numPr>
          <w:ilvl w:val="0"/>
          <w:numId w:val="53"/>
        </w:numPr>
        <w:rPr>
          <w:rFonts w:ascii="Arial" w:cs="Arial" w:eastAsia="Arial" w:hAnsi="Arial"/>
          <w:sz w:val="20"/>
          <w:szCs w:val="20"/>
          <w:color w:val="auto"/>
        </w:rPr>
      </w:pPr>
      <w:r>
        <w:rPr>
          <w:rFonts w:ascii="Arial" w:cs="Arial" w:eastAsia="Arial" w:hAnsi="Arial"/>
          <w:sz w:val="20"/>
          <w:szCs w:val="20"/>
          <w:color w:val="auto"/>
        </w:rPr>
        <w:t>Nothing in the Plan shall confer upon any Participant any right to continue in the employ of the Company or any of its Subsidiaries or shall interfere with or restrict in any way the rights of the Company and any of its Subsidiaries, which are hereby expressly reserved, to discharge any Participant at any time for any reason whatsoever, with or without cause.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tion vi.</w:t>
      </w:r>
      <w:r>
        <w:rPr>
          <w:rFonts w:ascii="Arial" w:cs="Arial" w:eastAsia="Arial" w:hAnsi="Arial"/>
          <w:sz w:val="20"/>
          <w:szCs w:val="20"/>
          <w:i w:val="1"/>
          <w:iCs w:val="1"/>
          <w:color w:val="auto"/>
        </w:rPr>
        <w:t>Unfunded Plan; Plan Not Subject to ERISA</w:t>
      </w:r>
    </w:p>
    <w:p>
      <w:pPr>
        <w:spacing w:after="0" w:line="216" w:lineRule="exact"/>
        <w:rPr>
          <w:sz w:val="20"/>
          <w:szCs w:val="20"/>
          <w:color w:val="auto"/>
        </w:rPr>
      </w:pPr>
    </w:p>
    <w:p>
      <w:pPr>
        <w:ind w:left="100" w:right="260" w:firstLine="8"/>
        <w:spacing w:after="0" w:line="260" w:lineRule="auto"/>
        <w:tabs>
          <w:tab w:leader="none" w:pos="199"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Plan is an unfunded plan and Participants shall have the status of unsecured creditors of the Company. The Plan is not intended to be subject to the Employee Retirement Income Security Act of 1974, as amended.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ion vii.</w:t>
      </w:r>
      <w:r>
        <w:rPr>
          <w:rFonts w:ascii="Arial" w:cs="Arial" w:eastAsia="Arial" w:hAnsi="Arial"/>
          <w:sz w:val="20"/>
          <w:szCs w:val="20"/>
          <w:i w:val="1"/>
          <w:iCs w:val="1"/>
          <w:color w:val="auto"/>
        </w:rPr>
        <w:t>Freedom of Action</w:t>
      </w:r>
    </w:p>
    <w:p>
      <w:pPr>
        <w:spacing w:after="0" w:line="216" w:lineRule="exact"/>
        <w:rPr>
          <w:sz w:val="20"/>
          <w:szCs w:val="20"/>
          <w:color w:val="auto"/>
        </w:rPr>
      </w:pPr>
    </w:p>
    <w:p>
      <w:pPr>
        <w:jc w:val="both"/>
        <w:ind w:left="100" w:right="340" w:firstLine="8"/>
        <w:spacing w:after="0" w:line="263" w:lineRule="auto"/>
        <w:tabs>
          <w:tab w:leader="none" w:pos="199" w:val="left"/>
        </w:tabs>
        <w:numPr>
          <w:ilvl w:val="0"/>
          <w:numId w:val="55"/>
        </w:numPr>
        <w:rPr>
          <w:rFonts w:ascii="Arial" w:cs="Arial" w:eastAsia="Arial" w:hAnsi="Arial"/>
          <w:sz w:val="19"/>
          <w:szCs w:val="19"/>
          <w:color w:val="auto"/>
        </w:rPr>
      </w:pPr>
      <w:r>
        <w:rPr>
          <w:rFonts w:ascii="Arial" w:cs="Arial" w:eastAsia="Arial" w:hAnsi="Arial"/>
          <w:sz w:val="19"/>
          <w:szCs w:val="19"/>
          <w:color w:val="auto"/>
        </w:rPr>
        <w:t>Nothing in the Plan shall be construed as limiting or preventing the Company or any of its affiliates from taking any action that it deems appropriate or in its best interest (as determined in its sole and absolute discretion) and no Participant (or person claiming by or through a Participant) shall have any right relating to the diminishment in the value of any account or any associated return as a result of any such action. The foregoing shall not constitute a waiver by a Participant of the terms and provisions of the Plan.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on viii.</w:t>
      </w:r>
      <w:r>
        <w:rPr>
          <w:rFonts w:ascii="Arial" w:cs="Arial" w:eastAsia="Arial" w:hAnsi="Arial"/>
          <w:sz w:val="20"/>
          <w:szCs w:val="20"/>
          <w:i w:val="1"/>
          <w:iCs w:val="1"/>
          <w:color w:val="auto"/>
        </w:rPr>
        <w:t>Term of Plan</w:t>
      </w:r>
    </w:p>
    <w:p>
      <w:pPr>
        <w:spacing w:after="0" w:line="216" w:lineRule="exact"/>
        <w:rPr>
          <w:sz w:val="20"/>
          <w:szCs w:val="20"/>
          <w:color w:val="auto"/>
        </w:rPr>
      </w:pPr>
    </w:p>
    <w:p>
      <w:pPr>
        <w:ind w:left="100" w:right="20" w:firstLine="8"/>
        <w:spacing w:after="0" w:line="282" w:lineRule="auto"/>
        <w:tabs>
          <w:tab w:leader="none" w:pos="19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Plan shall be effective upon the Effective Date. The Plan shall terminate on the earlier of (i) the tenth anniversary of the Effective Date, (ii) the termination of the Plan pursuant to Section 10.9 or (iii) the date on which no more Shares are available for issuance under the Plan. Upon termination of the Plan, all funds accumulated in a Participant’s Plan account shall be paid to such Participant in a lump sum as soon as reasonably practicable without any interest thereon, and all Share Purchase Rights shall automatically terminate.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tion ix.</w:t>
      </w:r>
      <w:r>
        <w:rPr>
          <w:rFonts w:ascii="Arial" w:cs="Arial" w:eastAsia="Arial" w:hAnsi="Arial"/>
          <w:sz w:val="20"/>
          <w:szCs w:val="20"/>
          <w:i w:val="1"/>
          <w:iCs w:val="1"/>
          <w:color w:val="auto"/>
        </w:rPr>
        <w:t>Amendment or Alteration</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20" w:top="771" w:right="359" w:bottom="1440" w:gutter="0" w:footer="0" w:header="0"/>
        </w:sectPr>
      </w:pPr>
    </w:p>
    <w:bookmarkStart w:id="51" w:name="page52"/>
    <w:bookmarkEnd w:id="51"/>
    <w:p>
      <w:pPr>
        <w:ind w:left="100" w:right="20" w:firstLine="8"/>
        <w:spacing w:after="0" w:line="313" w:lineRule="auto"/>
        <w:tabs>
          <w:tab w:leader="none" w:pos="199"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Administrator may at any time amend, suspend, discontinue or terminate the Plan; provided that if the Plan is amended in a manner that is considered the adoption of a new plan pursuant to Section 423 of the Code, including (i) an increase in the aggregate number of Shares that may be issued under the Plan pursuant to Section 3.1 (other than an increase merely reflecting a change in the number of outstanding Shares pursuant to Section 3.2), or (ii) a change in the granting Company or the stock available for purchase under the Plan, such amendment shall not be effective until approved by the stockholders of the Company. The Administrator, in its sole discretion, may terminate the Plan at any time. Upon such termination, all funds accumulated in a Participant’s account at such time shall be paid to such Participant in a lump sum as soon as reasonably practicable without any interest thereon, and all Share Purchase Rights shall automatically terminate.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ction x.</w:t>
      </w:r>
      <w:r>
        <w:rPr>
          <w:rFonts w:ascii="Arial" w:cs="Arial" w:eastAsia="Arial" w:hAnsi="Arial"/>
          <w:sz w:val="20"/>
          <w:szCs w:val="20"/>
          <w:i w:val="1"/>
          <w:iCs w:val="1"/>
          <w:color w:val="auto"/>
        </w:rPr>
        <w:t>Severability</w:t>
      </w:r>
    </w:p>
    <w:p>
      <w:pPr>
        <w:spacing w:after="0" w:line="216" w:lineRule="exact"/>
        <w:rPr>
          <w:sz w:val="20"/>
          <w:szCs w:val="20"/>
          <w:color w:val="auto"/>
        </w:rPr>
      </w:pPr>
    </w:p>
    <w:p>
      <w:pPr>
        <w:ind w:left="100" w:right="220" w:firstLine="8"/>
        <w:spacing w:after="0" w:line="250" w:lineRule="auto"/>
        <w:tabs>
          <w:tab w:leader="none" w:pos="199"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 the event any portion of the Plan or any action taken pursuant thereto shall be held illegal or invalid for any reason, the illegality or invalidity shall not affect the remaining parts of the Plan, and the Plan shall be construed and enforced as if the illegal or invalid provisions had not been included, and the illegal or invalid action shall be null and void.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tion xi.</w:t>
      </w:r>
      <w:r>
        <w:rPr>
          <w:rFonts w:ascii="Arial" w:cs="Arial" w:eastAsia="Arial" w:hAnsi="Arial"/>
          <w:sz w:val="20"/>
          <w:szCs w:val="20"/>
          <w:i w:val="1"/>
          <w:iCs w:val="1"/>
          <w:color w:val="auto"/>
        </w:rPr>
        <w:t>Assignment</w:t>
      </w:r>
    </w:p>
    <w:p>
      <w:pPr>
        <w:spacing w:after="0" w:line="216" w:lineRule="exact"/>
        <w:rPr>
          <w:sz w:val="20"/>
          <w:szCs w:val="20"/>
          <w:color w:val="auto"/>
        </w:rPr>
      </w:pPr>
    </w:p>
    <w:p>
      <w:pPr>
        <w:ind w:left="100" w:right="80" w:firstLine="8"/>
        <w:spacing w:after="0" w:line="255" w:lineRule="auto"/>
        <w:tabs>
          <w:tab w:leader="none" w:pos="199" w:val="left"/>
        </w:tabs>
        <w:numPr>
          <w:ilvl w:val="0"/>
          <w:numId w:val="59"/>
        </w:numPr>
        <w:rPr>
          <w:rFonts w:ascii="Arial" w:cs="Arial" w:eastAsia="Arial" w:hAnsi="Arial"/>
          <w:sz w:val="19"/>
          <w:szCs w:val="19"/>
          <w:color w:val="auto"/>
        </w:rPr>
      </w:pPr>
      <w:r>
        <w:rPr>
          <w:rFonts w:ascii="Arial" w:cs="Arial" w:eastAsia="Arial" w:hAnsi="Arial"/>
          <w:sz w:val="19"/>
          <w:szCs w:val="19"/>
          <w:color w:val="auto"/>
        </w:rPr>
        <w:t>Except as otherwise provided in this Section 10.11, this Plan shall inure to the benefit of and be binding upon the parties hereto and their respective heirs, representatives, successors, and assigns. Neither this Plan nor any right or interest hereunder shall be assignable by the Participant, his beneficiaries, or legal representatives; provided that nothing in this Section 10.11 shall preclude the Participant from designating a beneficiary to receive any benefit payable hereunder upon his death, or the executors, administrators, or other legal representatives of the Participant or his estate from assigning any rights hereunder to the person or persons entitled thereunto. This Plan shall be assignable by the Company to a Subsidiary or Affiliate of the Company; to any corporation, partnership, or other entity that may be organized by the Company; or to any corporation, partnership, or other entity resulting from the reorganization, merger, or consolidation of the Company with any other corporation, partnership, or other entity, or any corporation, partnership, or other entity to or with which all or any portion of the Company’s business or assets may be sold, exchanged, or transferred, in each case to the extent permitted under Section 423 of the Code.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ion xii.</w:t>
      </w:r>
      <w:r>
        <w:rPr>
          <w:rFonts w:ascii="Arial" w:cs="Arial" w:eastAsia="Arial" w:hAnsi="Arial"/>
          <w:sz w:val="20"/>
          <w:szCs w:val="20"/>
          <w:i w:val="1"/>
          <w:iCs w:val="1"/>
          <w:color w:val="auto"/>
        </w:rPr>
        <w:t>Non-Transferability of Rights</w:t>
      </w:r>
    </w:p>
    <w:p>
      <w:pPr>
        <w:spacing w:after="0" w:line="216" w:lineRule="exact"/>
        <w:rPr>
          <w:sz w:val="20"/>
          <w:szCs w:val="20"/>
          <w:color w:val="auto"/>
        </w:rPr>
      </w:pPr>
    </w:p>
    <w:p>
      <w:pPr>
        <w:ind w:left="100" w:firstLine="8"/>
        <w:spacing w:after="0" w:line="243" w:lineRule="auto"/>
        <w:tabs>
          <w:tab w:leader="none" w:pos="199" w:val="left"/>
        </w:tabs>
        <w:numPr>
          <w:ilvl w:val="0"/>
          <w:numId w:val="60"/>
        </w:numPr>
        <w:rPr>
          <w:rFonts w:ascii="Arial" w:cs="Arial" w:eastAsia="Arial" w:hAnsi="Arial"/>
          <w:sz w:val="20"/>
          <w:szCs w:val="20"/>
          <w:color w:val="auto"/>
        </w:rPr>
      </w:pPr>
      <w:r>
        <w:rPr>
          <w:rFonts w:ascii="Arial" w:cs="Arial" w:eastAsia="Arial" w:hAnsi="Arial"/>
          <w:sz w:val="20"/>
          <w:szCs w:val="20"/>
          <w:color w:val="auto"/>
        </w:rPr>
        <w:t>Unless otherwise agreed to in writing by the Administrator, no rights or interests hereunder or part thereof shall be liable for the debts, contracts or engagements of the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10.12 shall prevent transfers by will or by the applicable laws of descent and distribution.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on xiii.</w:t>
      </w:r>
      <w:r>
        <w:rPr>
          <w:rFonts w:ascii="Arial" w:cs="Arial" w:eastAsia="Arial" w:hAnsi="Arial"/>
          <w:sz w:val="20"/>
          <w:szCs w:val="20"/>
          <w:i w:val="1"/>
          <w:iCs w:val="1"/>
          <w:color w:val="auto"/>
        </w:rPr>
        <w:t>Headings</w:t>
      </w:r>
    </w:p>
    <w:p>
      <w:pPr>
        <w:spacing w:after="0" w:line="216" w:lineRule="exact"/>
        <w:rPr>
          <w:sz w:val="20"/>
          <w:szCs w:val="20"/>
          <w:color w:val="auto"/>
        </w:rPr>
      </w:pPr>
    </w:p>
    <w:p>
      <w:pPr>
        <w:ind w:left="100" w:right="180" w:firstLine="8"/>
        <w:spacing w:after="0" w:line="260" w:lineRule="auto"/>
        <w:tabs>
          <w:tab w:leader="none" w:pos="199"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Section headings appearing in this Plan are used for convenience of reference only and shall not be considered a part of this Plan or in any way modify, amend, or affect the meaning of any of its provisions.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on xiv.</w:t>
      </w:r>
      <w:r>
        <w:rPr>
          <w:rFonts w:ascii="Arial" w:cs="Arial" w:eastAsia="Arial" w:hAnsi="Arial"/>
          <w:sz w:val="20"/>
          <w:szCs w:val="20"/>
          <w:i w:val="1"/>
          <w:iCs w:val="1"/>
          <w:color w:val="auto"/>
        </w:rPr>
        <w:t>Rules of Construction</w:t>
      </w:r>
      <w:r>
        <w:rPr>
          <w:rFonts w:ascii="Arial" w:cs="Arial" w:eastAsia="Arial" w:hAnsi="Arial"/>
          <w:sz w:val="20"/>
          <w:szCs w:val="20"/>
          <w:color w:val="auto"/>
        </w:rPr>
        <w:t>.</w:t>
      </w:r>
    </w:p>
    <w:p>
      <w:pPr>
        <w:spacing w:after="0" w:line="216" w:lineRule="exact"/>
        <w:rPr>
          <w:sz w:val="20"/>
          <w:szCs w:val="20"/>
          <w:color w:val="auto"/>
        </w:rPr>
      </w:pPr>
    </w:p>
    <w:p>
      <w:pPr>
        <w:ind w:left="100" w:right="120" w:firstLine="1296"/>
        <w:spacing w:after="0" w:line="250" w:lineRule="auto"/>
        <w:rPr>
          <w:sz w:val="20"/>
          <w:szCs w:val="20"/>
          <w:color w:val="auto"/>
        </w:rPr>
      </w:pPr>
      <w:r>
        <w:rPr>
          <w:rFonts w:ascii="Arial" w:cs="Arial" w:eastAsia="Arial" w:hAnsi="Arial"/>
          <w:sz w:val="20"/>
          <w:szCs w:val="20"/>
          <w:color w:val="auto"/>
        </w:rPr>
        <w:t>Whenever the context so requires, the use of the masculine gender shall be deemed to include the feminine and vice versa, and the use of the singular shall be deemed to include the plural and vice versa. The fact that this Plan was drafted by the Company shall not be taken into account in interpreting or construing any provision of this Plan.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ion xv.</w:t>
      </w:r>
      <w:r>
        <w:rPr>
          <w:rFonts w:ascii="Arial" w:cs="Arial" w:eastAsia="Arial" w:hAnsi="Arial"/>
          <w:sz w:val="20"/>
          <w:szCs w:val="20"/>
          <w:i w:val="1"/>
          <w:iCs w:val="1"/>
          <w:color w:val="auto"/>
        </w:rPr>
        <w:t>Governing Law</w:t>
      </w:r>
      <w:r>
        <w:rPr>
          <w:rFonts w:ascii="Arial" w:cs="Arial" w:eastAsia="Arial" w:hAnsi="Arial"/>
          <w:sz w:val="20"/>
          <w:szCs w:val="20"/>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20" w:top="771" w:right="339" w:bottom="1440" w:gutter="0" w:footer="0" w:header="0"/>
        </w:sectPr>
      </w:pPr>
    </w:p>
    <w:bookmarkStart w:id="52" w:name="page53"/>
    <w:bookmarkEnd w:id="52"/>
    <w:p>
      <w:pPr>
        <w:ind w:left="100" w:right="180" w:firstLine="1296"/>
        <w:spacing w:after="0" w:line="316" w:lineRule="auto"/>
        <w:rPr>
          <w:sz w:val="20"/>
          <w:szCs w:val="20"/>
          <w:color w:val="auto"/>
        </w:rPr>
      </w:pPr>
      <w:r>
        <w:rPr>
          <w:rFonts w:ascii="Arial" w:cs="Arial" w:eastAsia="Arial" w:hAnsi="Arial"/>
          <w:sz w:val="18"/>
          <w:szCs w:val="18"/>
          <w:color w:val="auto"/>
        </w:rPr>
        <w:t>To the extent not preempted by federal law, the Plan shall be construed in accordance with and governed by the laws of the State of Delaware regardless of the application of rules of conflict of law that would apply the laws of any other jurisdiction.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on xvi.</w:t>
      </w:r>
      <w:r>
        <w:rPr>
          <w:rFonts w:ascii="Arial" w:cs="Arial" w:eastAsia="Arial" w:hAnsi="Arial"/>
          <w:sz w:val="20"/>
          <w:szCs w:val="20"/>
          <w:i w:val="1"/>
          <w:iCs w:val="1"/>
          <w:color w:val="auto"/>
        </w:rPr>
        <w:t>Conformity to Securities Laws</w:t>
      </w:r>
      <w:r>
        <w:rPr>
          <w:rFonts w:ascii="Arial" w:cs="Arial" w:eastAsia="Arial" w:hAnsi="Arial"/>
          <w:sz w:val="20"/>
          <w:szCs w:val="20"/>
          <w:color w:val="auto"/>
        </w:rPr>
        <w:t>.</w:t>
      </w:r>
    </w:p>
    <w:p>
      <w:pPr>
        <w:spacing w:after="0" w:line="216" w:lineRule="exact"/>
        <w:rPr>
          <w:sz w:val="20"/>
          <w:szCs w:val="20"/>
          <w:color w:val="auto"/>
        </w:rPr>
      </w:pPr>
    </w:p>
    <w:p>
      <w:pPr>
        <w:ind w:left="100" w:firstLine="1296"/>
        <w:spacing w:after="0" w:line="243" w:lineRule="auto"/>
        <w:rPr>
          <w:sz w:val="20"/>
          <w:szCs w:val="20"/>
          <w:color w:val="auto"/>
        </w:rPr>
      </w:pPr>
      <w:r>
        <w:rPr>
          <w:rFonts w:ascii="Arial" w:cs="Arial" w:eastAsia="Arial" w:hAnsi="Arial"/>
          <w:sz w:val="20"/>
          <w:szCs w:val="20"/>
          <w:color w:val="auto"/>
        </w:rPr>
        <w:t>The Plan is intended to conform to the extent necessary with all provisions of the Securities Act and the Exchange Act and any and all regulations and rules promulgated under any of the foregoing, to the extent the Company, any of its Subsidiaries or any Participant is subject to the provisions thereof. Notwithstanding anything herein to the contrary, the Plan shall be administered only in such a manner as to conform to such laws, rules and regulations. To the extent permitted by applicable law, the Plan shall be deemed amended to the extent necessary to conform to such laws, rules and regulations. The Plan and each Participant’s participation hereunder shall be subject to the Company’s insider trading policy which may impact the ability of certain Participants to enroll in, or withdraw from, the Plan for a particular Offering Period.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on xvii.</w:t>
      </w:r>
      <w:r>
        <w:rPr>
          <w:rFonts w:ascii="Arial" w:cs="Arial" w:eastAsia="Arial" w:hAnsi="Arial"/>
          <w:sz w:val="20"/>
          <w:szCs w:val="20"/>
          <w:i w:val="1"/>
          <w:iCs w:val="1"/>
          <w:color w:val="auto"/>
        </w:rPr>
        <w:t>Tax Reporting Information</w:t>
      </w:r>
      <w:r>
        <w:rPr>
          <w:rFonts w:ascii="Arial" w:cs="Arial" w:eastAsia="Arial" w:hAnsi="Arial"/>
          <w:sz w:val="20"/>
          <w:szCs w:val="20"/>
          <w:color w:val="auto"/>
        </w:rPr>
        <w:t>.</w:t>
      </w:r>
    </w:p>
    <w:p>
      <w:pPr>
        <w:spacing w:after="0" w:line="216" w:lineRule="exact"/>
        <w:rPr>
          <w:sz w:val="20"/>
          <w:szCs w:val="20"/>
          <w:color w:val="auto"/>
        </w:rPr>
      </w:pPr>
    </w:p>
    <w:p>
      <w:pPr>
        <w:ind w:left="100" w:right="340" w:firstLine="1296"/>
        <w:spacing w:after="0" w:line="260" w:lineRule="auto"/>
        <w:rPr>
          <w:sz w:val="20"/>
          <w:szCs w:val="20"/>
          <w:color w:val="auto"/>
        </w:rPr>
      </w:pPr>
      <w:r>
        <w:rPr>
          <w:rFonts w:ascii="Arial" w:cs="Arial" w:eastAsia="Arial" w:hAnsi="Arial"/>
          <w:sz w:val="20"/>
          <w:szCs w:val="20"/>
          <w:color w:val="auto"/>
        </w:rPr>
        <w:t>At the Company’s request, Participants will be required to provide the Company and any Affiliates with any information reasonably required for tax reporting purposes.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 xviii.</w:t>
      </w:r>
      <w:r>
        <w:rPr>
          <w:rFonts w:ascii="Arial" w:cs="Arial" w:eastAsia="Arial" w:hAnsi="Arial"/>
          <w:sz w:val="20"/>
          <w:szCs w:val="20"/>
          <w:i w:val="1"/>
          <w:iCs w:val="1"/>
          <w:color w:val="auto"/>
        </w:rPr>
        <w:t>Participant Acknowledgment</w:t>
      </w:r>
    </w:p>
    <w:p>
      <w:pPr>
        <w:spacing w:after="0" w:line="216" w:lineRule="exact"/>
        <w:rPr>
          <w:sz w:val="20"/>
          <w:szCs w:val="20"/>
          <w:color w:val="auto"/>
        </w:rPr>
      </w:pPr>
    </w:p>
    <w:p>
      <w:pPr>
        <w:jc w:val="both"/>
        <w:ind w:left="100" w:right="60" w:firstLine="8"/>
        <w:spacing w:after="0" w:line="246" w:lineRule="auto"/>
        <w:tabs>
          <w:tab w:leader="none" w:pos="199" w:val="left"/>
        </w:tabs>
        <w:numPr>
          <w:ilvl w:val="0"/>
          <w:numId w:val="62"/>
        </w:numPr>
        <w:rPr>
          <w:rFonts w:ascii="Arial" w:cs="Arial" w:eastAsia="Arial" w:hAnsi="Arial"/>
          <w:sz w:val="20"/>
          <w:szCs w:val="20"/>
          <w:color w:val="auto"/>
        </w:rPr>
      </w:pPr>
      <w:r>
        <w:rPr>
          <w:rFonts w:ascii="Arial" w:cs="Arial" w:eastAsia="Arial" w:hAnsi="Arial"/>
          <w:sz w:val="20"/>
          <w:szCs w:val="20"/>
          <w:color w:val="auto"/>
        </w:rPr>
        <w:t>By electing to participate in an Offering Period, Participants acknowledge and agree that (i) Participants may be required to hold Shares during any holding periods to which such Shares are subject; (ii) Shares acquired under the Plan may lose some or all of their value in the future; and (iii) Participants are able to afford to bear the economic risk of holding the Shares for any holding period and of any loss in value of the Shares.</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114682908v1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20" w:top="771" w:right="379" w:bottom="1440" w:gutter="0" w:footer="0" w:header="0"/>
        </w:sectPr>
      </w:pPr>
    </w:p>
    <w:bookmarkStart w:id="53" w:name="page54"/>
    <w:bookmarkEnd w:id="53"/>
    <w:p>
      <w:pPr>
        <w:jc w:val="right"/>
        <w:spacing w:after="0"/>
        <w:rPr>
          <w:sz w:val="20"/>
          <w:szCs w:val="20"/>
          <w:color w:val="auto"/>
        </w:rPr>
      </w:pPr>
      <w:r>
        <w:rPr>
          <w:rFonts w:ascii="Arial" w:cs="Arial" w:eastAsia="Arial" w:hAnsi="Arial"/>
          <w:sz w:val="20"/>
          <w:szCs w:val="20"/>
          <w:color w:val="auto"/>
        </w:rPr>
        <w:t>ANNEX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AMENDMENT TO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INCORPORATION OF</w:t>
      </w:r>
    </w:p>
    <w:p>
      <w:pPr>
        <w:jc w:val="center"/>
        <w:spacing w:after="0"/>
        <w:rPr>
          <w:sz w:val="20"/>
          <w:szCs w:val="20"/>
          <w:color w:val="auto"/>
        </w:rPr>
      </w:pPr>
      <w:r>
        <w:rPr>
          <w:rFonts w:ascii="Arial" w:cs="Arial" w:eastAsia="Arial" w:hAnsi="Arial"/>
          <w:sz w:val="20"/>
          <w:szCs w:val="20"/>
          <w:b w:val="1"/>
          <w:bCs w:val="1"/>
          <w:color w:val="auto"/>
        </w:rPr>
        <w:t>PRIORITY TECHNOLOGY HOLDINGS, INC.</w:t>
      </w:r>
    </w:p>
    <w:p>
      <w:pPr>
        <w:spacing w:after="0" w:line="20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Priority Technology Holdings, Inc., a corporation organized and existing under the laws of the Delaware (the “</w:t>
      </w:r>
      <w:r>
        <w:rPr>
          <w:rFonts w:ascii="Arial" w:cs="Arial" w:eastAsia="Arial" w:hAnsi="Arial"/>
          <w:sz w:val="20"/>
          <w:szCs w:val="20"/>
          <w:u w:val="single" w:color="auto"/>
          <w:color w:val="auto"/>
        </w:rPr>
        <w:t>Company</w:t>
      </w:r>
      <w:r>
        <w:rPr>
          <w:rFonts w:ascii="Arial" w:cs="Arial" w:eastAsia="Arial" w:hAnsi="Arial"/>
          <w:sz w:val="20"/>
          <w:szCs w:val="20"/>
          <w:color w:val="auto"/>
        </w:rPr>
        <w:t>”), in accordance with the provisions of Section 242 of the General Corporation Law of the State of Delaware (the “</w:t>
      </w:r>
      <w:r>
        <w:rPr>
          <w:rFonts w:ascii="Arial" w:cs="Arial" w:eastAsia="Arial" w:hAnsi="Arial"/>
          <w:sz w:val="20"/>
          <w:szCs w:val="20"/>
          <w:u w:val="single" w:color="auto"/>
          <w:color w:val="auto"/>
        </w:rPr>
        <w:t>Code</w:t>
      </w:r>
      <w:r>
        <w:rPr>
          <w:rFonts w:ascii="Arial" w:cs="Arial" w:eastAsia="Arial" w:hAnsi="Arial"/>
          <w:sz w:val="20"/>
          <w:szCs w:val="20"/>
          <w:color w:val="auto"/>
        </w:rPr>
        <w:t>”), the certificate of incorporation and bylaws of the Company, hereby executes and submits the following Certificate of Amendment to the Certificate of Incorporation:</w:t>
      </w:r>
    </w:p>
    <w:p>
      <w:pPr>
        <w:spacing w:after="0" w:line="197"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name of the Company is Priority Technology Holdings, Inc.</w:t>
      </w:r>
    </w:p>
    <w:p>
      <w:pPr>
        <w:spacing w:after="0" w:line="188" w:lineRule="exact"/>
        <w:rPr>
          <w:rFonts w:ascii="Arial" w:cs="Arial" w:eastAsia="Arial" w:hAnsi="Arial"/>
          <w:sz w:val="20"/>
          <w:szCs w:val="20"/>
          <w:color w:val="auto"/>
        </w:rPr>
      </w:pPr>
    </w:p>
    <w:p>
      <w:pPr>
        <w:jc w:val="both"/>
        <w:ind w:firstLine="8"/>
        <w:spacing w:after="0" w:line="237" w:lineRule="auto"/>
        <w:tabs>
          <w:tab w:leader="none" w:pos="648"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Second Amended and Restated Certificate of Incorporation of the Company as granted by the Secretary of Delaware on July 25, 2018 (the “</w:t>
      </w:r>
      <w:r>
        <w:rPr>
          <w:rFonts w:ascii="Arial" w:cs="Arial" w:eastAsia="Arial" w:hAnsi="Arial"/>
          <w:sz w:val="20"/>
          <w:szCs w:val="20"/>
          <w:u w:val="single" w:color="auto"/>
          <w:color w:val="auto"/>
        </w:rPr>
        <w:t>Certificate</w:t>
      </w:r>
      <w:r>
        <w:rPr>
          <w:rFonts w:ascii="Arial" w:cs="Arial" w:eastAsia="Arial" w:hAnsi="Arial"/>
          <w:sz w:val="20"/>
          <w:szCs w:val="20"/>
          <w:color w:val="auto"/>
        </w:rPr>
        <w:t>”) is hereby amended by striking Section A of Article V thereof in its entirety and inserting in lieu thereof the following:</w:t>
      </w:r>
    </w:p>
    <w:p>
      <w:pPr>
        <w:spacing w:after="0" w:line="18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“A. [Reserved]”</w:t>
      </w:r>
    </w:p>
    <w:p>
      <w:pPr>
        <w:spacing w:after="0" w:line="202"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Certificate is hereby amended by striking Section B of Article V thereof in its entirety and inserting in lieu thereof the following:</w:t>
      </w:r>
    </w:p>
    <w:p>
      <w:pPr>
        <w:spacing w:after="0" w:line="225" w:lineRule="exact"/>
        <w:rPr>
          <w:rFonts w:ascii="Arial" w:cs="Arial" w:eastAsia="Arial" w:hAnsi="Arial"/>
          <w:sz w:val="18"/>
          <w:szCs w:val="18"/>
          <w:color w:val="auto"/>
        </w:rPr>
      </w:pPr>
    </w:p>
    <w:p>
      <w:pPr>
        <w:jc w:val="both"/>
        <w:ind w:left="660" w:right="700"/>
        <w:spacing w:after="0" w:line="254" w:lineRule="auto"/>
        <w:rPr>
          <w:rFonts w:ascii="Arial" w:cs="Arial" w:eastAsia="Arial" w:hAnsi="Arial"/>
          <w:sz w:val="18"/>
          <w:szCs w:val="18"/>
          <w:color w:val="auto"/>
        </w:rPr>
      </w:pPr>
      <w:r>
        <w:rPr>
          <w:rFonts w:ascii="Arial" w:cs="Arial" w:eastAsia="Arial" w:hAnsi="Arial"/>
          <w:sz w:val="19"/>
          <w:szCs w:val="19"/>
          <w:color w:val="auto"/>
        </w:rPr>
        <w:t>“B. The Board of Directors is expressly authorized to make, repeal, alter, amend and rescind, in whole or in part, the bylaws of the Corporation (as in effect from time to time, the “Bylaws”) without the assent or vote of the stockholders in any manner not inconsistent with the laws of the State of Delaware or this Certificate of Incorporation.”</w:t>
      </w:r>
    </w:p>
    <w:p>
      <w:pPr>
        <w:spacing w:after="0" w:line="156" w:lineRule="exact"/>
        <w:rPr>
          <w:rFonts w:ascii="Arial" w:cs="Arial" w:eastAsia="Arial" w:hAnsi="Arial"/>
          <w:sz w:val="18"/>
          <w:szCs w:val="18"/>
          <w:color w:val="auto"/>
        </w:rPr>
      </w:pPr>
    </w:p>
    <w:p>
      <w:pPr>
        <w:ind w:right="20" w:firstLine="8"/>
        <w:spacing w:after="0" w:line="246" w:lineRule="auto"/>
        <w:tabs>
          <w:tab w:leader="none" w:pos="648"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Certificate is hereby amended by striking Section D of Article VI thereof in its entirety and inserting in lieu thereof the following:</w:t>
      </w:r>
    </w:p>
    <w:p>
      <w:pPr>
        <w:spacing w:after="0" w:line="177" w:lineRule="exact"/>
        <w:rPr>
          <w:sz w:val="20"/>
          <w:szCs w:val="20"/>
          <w:color w:val="auto"/>
        </w:rPr>
      </w:pPr>
    </w:p>
    <w:p>
      <w:pPr>
        <w:jc w:val="both"/>
        <w:ind w:left="660" w:right="700"/>
        <w:spacing w:after="0" w:line="234" w:lineRule="auto"/>
        <w:rPr>
          <w:sz w:val="20"/>
          <w:szCs w:val="20"/>
          <w:color w:val="auto"/>
        </w:rPr>
      </w:pPr>
      <w:r>
        <w:rPr>
          <w:rFonts w:ascii="Arial" w:cs="Arial" w:eastAsia="Arial" w:hAnsi="Arial"/>
          <w:sz w:val="20"/>
          <w:szCs w:val="20"/>
          <w:color w:val="auto"/>
        </w:rPr>
        <w:t>“D. Any or all of the directors (other than the directors elected by the holders of any series of Preferred Stock of the Corporation,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as a single class.”</w:t>
      </w:r>
    </w:p>
    <w:p>
      <w:pPr>
        <w:spacing w:after="0" w:line="183" w:lineRule="exact"/>
        <w:rPr>
          <w:sz w:val="20"/>
          <w:szCs w:val="20"/>
          <w:color w:val="auto"/>
        </w:rPr>
      </w:pPr>
    </w:p>
    <w:p>
      <w:pPr>
        <w:ind w:firstLine="8"/>
        <w:spacing w:after="0" w:line="246" w:lineRule="auto"/>
        <w:tabs>
          <w:tab w:leader="none" w:pos="648"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Certificate is hereby amended by striking Section B of Article VII thereof in its entirety and inserting in lieu thereof the following:</w:t>
      </w:r>
    </w:p>
    <w:p>
      <w:pPr>
        <w:spacing w:after="0" w:line="163" w:lineRule="exact"/>
        <w:rPr>
          <w:sz w:val="20"/>
          <w:szCs w:val="20"/>
          <w:color w:val="auto"/>
        </w:rPr>
      </w:pPr>
    </w:p>
    <w:p>
      <w:pPr>
        <w:jc w:val="both"/>
        <w:ind w:left="660" w:right="680"/>
        <w:spacing w:after="0" w:line="231" w:lineRule="auto"/>
        <w:rPr>
          <w:sz w:val="20"/>
          <w:szCs w:val="20"/>
          <w:color w:val="auto"/>
        </w:rPr>
      </w:pPr>
      <w:r>
        <w:rPr>
          <w:rFonts w:ascii="Arial" w:cs="Arial" w:eastAsia="Arial" w:hAnsi="Arial"/>
          <w:sz w:val="20"/>
          <w:szCs w:val="20"/>
          <w:color w:val="auto"/>
        </w:rPr>
        <w:t>“B. Any action required or permitted to be taken by the stockholders of the Corporation must be effected at a duly called annual or special meeting of such holders and may not be effected by any consent in writing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84" w:lineRule="exact"/>
        <w:rPr>
          <w:sz w:val="20"/>
          <w:szCs w:val="20"/>
          <w:color w:val="auto"/>
        </w:rPr>
      </w:pPr>
    </w:p>
    <w:p>
      <w:pPr>
        <w:ind w:left="660" w:right="3760" w:hanging="652"/>
        <w:spacing w:after="0" w:line="500"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Certificate is hereby amended by adding the following to Section C of Article XI: “12. “Exchange Act” means the Securities Exchange Act of 1934, as amended.</w:t>
      </w:r>
    </w:p>
    <w:p>
      <w:pPr>
        <w:spacing w:after="0" w:line="1" w:lineRule="exact"/>
        <w:rPr>
          <w:rFonts w:ascii="Arial" w:cs="Arial" w:eastAsia="Arial" w:hAnsi="Arial"/>
          <w:sz w:val="18"/>
          <w:szCs w:val="18"/>
          <w:color w:val="auto"/>
        </w:rPr>
      </w:pPr>
    </w:p>
    <w:p>
      <w:pPr>
        <w:ind w:left="660" w:right="680"/>
        <w:spacing w:after="0" w:line="246" w:lineRule="auto"/>
        <w:rPr>
          <w:rFonts w:ascii="Arial" w:cs="Arial" w:eastAsia="Arial" w:hAnsi="Arial"/>
          <w:sz w:val="18"/>
          <w:szCs w:val="18"/>
          <w:color w:val="auto"/>
        </w:rPr>
      </w:pPr>
      <w:r>
        <w:rPr>
          <w:rFonts w:ascii="Arial" w:cs="Arial" w:eastAsia="Arial" w:hAnsi="Arial"/>
          <w:sz w:val="20"/>
          <w:szCs w:val="20"/>
          <w:color w:val="auto"/>
        </w:rPr>
        <w:t>13. “Priority Holder” means Priority Investment Holdings, LLC and Priority Incentive Equity Holdings, LLC or their Affiliates.”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114776157v2</w:t>
      </w:r>
    </w:p>
    <w:p>
      <w:pPr>
        <w:sectPr>
          <w:pgSz w:w="11900" w:h="16838" w:orient="portrait"/>
          <w:cols w:equalWidth="0" w:num="1">
            <w:col w:w="11240"/>
          </w:cols>
          <w:pgMar w:left="320" w:top="122"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color w:val="auto"/>
        </w:rPr>
        <w:t>ANNEX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8"/>
        <w:spacing w:after="0" w:line="237" w:lineRule="auto"/>
        <w:tabs>
          <w:tab w:leader="none" w:pos="648"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That thereafter, pursuant to resolution of its Board of Directors, a meeting of the stockholders of said Company was duly called and held upon notice in accordance with Section 222 of the Code at which meeting the necessary number of shares as required by statute were voted in favor of the amendment.</w:t>
      </w:r>
    </w:p>
    <w:p>
      <w:pPr>
        <w:spacing w:after="0" w:line="182" w:lineRule="exact"/>
        <w:rPr>
          <w:rFonts w:ascii="Arial" w:cs="Arial" w:eastAsia="Arial" w:hAnsi="Arial"/>
          <w:sz w:val="20"/>
          <w:szCs w:val="20"/>
          <w:color w:val="auto"/>
        </w:rPr>
      </w:pPr>
    </w:p>
    <w:p>
      <w:pPr>
        <w:ind w:left="660" w:hanging="652"/>
        <w:spacing w:after="0"/>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That said amendment was duly adopted in accordance with Section 242 of the Code.</w:t>
      </w:r>
    </w:p>
    <w:p>
      <w:pPr>
        <w:spacing w:after="0" w:line="202" w:lineRule="exact"/>
        <w:rPr>
          <w:rFonts w:ascii="Arial" w:cs="Arial" w:eastAsia="Arial" w:hAnsi="Arial"/>
          <w:sz w:val="20"/>
          <w:szCs w:val="20"/>
          <w:color w:val="auto"/>
        </w:rPr>
      </w:pPr>
    </w:p>
    <w:p>
      <w:pPr>
        <w:ind w:left="660" w:hanging="652"/>
        <w:spacing w:after="0"/>
        <w:tabs>
          <w:tab w:leader="none" w:pos="6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Certificate of Amendment shall be effective upon the filing with the Secretary of State.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114776157v2</w:t>
      </w:r>
    </w:p>
    <w:p>
      <w:pPr>
        <w:sectPr>
          <w:pgSz w:w="11900" w:h="16838" w:orient="portrait"/>
          <w:cols w:equalWidth="0" w:num="1">
            <w:col w:w="11240"/>
          </w:cols>
          <w:pgMar w:left="320" w:top="122"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0"/>
          <w:szCs w:val="20"/>
          <w:color w:val="auto"/>
        </w:rPr>
        <w:t>ANNEX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Certificate of Amendment to be executed and attested by its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officers as of April 16, 2021.</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TECHNOLOGY HOLDINGS, INC.</w:t>
      </w:r>
    </w:p>
    <w:p>
      <w:pPr>
        <w:spacing w:after="0" w:line="200" w:lineRule="exact"/>
        <w:rPr>
          <w:sz w:val="20"/>
          <w:szCs w:val="20"/>
          <w:color w:val="auto"/>
        </w:rPr>
      </w:pPr>
    </w:p>
    <w:p>
      <w:pPr>
        <w:spacing w:after="0" w:line="292" w:lineRule="exact"/>
        <w:rPr>
          <w:sz w:val="20"/>
          <w:szCs w:val="20"/>
          <w:color w:val="auto"/>
        </w:rPr>
      </w:pPr>
    </w:p>
    <w:p>
      <w:pPr>
        <w:ind w:left="1200"/>
        <w:spacing w:after="0"/>
        <w:tabs>
          <w:tab w:leader="none" w:pos="1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Bradley J. Miller</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Name: Bradley J. Miller</w:t>
      </w:r>
    </w:p>
    <w:p>
      <w:pPr>
        <w:ind w:left="1200"/>
        <w:spacing w:after="0"/>
        <w:rPr>
          <w:sz w:val="20"/>
          <w:szCs w:val="20"/>
          <w:color w:val="auto"/>
        </w:rPr>
      </w:pPr>
      <w:r>
        <w:rPr>
          <w:rFonts w:ascii="Arial" w:cs="Arial" w:eastAsia="Arial" w:hAnsi="Arial"/>
          <w:sz w:val="20"/>
          <w:szCs w:val="20"/>
          <w:color w:val="auto"/>
        </w:rPr>
        <w:t>Title: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114776157v2</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X"/>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X"/>
      <w:numFmt w:val="bullet"/>
      <w:start w:val="1"/>
    </w:lvl>
  </w:abstractNum>
  <w:abstractNum w:abstractNumId="3">
    <w:nsid w:val="440BADFC"/>
    <w:multiLevelType w:val="hybridMultilevel"/>
    <w:lvl w:ilvl="0">
      <w:lvlJc w:val="left"/>
      <w:lvlText w:val="☐"/>
      <w:numFmt w:val="bullet"/>
      <w:start w:val="1"/>
    </w:lvl>
    <w:lvl w:ilvl="1">
      <w:lvlJc w:val="left"/>
      <w:lvlText w:val="%2)"/>
      <w:numFmt w:val="decimal"/>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1."/>
      <w:numFmt w:val="decimal"/>
      <w:start w:val="3"/>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1."/>
      <w:numFmt w:val="decimal"/>
      <w:start w:val="1"/>
    </w:lvl>
  </w:abstractNum>
  <w:abstractNum w:abstractNumId="10">
    <w:nsid w:val="5E884ADC"/>
    <w:multiLevelType w:val="hybridMultilevel"/>
    <w:lvl w:ilvl="0">
      <w:lvlJc w:val="left"/>
      <w:lvlText w:val="%1."/>
      <w:numFmt w:val="decimal"/>
      <w:start w:val="1"/>
    </w:lvl>
  </w:abstractNum>
  <w:abstractNum w:abstractNumId="11">
    <w:nsid w:val="51EAD36B"/>
    <w:multiLevelType w:val="hybridMultilevel"/>
    <w:lvl w:ilvl="0">
      <w:lvlJc w:val="left"/>
      <w:lvlText w:val="%1."/>
      <w:numFmt w:val="decimal"/>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lvl w:ilvl="1">
      <w:lvlJc w:val="left"/>
      <w:lvlText w:val="(%2)"/>
      <w:numFmt w:val="decimal"/>
      <w:start w:val="29"/>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1)"/>
      <w:numFmt w:val="lowerLetter"/>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lvl w:ilvl="1">
      <w:lvlJc w:val="left"/>
      <w:lvlText w:val="(%2)"/>
      <w:numFmt w:val="decimal"/>
      <w:start w:val="1"/>
    </w:lvl>
  </w:abstractNum>
  <w:abstractNum w:abstractNumId="23">
    <w:nsid w:val="7A6D8D3C"/>
    <w:multiLevelType w:val="hybridMultilevel"/>
    <w:lvl w:ilvl="0">
      <w:lvlJc w:val="left"/>
      <w:lvlText w:val="(%1)"/>
      <w:numFmt w:val="decimal"/>
      <w:start w:val="4"/>
    </w:lvl>
  </w:abstractNum>
  <w:abstractNum w:abstractNumId="24">
    <w:nsid w:val="4B588F54"/>
    <w:multiLevelType w:val="hybridMultilevel"/>
    <w:lvl w:ilvl="0">
      <w:lvlJc w:val="left"/>
      <w:lvlText w:val="(%1)"/>
      <w:numFmt w:val="decimal"/>
      <w:start w:val="5"/>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2"/>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1)"/>
      <w:numFmt w:val="decimal"/>
      <w:start w:val="3"/>
    </w:lvl>
    <w:lvl w:ilvl="1">
      <w:lvlJc w:val="left"/>
      <w:lvlText w:val="(%2)"/>
      <w:numFmt w:val="lowerRoman"/>
      <w:start w:val="10"/>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lowerLetter"/>
      <w:start w:val="1"/>
    </w:lvl>
  </w:abstractNum>
  <w:abstractNum w:abstractNumId="32">
    <w:nsid w:val="749ABB43"/>
    <w:multiLevelType w:val="hybridMultilevel"/>
    <w:lvl w:ilvl="0">
      <w:lvlJc w:val="left"/>
      <w:lvlText w:val="(%1)"/>
      <w:numFmt w:val="lowerLetter"/>
      <w:start w:val="2"/>
    </w:lvl>
  </w:abstractNum>
  <w:abstractNum w:abstractNumId="33">
    <w:nsid w:val="3DC240FB"/>
    <w:multiLevelType w:val="hybridMultilevel"/>
    <w:lvl w:ilvl="0">
      <w:lvlJc w:val="left"/>
      <w:lvlText w:val="(%1)"/>
      <w:numFmt w:val="lowerLetter"/>
      <w:start w:val="35"/>
    </w:lvl>
  </w:abstractNum>
  <w:abstractNum w:abstractNumId="34">
    <w:nsid w:val="1BA026FA"/>
    <w:multiLevelType w:val="hybridMultilevel"/>
    <w:lvl w:ilvl="0">
      <w:lvlJc w:val="left"/>
      <w:lvlText w:val="(%1)"/>
      <w:numFmt w:val="lowerLetter"/>
      <w:start w:val="3"/>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1)"/>
      <w:numFmt w:val="lowerLetter"/>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1)"/>
      <w:numFmt w:val="lowerLetter"/>
      <w:start w:val="1"/>
    </w:lvl>
  </w:abstractNum>
  <w:abstractNum w:abstractNumId="45">
    <w:nsid w:val="39386575"/>
    <w:multiLevelType w:val="hybridMultilevel"/>
    <w:lvl w:ilvl="0">
      <w:lvlJc w:val="left"/>
      <w:lvlText w:val="(%1)"/>
      <w:numFmt w:val="lowerLetter"/>
      <w:start w:val="3"/>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3"/>
    </w:lvl>
  </w:abstractNum>
  <w:abstractNum w:abstractNumId="64">
    <w:nsid w:val="1DBABF00"/>
    <w:multiLevelType w:val="hybridMultilevel"/>
    <w:lvl w:ilvl="0">
      <w:lvlJc w:val="left"/>
      <w:lvlText w:val="%1."/>
      <w:numFmt w:val="decimal"/>
      <w:start w:val="5"/>
    </w:lvl>
  </w:abstractNum>
  <w:abstractNum w:abstractNumId="65">
    <w:nsid w:val="4AD084E9"/>
    <w:multiLevelType w:val="hybridMultilevel"/>
    <w:lvl w:ilvl="0">
      <w:lvlJc w:val="left"/>
      <w:lvlText w:val="%1."/>
      <w:numFmt w:val="decimal"/>
      <w:start w:val="6"/>
    </w:lvl>
  </w:abstractNum>
  <w:abstractNum w:abstractNumId="66">
    <w:nsid w:val="1F48EAA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2021-04-16T16:17:58Z</dcterms:created>
  <dcterms:modified xsi:type="dcterms:W3CDTF">2021-04-16T16:17:58Z</dcterms:modified>
</cp:coreProperties>
</file>