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6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30004</w:t>
            </w:r>
          </w:p>
        </w:tc>
      </w:tr>
      <w:tr>
        <w:trPr>
          <w:trHeight w:val="270"/>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760" w:type="dxa"/>
            <w:vAlign w:val="bottom"/>
            <w:gridSpan w:val="4"/>
          </w:tcPr>
          <w:p>
            <w:pPr>
              <w:ind w:left="20"/>
              <w:spacing w:after="0"/>
              <w:rPr>
                <w:sz w:val="20"/>
                <w:szCs w:val="20"/>
                <w:color w:val="auto"/>
              </w:rPr>
            </w:pPr>
            <w:r>
              <w:rPr>
                <w:rFonts w:ascii="Arial" w:cs="Arial" w:eastAsia="Arial" w:hAnsi="Arial"/>
                <w:sz w:val="18"/>
                <w:szCs w:val="18"/>
                <w:b w:val="1"/>
                <w:bCs w:val="1"/>
                <w:color w:val="auto"/>
              </w:rPr>
              <w:t>Georgia</w:t>
            </w:r>
          </w:p>
        </w:tc>
        <w:tc>
          <w:tcPr>
            <w:tcW w:w="3640" w:type="dxa"/>
            <w:vAlign w:val="bottom"/>
          </w:tcPr>
          <w:p>
            <w:pPr>
              <w:spacing w:after="0"/>
              <w:rPr>
                <w:sz w:val="23"/>
                <w:szCs w:val="23"/>
                <w:color w:val="auto"/>
              </w:rPr>
            </w:pPr>
          </w:p>
        </w:tc>
      </w:tr>
      <w:tr>
        <w:trPr>
          <w:trHeight w:val="27"/>
        </w:trPr>
        <w:tc>
          <w:tcPr>
            <w:tcW w:w="584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30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8"/>
        </w:trPr>
        <w:tc>
          <w:tcPr>
            <w:tcW w:w="298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$0.001 par 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23, 2019, the board of directors (the "Board") of Priority Technology Holdings, Inc. (the "Company"), upon the recommendation of its nominating and corporate governance committee, appointed Christina M. Favilla to the Board, effective immediately, with a term that expires at the Company's 2020 annual meeting of stockholders or until her successor is duly elected and qualified. The Board affirmatively determined that Ms. Favilla is independent in accordance with the corporate governance rules of the Nasdaq Stock Market LLC for listed companies and also independent under the rules of the Securities and Exchange Commission applicable to members of an audit committee. Consistent with the Company's other non-employee directors, the Company entered into its customary Independent Director Agreement with Ms. Favilla, a form of which was previously filed by the Company as Exhibit 10.19 to the Company’s Form 10-K filed with the Securities and Exchange Commission on March 29, 2019, pursuant to which Ms. Favilla will be entitled to receive in respect of 2019 and 2020 a prorated portion of the $50,000 annual cash compensation. Ms. Favilla will also serve on the Board's audit committee and will replace William Gahan, who will continue to serve on the Board.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arrangements or understanding between Ms. Favilla and any other person pursuant to which he was selected as a director. There also are no transactions in which Ms. Favilla has an interest requiring disclosure under Item 404(a) of Regulation S-K.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29,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2020-01-09T05:37:49Z</dcterms:created>
  <dcterms:modified xsi:type="dcterms:W3CDTF">2020-01-09T05:37:49Z</dcterms:modified>
</cp:coreProperties>
</file>