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160020</wp:posOffset>
            </wp:positionV>
            <wp:extent cx="2545715"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5715"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Priority Technology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2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Times New Roman" w:cs="Times New Roman" w:eastAsia="Times New Roman" w:hAnsi="Times New Roman"/>
                <w:sz w:val="18"/>
                <w:szCs w:val="18"/>
                <w:b w:val="1"/>
                <w:bCs w:val="1"/>
                <w:color w:val="auto"/>
              </w:rPr>
              <w:t>47-4257046</w:t>
            </w:r>
          </w:p>
        </w:tc>
        <w:tc>
          <w:tcPr>
            <w:tcW w:w="20" w:type="dxa"/>
            <w:vAlign w:val="bottom"/>
          </w:tcPr>
          <w:p>
            <w:pPr>
              <w:spacing w:after="0"/>
              <w:rPr>
                <w:sz w:val="20"/>
                <w:szCs w:val="20"/>
                <w:color w:val="auto"/>
              </w:rPr>
            </w:pPr>
          </w:p>
        </w:tc>
      </w:tr>
      <w:tr>
        <w:trPr>
          <w:trHeight w:val="228"/>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20" w:type="dxa"/>
            <w:vAlign w:val="bottom"/>
          </w:tcPr>
          <w:p>
            <w:pPr>
              <w:spacing w:after="0"/>
              <w:rPr>
                <w:sz w:val="19"/>
                <w:szCs w:val="19"/>
                <w:color w:val="auto"/>
              </w:rPr>
            </w:pPr>
          </w:p>
        </w:tc>
      </w:tr>
      <w:tr>
        <w:trPr>
          <w:trHeight w:val="648"/>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4000" w:type="dxa"/>
            <w:vAlign w:val="bottom"/>
            <w:gridSpan w:val="2"/>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8"/>
        </w:trPr>
        <w:tc>
          <w:tcPr>
            <w:tcW w:w="40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560" w:type="dxa"/>
            <w:vAlign w:val="bottom"/>
          </w:tcPr>
          <w:p>
            <w:pPr>
              <w:jc w:val="right"/>
              <w:ind w:right="2250"/>
              <w:spacing w:after="0"/>
              <w:rPr>
                <w:sz w:val="20"/>
                <w:szCs w:val="20"/>
                <w:color w:val="auto"/>
              </w:rPr>
            </w:pPr>
            <w:r>
              <w:rPr>
                <w:rFonts w:ascii="Times New Roman" w:cs="Times New Roman" w:eastAsia="Times New Roman" w:hAnsi="Times New Roman"/>
                <w:sz w:val="18"/>
                <w:szCs w:val="18"/>
                <w:b w:val="1"/>
                <w:bCs w:val="1"/>
                <w:color w:val="auto"/>
              </w:rPr>
              <w:t>30004</w:t>
            </w:r>
          </w:p>
        </w:tc>
        <w:tc>
          <w:tcPr>
            <w:tcW w:w="20" w:type="dxa"/>
            <w:vAlign w:val="bottom"/>
          </w:tcPr>
          <w:p>
            <w:pPr>
              <w:spacing w:after="0"/>
              <w:rPr>
                <w:sz w:val="20"/>
                <w:szCs w:val="20"/>
                <w:color w:val="auto"/>
              </w:rPr>
            </w:pPr>
          </w:p>
        </w:tc>
      </w:tr>
      <w:tr>
        <w:trPr>
          <w:trHeight w:val="228"/>
        </w:trPr>
        <w:tc>
          <w:tcPr>
            <w:tcW w:w="574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Borders>
              <w:top w:val="single" w:sz="8" w:color="auto"/>
            </w:tcBorders>
          </w:tcPr>
          <w:p>
            <w:pPr>
              <w:spacing w:after="0"/>
              <w:rPr>
                <w:sz w:val="19"/>
                <w:szCs w:val="19"/>
                <w:color w:val="auto"/>
              </w:rPr>
            </w:pPr>
          </w:p>
        </w:tc>
      </w:tr>
    </w:tbl>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28"/>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NASDAQ</w:t>
            </w:r>
          </w:p>
        </w:tc>
        <w:tc>
          <w:tcPr>
            <w:tcW w:w="560" w:type="dxa"/>
            <w:vAlign w:val="bottom"/>
          </w:tcPr>
          <w:p>
            <w:pPr>
              <w:spacing w:after="0"/>
              <w:rPr>
                <w:sz w:val="19"/>
                <w:szCs w:val="19"/>
                <w:color w:val="auto"/>
              </w:rPr>
            </w:pPr>
          </w:p>
        </w:tc>
      </w:tr>
      <w:tr>
        <w:trPr>
          <w:trHeight w:val="1217"/>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0"/>
          <w:szCs w:val="20"/>
          <w:color w:val="auto"/>
        </w:rPr>
      </w:pPr>
    </w:p>
    <w:p>
      <w:pPr>
        <w:ind w:left="18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00" w:lineRule="exact"/>
        <w:rPr>
          <w:sz w:val="20"/>
          <w:szCs w:val="20"/>
          <w:color w:val="auto"/>
        </w:rPr>
      </w:pPr>
    </w:p>
    <w:p>
      <w:pPr>
        <w:spacing w:after="0" w:line="3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11, 2026, Priority Technology Holdings, Inc. (the “Company”) held its 2026 annual meeting of stockholders (the “Annual Meeting”). A total of 68,775,578 shares, or 83.5% of the Company’s outstanding shares of common stock as of the record date for the Annual Meeting, were represented in person through virtual attendance or by proxy at the Annual Meeting constituting a quorum.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 Election of Directors</w:t>
      </w:r>
    </w:p>
    <w:p>
      <w:pPr>
        <w:spacing w:after="0" w:line="25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The Company’s stockholders elected each of the persons listed below to served as director until the next annual meeting in 2027 or until his earlier resignation, death, or removal. The votes were cast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Nominee</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8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Thomas Priore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49,699,954</w:t>
            </w:r>
          </w:p>
        </w:tc>
        <w:tc>
          <w:tcPr>
            <w:tcW w:w="1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801,425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17,753</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Marc Crisafulli</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49,982,495</w:t>
            </w:r>
          </w:p>
        </w:tc>
        <w:tc>
          <w:tcPr>
            <w:tcW w:w="1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512,533</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24,104</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Marietta Davis</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50,008,004</w:t>
            </w:r>
          </w:p>
        </w:tc>
        <w:tc>
          <w:tcPr>
            <w:tcW w:w="1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484,239</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26,889</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37"/>
        </w:trPr>
        <w:tc>
          <w:tcPr>
            <w:tcW w:w="2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Christina Favilla</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50,026,231</w:t>
            </w:r>
          </w:p>
        </w:tc>
        <w:tc>
          <w:tcPr>
            <w:tcW w:w="1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469,815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23,086</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r>
        <w:trPr>
          <w:trHeight w:val="264"/>
        </w:trPr>
        <w:tc>
          <w:tcPr>
            <w:tcW w:w="2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Clayton Main</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50,023,975</w:t>
            </w:r>
          </w:p>
        </w:tc>
        <w:tc>
          <w:tcPr>
            <w:tcW w:w="1580" w:type="dxa"/>
            <w:vAlign w:val="bottom"/>
            <w:tcBorders>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466,066</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29,091</w:t>
            </w:r>
          </w:p>
        </w:tc>
        <w:tc>
          <w:tcPr>
            <w:tcW w:w="1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37"/>
        </w:trPr>
        <w:tc>
          <w:tcPr>
            <w:tcW w:w="2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Michael Passilla</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49,561,425</w:t>
            </w:r>
          </w:p>
        </w:tc>
        <w:tc>
          <w:tcPr>
            <w:tcW w:w="15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928,615</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29,092</w:t>
            </w:r>
          </w:p>
        </w:tc>
        <w:tc>
          <w:tcPr>
            <w:tcW w:w="1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18,256,446</w:t>
            </w:r>
          </w:p>
        </w:tc>
      </w:tr>
      <w:tr>
        <w:trPr>
          <w:trHeight w:val="27"/>
        </w:trPr>
        <w:tc>
          <w:tcPr>
            <w:tcW w:w="2100" w:type="dxa"/>
            <w:vAlign w:val="bottom"/>
            <w:tcBorders>
              <w:left w:val="single" w:sz="8" w:color="auto"/>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840" w:type="dxa"/>
            <w:vAlign w:val="bottom"/>
            <w:tcBorders>
              <w:bottom w:val="single" w:sz="8" w:color="auto"/>
              <w:right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 Approval of Amendment 2 to Priority Technology Holdings, Inc. 2018 Equity Incentive Plan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Amendment 2 to the Equity Incentive Plan. The votes were cast as follows: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48,759,188</w:t>
            </w:r>
          </w:p>
        </w:tc>
        <w:tc>
          <w:tcPr>
            <w:tcW w:w="2800" w:type="dxa"/>
            <w:vAlign w:val="bottom"/>
            <w:tcBorders>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1,751,724</w:t>
            </w:r>
          </w:p>
        </w:tc>
        <w:tc>
          <w:tcPr>
            <w:tcW w:w="280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8,220</w:t>
            </w:r>
          </w:p>
        </w:tc>
        <w:tc>
          <w:tcPr>
            <w:tcW w:w="280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18,256,446</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 Approval of Advisory Vote on Named Executive Officer Compensation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advisory vote on Named Executive Officer Compensation. The votes were cast as follows:</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47,579,228</w:t>
            </w:r>
          </w:p>
        </w:tc>
        <w:tc>
          <w:tcPr>
            <w:tcW w:w="2800" w:type="dxa"/>
            <w:vAlign w:val="bottom"/>
            <w:tcBorders>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2,899,556</w:t>
            </w:r>
          </w:p>
        </w:tc>
        <w:tc>
          <w:tcPr>
            <w:tcW w:w="2800" w:type="dxa"/>
            <w:vAlign w:val="bottom"/>
            <w:tcBorders>
              <w:right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rPr>
              <w:t>40,348</w:t>
            </w:r>
          </w:p>
        </w:tc>
        <w:tc>
          <w:tcPr>
            <w:tcW w:w="2800" w:type="dxa"/>
            <w:vAlign w:val="bottom"/>
            <w:tcBorders>
              <w:right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18,256,446</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 Ratify the appointment of KPMG LLP as independent registered public accounting firm for the year ending December 31, 2026.</w:t>
      </w:r>
    </w:p>
    <w:p>
      <w:pPr>
        <w:spacing w:after="0" w:line="28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8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tcBorders>
              <w:top w:val="single" w:sz="8" w:color="auto"/>
            </w:tcBorders>
          </w:tcPr>
          <w:p>
            <w:pPr>
              <w:spacing w:after="0"/>
              <w:rPr>
                <w:sz w:val="22"/>
                <w:szCs w:val="22"/>
                <w:color w:val="auto"/>
              </w:rPr>
            </w:pPr>
          </w:p>
        </w:tc>
        <w:tc>
          <w:tcPr>
            <w:tcW w:w="1960" w:type="dxa"/>
            <w:vAlign w:val="bottom"/>
            <w:tcBorders>
              <w:top w:val="single" w:sz="8" w:color="auto"/>
              <w:right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37"/>
        </w:trPr>
        <w:tc>
          <w:tcPr>
            <w:tcW w:w="2800" w:type="dxa"/>
            <w:vAlign w:val="bottom"/>
            <w:tcBorders>
              <w:left w:val="single" w:sz="8" w:color="auto"/>
              <w:right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67,458,418</w:t>
            </w:r>
          </w:p>
        </w:tc>
        <w:tc>
          <w:tcPr>
            <w:tcW w:w="840" w:type="dxa"/>
            <w:vAlign w:val="bottom"/>
          </w:tcPr>
          <w:p>
            <w:pPr>
              <w:spacing w:after="0"/>
              <w:rPr>
                <w:sz w:val="20"/>
                <w:szCs w:val="20"/>
                <w:color w:val="auto"/>
              </w:rPr>
            </w:pPr>
          </w:p>
        </w:tc>
        <w:tc>
          <w:tcPr>
            <w:tcW w:w="1960" w:type="dxa"/>
            <w:vAlign w:val="bottom"/>
            <w:tcBorders>
              <w:right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1,314,849</w:t>
            </w:r>
          </w:p>
        </w:tc>
        <w:tc>
          <w:tcPr>
            <w:tcW w:w="2800" w:type="dxa"/>
            <w:vAlign w:val="bottom"/>
            <w:tcBorders>
              <w:right w:val="single" w:sz="8" w:color="auto"/>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2,311</w:t>
            </w:r>
          </w:p>
        </w:tc>
        <w:tc>
          <w:tcPr>
            <w:tcW w:w="2800" w:type="dxa"/>
            <w:vAlign w:val="bottom"/>
            <w:tcBorders>
              <w:right w:val="single" w:sz="8" w:color="auto"/>
            </w:tcBorders>
          </w:tcPr>
          <w:p>
            <w:pPr>
              <w:jc w:val="right"/>
              <w:ind w:right="1290"/>
              <w:spacing w:after="0"/>
              <w:rPr>
                <w:sz w:val="20"/>
                <w:szCs w:val="20"/>
                <w:color w:val="auto"/>
              </w:rPr>
            </w:pPr>
            <w:r>
              <w:rPr>
                <w:rFonts w:ascii="Times New Roman" w:cs="Times New Roman" w:eastAsia="Times New Roman" w:hAnsi="Times New Roman"/>
                <w:sz w:val="18"/>
                <w:szCs w:val="18"/>
                <w:color w:val="auto"/>
              </w:rPr>
              <w:t>0</w:t>
            </w:r>
          </w:p>
        </w:tc>
      </w:tr>
      <w:tr>
        <w:trPr>
          <w:trHeight w:val="27"/>
        </w:trPr>
        <w:tc>
          <w:tcPr>
            <w:tcW w:w="2800" w:type="dxa"/>
            <w:vAlign w:val="bottom"/>
            <w:tcBorders>
              <w:left w:val="single" w:sz="8" w:color="auto"/>
              <w:bottom w:val="single" w:sz="8" w:color="auto"/>
              <w:right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574"/>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19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0" w:type="dxa"/>
            <w:vAlign w:val="bottom"/>
          </w:tcPr>
          <w:p>
            <w:pPr>
              <w:spacing w:after="0"/>
              <w:rPr>
                <w:sz w:val="24"/>
                <w:szCs w:val="24"/>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 The following exhibit is furnished as part of this Current Report on Form 8-K.</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8"/>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1204"/>
        </w:trPr>
        <w:tc>
          <w:tcPr>
            <w:tcW w:w="1480" w:type="dxa"/>
            <w:vAlign w:val="bottom"/>
            <w:tcBorders>
              <w:bottom w:val="single" w:sz="8" w:color="9A9A9A"/>
            </w:tcBorders>
          </w:tcPr>
          <w:p>
            <w:pPr>
              <w:spacing w:after="0"/>
              <w:rPr>
                <w:sz w:val="24"/>
                <w:szCs w:val="24"/>
                <w:color w:val="auto"/>
              </w:rPr>
            </w:pPr>
          </w:p>
        </w:tc>
        <w:tc>
          <w:tcPr>
            <w:tcW w:w="9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June 11, 2026</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u w:val="single" w:color="auto"/>
          <w:color w:val="auto"/>
        </w:rPr>
        <w:t>By: /s/ Timothy O'Leary</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Name: Timothy O'Leary</w:t>
      </w:r>
    </w:p>
    <w:p>
      <w:pPr>
        <w:spacing w:after="0" w:line="2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13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2026-06-15T09:44:47Z</dcterms:created>
  <dcterms:modified xsi:type="dcterms:W3CDTF">2026-06-15T09:44:47Z</dcterms:modified>
</cp:coreProperties>
</file>