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November 10, 2022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2302510</wp:posOffset>
            </wp:positionH>
            <wp:positionV relativeFrom="paragraph">
              <wp:posOffset>5715</wp:posOffset>
            </wp:positionV>
            <wp:extent cx="2537460" cy="11747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37460" cy="11747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Priority Technology Holdings,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24"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001-37872</w:t>
            </w: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60" w:type="dxa"/>
            <w:vAlign w:val="bottom"/>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47-4257046</w:t>
            </w:r>
          </w:p>
        </w:tc>
        <w:tc>
          <w:tcPr>
            <w:tcW w:w="20" w:type="dxa"/>
            <w:vAlign w:val="bottom"/>
          </w:tcPr>
          <w:p>
            <w:pPr>
              <w:spacing w:after="0"/>
              <w:rPr>
                <w:sz w:val="20"/>
                <w:szCs w:val="20"/>
                <w:color w:val="auto"/>
              </w:rPr>
            </w:pPr>
          </w:p>
        </w:tc>
      </w:tr>
      <w:tr>
        <w:trPr>
          <w:trHeight w:val="228"/>
        </w:trPr>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40" w:type="dxa"/>
            <w:vAlign w:val="bottom"/>
          </w:tcPr>
          <w:p>
            <w:pPr>
              <w:spacing w:after="0"/>
              <w:rPr>
                <w:sz w:val="19"/>
                <w:szCs w:val="19"/>
                <w:color w:val="auto"/>
              </w:rPr>
            </w:pPr>
          </w:p>
        </w:tc>
        <w:tc>
          <w:tcPr>
            <w:tcW w:w="3320" w:type="dxa"/>
            <w:vAlign w:val="bottom"/>
            <w:tcBorders>
              <w:top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40" w:type="dxa"/>
            <w:vAlign w:val="bottom"/>
          </w:tcPr>
          <w:p>
            <w:pPr>
              <w:spacing w:after="0"/>
              <w:rPr>
                <w:sz w:val="19"/>
                <w:szCs w:val="19"/>
                <w:color w:val="auto"/>
              </w:rPr>
            </w:pPr>
          </w:p>
        </w:tc>
        <w:tc>
          <w:tcPr>
            <w:tcW w:w="3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20" w:type="dxa"/>
            <w:vAlign w:val="bottom"/>
          </w:tcPr>
          <w:p>
            <w:pPr>
              <w:spacing w:after="0"/>
              <w:rPr>
                <w:sz w:val="19"/>
                <w:szCs w:val="19"/>
                <w:color w:val="auto"/>
              </w:rPr>
            </w:pPr>
          </w:p>
        </w:tc>
      </w:tr>
      <w:tr>
        <w:trPr>
          <w:trHeight w:val="648"/>
        </w:trPr>
        <w:tc>
          <w:tcPr>
            <w:tcW w:w="4000" w:type="dxa"/>
            <w:vAlign w:val="bottom"/>
            <w:gridSpan w:val="2"/>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w w:val="99"/>
              </w:rPr>
              <w:t>2001 Westside Parkway</w:t>
            </w:r>
          </w:p>
        </w:tc>
        <w:tc>
          <w:tcPr>
            <w:tcW w:w="1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4000" w:type="dxa"/>
            <w:vAlign w:val="bottom"/>
            <w:gridSpan w:val="2"/>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w w:val="99"/>
              </w:rPr>
              <w:t>Suite 155</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8"/>
        </w:trPr>
        <w:tc>
          <w:tcPr>
            <w:tcW w:w="400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Alpharetta,</w:t>
            </w:r>
          </w:p>
        </w:tc>
        <w:tc>
          <w:tcPr>
            <w:tcW w:w="36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Georgia</w:t>
            </w:r>
          </w:p>
        </w:tc>
        <w:tc>
          <w:tcPr>
            <w:tcW w:w="3560" w:type="dxa"/>
            <w:vAlign w:val="bottom"/>
          </w:tcPr>
          <w:p>
            <w:pPr>
              <w:jc w:val="right"/>
              <w:ind w:right="2250"/>
              <w:spacing w:after="0"/>
              <w:rPr>
                <w:sz w:val="20"/>
                <w:szCs w:val="20"/>
                <w:color w:val="auto"/>
              </w:rPr>
            </w:pPr>
            <w:r>
              <w:rPr>
                <w:rFonts w:ascii="Times New Roman" w:cs="Times New Roman" w:eastAsia="Times New Roman" w:hAnsi="Times New Roman"/>
                <w:sz w:val="18"/>
                <w:szCs w:val="18"/>
                <w:b w:val="1"/>
                <w:bCs w:val="1"/>
                <w:color w:val="auto"/>
              </w:rPr>
              <w:t>30004</w:t>
            </w:r>
          </w:p>
        </w:tc>
        <w:tc>
          <w:tcPr>
            <w:tcW w:w="20" w:type="dxa"/>
            <w:vAlign w:val="bottom"/>
          </w:tcPr>
          <w:p>
            <w:pPr>
              <w:spacing w:after="0"/>
              <w:rPr>
                <w:sz w:val="20"/>
                <w:szCs w:val="20"/>
                <w:color w:val="auto"/>
              </w:rPr>
            </w:pPr>
          </w:p>
        </w:tc>
      </w:tr>
      <w:tr>
        <w:trPr>
          <w:trHeight w:val="228"/>
        </w:trPr>
        <w:tc>
          <w:tcPr>
            <w:tcW w:w="574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20" w:type="dxa"/>
            <w:vAlign w:val="bottom"/>
          </w:tcPr>
          <w:p>
            <w:pPr>
              <w:spacing w:after="0"/>
              <w:rPr>
                <w:sz w:val="19"/>
                <w:szCs w:val="19"/>
                <w:color w:val="auto"/>
              </w:rPr>
            </w:pPr>
          </w:p>
        </w:tc>
        <w:tc>
          <w:tcPr>
            <w:tcW w:w="1600" w:type="dxa"/>
            <w:vAlign w:val="bottom"/>
            <w:tcBorders>
              <w:top w:val="single" w:sz="8" w:color="auto"/>
            </w:tcBorders>
            <w:gridSpan w:val="2"/>
          </w:tcPr>
          <w:p>
            <w:pPr>
              <w:spacing w:after="0"/>
              <w:rPr>
                <w:sz w:val="19"/>
                <w:szCs w:val="19"/>
                <w:color w:val="auto"/>
              </w:rPr>
            </w:pPr>
          </w:p>
        </w:tc>
        <w:tc>
          <w:tcPr>
            <w:tcW w:w="3560" w:type="dxa"/>
            <w:vAlign w:val="bottom"/>
            <w:tcBorders>
              <w:top w:val="single" w:sz="8" w:color="auto"/>
            </w:tcBorders>
          </w:tcPr>
          <w:p>
            <w:pPr>
              <w:jc w:val="center"/>
              <w:ind w:right="1530"/>
              <w:spacing w:after="0"/>
              <w:rPr>
                <w:sz w:val="20"/>
                <w:szCs w:val="20"/>
                <w:color w:val="auto"/>
              </w:rPr>
            </w:pPr>
            <w:r>
              <w:rPr>
                <w:rFonts w:ascii="Times New Roman" w:cs="Times New Roman" w:eastAsia="Times New Roman" w:hAnsi="Times New Roman"/>
                <w:sz w:val="18"/>
                <w:szCs w:val="18"/>
                <w:color w:val="auto"/>
                <w:w w:val="98"/>
              </w:rPr>
              <w:t>(Zip Code)</w:t>
            </w:r>
          </w:p>
        </w:tc>
        <w:tc>
          <w:tcPr>
            <w:tcW w:w="20" w:type="dxa"/>
            <w:vAlign w:val="bottom"/>
            <w:tcBorders>
              <w:top w:val="single" w:sz="8" w:color="auto"/>
            </w:tcBorders>
          </w:tcPr>
          <w:p>
            <w:pPr>
              <w:spacing w:after="0"/>
              <w:rPr>
                <w:sz w:val="19"/>
                <w:szCs w:val="19"/>
                <w:color w:val="auto"/>
              </w:rPr>
            </w:pPr>
          </w:p>
        </w:tc>
      </w:tr>
    </w:tbl>
    <w:p>
      <w:pPr>
        <w:spacing w:after="0" w:line="27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(800) 935-5961</w:t>
      </w:r>
    </w:p>
    <w:p>
      <w:pPr>
        <w:spacing w:after="0" w:line="22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3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58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200" w:type="dxa"/>
            <w:vAlign w:val="bottom"/>
          </w:tcPr>
          <w:p>
            <w:pPr>
              <w:spacing w:after="0"/>
              <w:rPr>
                <w:sz w:val="19"/>
                <w:szCs w:val="19"/>
                <w:color w:val="auto"/>
              </w:rPr>
            </w:pPr>
          </w:p>
        </w:tc>
        <w:tc>
          <w:tcPr>
            <w:tcW w:w="1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PRTH</w:t>
            </w:r>
          </w:p>
        </w:tc>
        <w:tc>
          <w:tcPr>
            <w:tcW w:w="220" w:type="dxa"/>
            <w:vAlign w:val="bottom"/>
          </w:tcPr>
          <w:p>
            <w:pPr>
              <w:spacing w:after="0"/>
              <w:rPr>
                <w:sz w:val="19"/>
                <w:szCs w:val="19"/>
                <w:color w:val="auto"/>
              </w:rPr>
            </w:pPr>
          </w:p>
        </w:tc>
        <w:tc>
          <w:tcPr>
            <w:tcW w:w="4360" w:type="dxa"/>
            <w:vAlign w:val="bottom"/>
            <w:tcBorders>
              <w:top w:val="single" w:sz="8" w:color="auto"/>
            </w:tcBorders>
          </w:tcPr>
          <w:p>
            <w:pPr>
              <w:ind w:left="1360"/>
              <w:spacing w:after="0"/>
              <w:rPr>
                <w:sz w:val="20"/>
                <w:szCs w:val="20"/>
                <w:color w:val="auto"/>
              </w:rPr>
            </w:pPr>
            <w:r>
              <w:rPr>
                <w:rFonts w:ascii="Times New Roman" w:cs="Times New Roman" w:eastAsia="Times New Roman" w:hAnsi="Times New Roman"/>
                <w:sz w:val="18"/>
                <w:szCs w:val="18"/>
                <w:color w:val="auto"/>
              </w:rPr>
              <w:t>Nasdaq Global Market</w:t>
            </w:r>
          </w:p>
        </w:tc>
        <w:tc>
          <w:tcPr>
            <w:tcW w:w="560" w:type="dxa"/>
            <w:vAlign w:val="bottom"/>
          </w:tcPr>
          <w:p>
            <w:pPr>
              <w:spacing w:after="0"/>
              <w:rPr>
                <w:sz w:val="19"/>
                <w:szCs w:val="19"/>
                <w:color w:val="auto"/>
              </w:rPr>
            </w:pPr>
          </w:p>
        </w:tc>
      </w:tr>
      <w:tr>
        <w:trPr>
          <w:trHeight w:val="1217"/>
        </w:trPr>
        <w:tc>
          <w:tcPr>
            <w:tcW w:w="58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 w:name="page2"/>
    <w:bookmarkEnd w:id="1"/>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0" w:lineRule="exact"/>
        <w:rPr>
          <w:sz w:val="20"/>
          <w:szCs w:val="20"/>
          <w:color w:val="auto"/>
        </w:rPr>
      </w:pPr>
    </w:p>
    <w:p>
      <w:pPr>
        <w:ind w:left="18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81" w:lineRule="exact"/>
        <w:rPr>
          <w:sz w:val="20"/>
          <w:szCs w:val="20"/>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532765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November 10, 2022, the Board of Directors (the “Board”) of Priority Technology Holdings, Inc. (the “Company” or “Priority”) appointed Marc</w:t>
      </w:r>
    </w:p>
    <w:p>
      <w:pPr>
        <w:spacing w:after="0" w:line="5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Crisafulli as a Board member until the Company’s next annual meeting of shareholders. Mr. Crisafulli was appointed to fill a vacancy that resulted from an increase in the size of the Board from 6 to 7 members.</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Mr. Crisafulli will participate in the current director compensation arrangements generally applicable to the Company’s non-employee directors as described in the Company’s Proxy Statement filed in connection with the 2022 Annual Meeting of Shareholders.</w:t>
      </w:r>
    </w:p>
    <w:p>
      <w:pPr>
        <w:spacing w:after="0" w:line="229" w:lineRule="exact"/>
        <w:rPr>
          <w:sz w:val="20"/>
          <w:szCs w:val="20"/>
          <w:color w:val="auto"/>
        </w:rPr>
      </w:pPr>
    </w:p>
    <w:p>
      <w:pPr>
        <w:spacing w:after="0" w:line="305" w:lineRule="auto"/>
        <w:rPr>
          <w:sz w:val="20"/>
          <w:szCs w:val="20"/>
          <w:color w:val="auto"/>
        </w:rPr>
      </w:pPr>
      <w:r>
        <w:rPr>
          <w:rFonts w:ascii="Times New Roman" w:cs="Times New Roman" w:eastAsia="Times New Roman" w:hAnsi="Times New Roman"/>
          <w:sz w:val="18"/>
          <w:szCs w:val="18"/>
          <w:color w:val="auto"/>
        </w:rPr>
        <w:t>There are no arrangements or understandings between Mr. Crisafulli and other persons pursuant to which he was selected as a director. Mr. Crisafulli will serve on the Audit, Compensation, and Nominating and Corporate Governance Committees. The Board’s Nominating and Corporate Governance</w:t>
      </w:r>
    </w:p>
    <w:p>
      <w:pPr>
        <w:spacing w:after="0" w:line="282" w:lineRule="auto"/>
        <w:rPr>
          <w:sz w:val="20"/>
          <w:szCs w:val="20"/>
          <w:color w:val="auto"/>
        </w:rPr>
      </w:pPr>
      <w:r>
        <w:rPr>
          <w:rFonts w:ascii="Times New Roman" w:cs="Times New Roman" w:eastAsia="Times New Roman" w:hAnsi="Times New Roman"/>
          <w:sz w:val="18"/>
          <w:szCs w:val="18"/>
          <w:color w:val="auto"/>
        </w:rPr>
        <w:t>Committee determined Mr. Crisafulli to be independent for Nasdaq listing standards. Mr. Crisafulli has not engaged in any transaction with the Company that would be reportable as a related party transaction under Item 404(a) of Securities Exchange Commission Regulations S-K.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 the past 30 years, Mr. Crisafulli has served in legal, compliance and regulatory governance roles with various companies, most recently serving as</w:t>
      </w:r>
    </w:p>
    <w:p>
      <w:pPr>
        <w:spacing w:after="0" w:line="5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Executive Vice President, Government Relations, Legal and Regulatory at Bally’s Corporation. Prior to that, Mr. Crisafulli held senior leadership roles with Brightstar Corporation and Suffolk Construction Company and was managing partner at Hinkley Allen &amp; Snyder.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7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Item 5.02 of the Current Report on Form 8-K is incorporated herein by reference. A copy of the Company’s press release is furnished as Exhibit 99.1 to this Report on Form 8-K.</w:t>
      </w:r>
    </w:p>
    <w:p>
      <w:pPr>
        <w:spacing w:after="0" w:line="18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 – The following exhibit is furnished as part of this Current Report on Form 8-K.</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7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8"/>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99.1</w:t>
            </w:r>
          </w:p>
        </w:tc>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Press Release of Priority Technology Holdings, Inc. dated November 10, 2022</w:t>
            </w:r>
          </w:p>
        </w:tc>
      </w:tr>
      <w:tr>
        <w:trPr>
          <w:trHeight w:val="234"/>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cover page from this Current Report on Form 8-K, formatted in Inline XBRL</w:t>
            </w: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November 10, 2022</w:t>
      </w:r>
    </w:p>
    <w:p>
      <w:pPr>
        <w:spacing w:after="0" w:line="25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PRIORITY TECHNOLOGY HOLDINGS, INC.</w:t>
      </w:r>
    </w:p>
    <w:p>
      <w:pPr>
        <w:spacing w:after="0" w:line="25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u w:val="single" w:color="auto"/>
          <w:color w:val="auto"/>
        </w:rPr>
        <w:t>By: /s/ Bradley J. Miller</w:t>
      </w:r>
    </w:p>
    <w:p>
      <w:pPr>
        <w:spacing w:after="0" w:line="2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Name: Bradley J. Miller</w:t>
      </w:r>
    </w:p>
    <w:p>
      <w:pPr>
        <w:spacing w:after="0" w:line="2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Title: General Counsel</w:t>
      </w:r>
    </w:p>
    <w:p>
      <w:pPr>
        <w:sectPr>
          <w:pgSz w:w="11900" w:h="16838" w:orient="portrait"/>
          <w:cols w:equalWidth="0" w:num="1">
            <w:col w:w="11240"/>
          </w:cols>
          <w:pgMar w:left="320" w:top="887" w:right="339" w:bottom="1440" w:gutter="0" w:footer="0" w:header="0"/>
        </w:sectPr>
      </w:pPr>
    </w:p>
    <w:bookmarkStart w:id="3" w:name="page4"/>
    <w:bookmarkEnd w:id="3"/>
    <w:p>
      <w:pPr>
        <w:ind w:left="9280"/>
        <w:spacing w:after="0"/>
        <w:rPr>
          <w:sz w:val="20"/>
          <w:szCs w:val="20"/>
          <w:color w:val="auto"/>
        </w:rPr>
      </w:pPr>
      <w:r>
        <w:rPr>
          <w:rFonts w:ascii="Times New Roman" w:cs="Times New Roman" w:eastAsia="Times New Roman" w:hAnsi="Times New Roman"/>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34290</wp:posOffset>
            </wp:positionV>
            <wp:extent cx="1765935" cy="625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65935"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Priority Investor Inquiries: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 Kettmann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ckettmann@lincolnchurchilladvisors.com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(773) 497-7575</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Priority Technology Holdings, Inc. Appoints Marc Crisafulli to Board of Directors</w:t>
      </w:r>
    </w:p>
    <w:p>
      <w:pPr>
        <w:spacing w:after="0" w:line="248"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0"/>
          <w:szCs w:val="20"/>
          <w:color w:val="auto"/>
        </w:rPr>
        <w:t xml:space="preserve">ALPHARETTA, GA - November 10, 2022 -- Priority Technology Holdings, Inc. (NASDAQ: PRTH) ("Priority" or the "Company"), the platform for unified commerce that delivers integrated payments and banking at scale, </w:t>
      </w:r>
      <w:r>
        <w:rPr>
          <w:rFonts w:ascii="Times New Roman" w:cs="Times New Roman" w:eastAsia="Times New Roman" w:hAnsi="Times New Roman"/>
          <w:sz w:val="20"/>
          <w:szCs w:val="20"/>
          <w:color w:val="auto"/>
          <w:highlight w:val="white"/>
        </w:rPr>
        <w:t>today announced that its Board has appointed Marc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auto"/>
          <w:highlight w:val="white"/>
        </w:rPr>
        <w:t>Crisafulli as Director.</w:t>
      </w:r>
    </w:p>
    <w:p>
      <w:pPr>
        <w:spacing w:after="0" w:line="17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Crisafulli is an experienced executive and has over 30 years in legal, compliance and regulatory governance roles with various companies. In his most recent role, Crisafulli served as Executive Vice President, Government Relations, Legal and Regulatory at Bally’s Corporation. Prior</w:t>
      </w:r>
    </w:p>
    <w:p>
      <w:pPr>
        <w:spacing w:after="0" w:line="1" w:lineRule="exact"/>
        <w:rPr>
          <w:sz w:val="20"/>
          <w:szCs w:val="20"/>
          <w:color w:val="auto"/>
        </w:rPr>
      </w:pP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to that, Mr. Crisafulli held senior leadership roles with Brightstar Corporation and Suffolk Construction Company and was managing partner at Hinkley Allen &amp; Snyder.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“Marc’s strong legal and regulatory experience is a great fit for Priority as we pursue growth opportunities into new enterprise payment</w:t>
      </w:r>
    </w:p>
    <w:p>
      <w:pPr>
        <w:jc w:val="both"/>
        <w:spacing w:after="0" w:line="204" w:lineRule="auto"/>
        <w:rPr>
          <w:sz w:val="20"/>
          <w:szCs w:val="20"/>
          <w:color w:val="auto"/>
        </w:rPr>
      </w:pPr>
      <w:r>
        <w:rPr>
          <w:rFonts w:ascii="Times New Roman" w:cs="Times New Roman" w:eastAsia="Times New Roman" w:hAnsi="Times New Roman"/>
          <w:sz w:val="20"/>
          <w:szCs w:val="20"/>
          <w:color w:val="auto"/>
        </w:rPr>
        <w:t>verticals” said Tom Priore, Chairman and CEO. “We are excited to have Marc join our team and are eager for him to apply his talents and deep relationships to help accelerate adoption of our unified payments and banking platform.”</w:t>
      </w:r>
    </w:p>
    <w:p>
      <w:pPr>
        <w:spacing w:after="0" w:line="1" w:lineRule="exact"/>
        <w:rPr>
          <w:sz w:val="20"/>
          <w:szCs w:val="20"/>
          <w:color w:val="auto"/>
        </w:rPr>
      </w:pP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Crisafulli received his bachelor of arts degree from Boston University and his juris doctrine from Georgetown University. He will serve on the audit, compensation and nominating and corporate governance committees of the Board.</w:t>
      </w:r>
    </w:p>
    <w:p>
      <w:pPr>
        <w:spacing w:after="0" w:line="18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“I have admired Priority’s rapid growth and am thrilled to be a part of such a dynamic team” said Crisafulli. “Tom’s vision for unified commerce is very forward thinking and I’m excited to contribute.”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2022-11-10T15:15:22Z</dcterms:created>
  <dcterms:modified xsi:type="dcterms:W3CDTF">2022-11-10T15:15:22Z</dcterms:modified>
</cp:coreProperties>
</file>