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25, 2016</w:t>
      </w:r>
    </w:p>
    <w:p>
      <w:pPr>
        <w:spacing w:after="0" w:line="36" w:lineRule="exact"/>
        <w:rPr>
          <w:sz w:val="24"/>
          <w:szCs w:val="24"/>
          <w:color w:val="auto"/>
        </w:rPr>
      </w:pPr>
    </w:p>
    <w:p>
      <w:pPr>
        <w:ind w:left="6300"/>
        <w:spacing w:after="0"/>
        <w:rPr>
          <w:sz w:val="20"/>
          <w:szCs w:val="20"/>
          <w:color w:val="auto"/>
        </w:rPr>
      </w:pPr>
      <w:r>
        <w:rPr>
          <w:rFonts w:ascii="Arial" w:cs="Arial" w:eastAsia="Arial" w:hAnsi="Arial"/>
          <w:sz w:val="16"/>
          <w:szCs w:val="16"/>
          <w:b w:val="1"/>
          <w:bCs w:val="1"/>
          <w:color w:val="auto"/>
        </w:rPr>
        <w:t>Registration No. 333-_______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297815</wp:posOffset>
            </wp:positionH>
            <wp:positionV relativeFrom="paragraph">
              <wp:posOffset>83185</wp:posOffset>
            </wp:positionV>
            <wp:extent cx="514540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126365</wp:posOffset>
            </wp:positionV>
            <wp:extent cx="514540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26035"/>
                    </a:xfrm>
                    <a:prstGeom prst="rect">
                      <a:avLst/>
                    </a:prstGeom>
                    <a:noFill/>
                  </pic:spPr>
                </pic:pic>
              </a:graphicData>
            </a:graphic>
          </wp:anchor>
        </w:drawing>
      </w:r>
    </w:p>
    <w:p>
      <w:pPr>
        <w:spacing w:after="0" w:line="3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 I Acquisitions, Inc.</w:t>
      </w: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169" w:lineRule="exact"/>
        <w:rPr>
          <w:sz w:val="24"/>
          <w:szCs w:val="24"/>
          <w:color w:val="auto"/>
        </w:rPr>
      </w:pPr>
    </w:p>
    <w:tbl>
      <w:tblPr>
        <w:tblLayout w:type="fixed"/>
        <w:tblInd w:w="460" w:type="dxa"/>
        <w:tblCellMar>
          <w:top w:w="0" w:type="dxa"/>
          <w:left w:w="0" w:type="dxa"/>
          <w:bottom w:w="0" w:type="dxa"/>
          <w:right w:w="0" w:type="dxa"/>
        </w:tblCellMar>
      </w:tblPr>
      <w:tr>
        <w:trPr>
          <w:trHeight w:val="213"/>
        </w:trPr>
        <w:tc>
          <w:tcPr>
            <w:tcW w:w="262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27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6770</w:t>
            </w:r>
          </w:p>
        </w:tc>
        <w:tc>
          <w:tcPr>
            <w:tcW w:w="27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47-4257046</w:t>
            </w:r>
          </w:p>
        </w:tc>
      </w:tr>
      <w:tr>
        <w:trPr>
          <w:trHeight w:val="225"/>
        </w:trPr>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120" w:type="dxa"/>
            <w:vAlign w:val="bottom"/>
          </w:tcPr>
          <w:p>
            <w:pPr>
              <w:spacing w:after="0"/>
              <w:rPr>
                <w:sz w:val="19"/>
                <w:szCs w:val="19"/>
                <w:color w:val="auto"/>
              </w:rPr>
            </w:pPr>
          </w:p>
        </w:tc>
        <w:tc>
          <w:tcPr>
            <w:tcW w:w="2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(Primary Standard Industrial</w:t>
            </w:r>
          </w:p>
        </w:tc>
        <w:tc>
          <w:tcPr>
            <w:tcW w:w="120" w:type="dxa"/>
            <w:vAlign w:val="bottom"/>
          </w:tcPr>
          <w:p>
            <w:pPr>
              <w:spacing w:after="0"/>
              <w:rPr>
                <w:sz w:val="19"/>
                <w:szCs w:val="19"/>
                <w:color w:val="auto"/>
              </w:rPr>
            </w:pPr>
          </w:p>
        </w:tc>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26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12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Classification Code Number)</w:t>
            </w:r>
          </w:p>
        </w:tc>
        <w:tc>
          <w:tcPr>
            <w:tcW w:w="12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Magna Management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 Wall Street, 58th Floor</w:t>
      </w:r>
    </w:p>
    <w:p>
      <w:pPr>
        <w:spacing w:after="0" w:line="9"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New York, NY 10005</w:t>
      </w:r>
    </w:p>
    <w:p>
      <w:pPr>
        <w:spacing w:after="0" w:line="9"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(347) 491-4240</w:t>
      </w:r>
    </w:p>
    <w:p>
      <w:pPr>
        <w:spacing w:after="0" w:line="9" w:lineRule="exact"/>
        <w:rPr>
          <w:sz w:val="24"/>
          <w:szCs w:val="24"/>
          <w:color w:val="auto"/>
        </w:rPr>
      </w:pPr>
    </w:p>
    <w:p>
      <w:pPr>
        <w:jc w:val="center"/>
        <w:ind w:left="460" w:right="439"/>
        <w:spacing w:after="0" w:line="250" w:lineRule="auto"/>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1"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Joshua Sason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Magna Management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 Wall Street, 58th Floor</w:t>
      </w:r>
    </w:p>
    <w:p>
      <w:pPr>
        <w:spacing w:after="0" w:line="9"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New York, NY 10005</w:t>
      </w:r>
    </w:p>
    <w:p>
      <w:pPr>
        <w:spacing w:after="0" w:line="9"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(347) 491-4240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181" w:lineRule="exact"/>
        <w:rPr>
          <w:sz w:val="24"/>
          <w:szCs w:val="24"/>
          <w:color w:val="auto"/>
        </w:rPr>
      </w:pPr>
    </w:p>
    <w:tbl>
      <w:tblPr>
        <w:tblLayout w:type="fixed"/>
        <w:tblInd w:w="1380" w:type="dxa"/>
        <w:tblCellMar>
          <w:top w:w="0" w:type="dxa"/>
          <w:left w:w="0" w:type="dxa"/>
          <w:bottom w:w="0" w:type="dxa"/>
          <w:right w:w="0" w:type="dxa"/>
        </w:tblCellMar>
      </w:tblPr>
      <w:tr>
        <w:trPr>
          <w:trHeight w:val="216"/>
        </w:trPr>
        <w:tc>
          <w:tcPr>
            <w:tcW w:w="2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Mitchell S. Nussbaum</w:t>
            </w:r>
          </w:p>
        </w:tc>
        <w:tc>
          <w:tcPr>
            <w:tcW w:w="3900" w:type="dxa"/>
            <w:vAlign w:val="bottom"/>
          </w:tcPr>
          <w:p>
            <w:pPr>
              <w:jc w:val="center"/>
              <w:ind w:left="1690"/>
              <w:spacing w:after="0"/>
              <w:rPr>
                <w:sz w:val="20"/>
                <w:szCs w:val="20"/>
                <w:color w:val="auto"/>
              </w:rPr>
            </w:pPr>
            <w:r>
              <w:rPr>
                <w:rFonts w:ascii="Arial" w:cs="Arial" w:eastAsia="Arial" w:hAnsi="Arial"/>
                <w:sz w:val="18"/>
                <w:szCs w:val="18"/>
                <w:b w:val="1"/>
                <w:bCs w:val="1"/>
                <w:color w:val="auto"/>
                <w:w w:val="92"/>
              </w:rPr>
              <w:t>Robert H. Cohen</w:t>
            </w:r>
          </w:p>
        </w:tc>
      </w:tr>
      <w:tr>
        <w:trPr>
          <w:trHeight w:val="216"/>
        </w:trPr>
        <w:tc>
          <w:tcPr>
            <w:tcW w:w="2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Giovanni Caruso</w:t>
            </w:r>
          </w:p>
        </w:tc>
        <w:tc>
          <w:tcPr>
            <w:tcW w:w="3900" w:type="dxa"/>
            <w:vAlign w:val="bottom"/>
          </w:tcPr>
          <w:p>
            <w:pPr>
              <w:jc w:val="center"/>
              <w:ind w:left="1710"/>
              <w:spacing w:after="0"/>
              <w:rPr>
                <w:sz w:val="20"/>
                <w:szCs w:val="20"/>
                <w:color w:val="auto"/>
              </w:rPr>
            </w:pPr>
            <w:r>
              <w:rPr>
                <w:rFonts w:ascii="Arial" w:cs="Arial" w:eastAsia="Arial" w:hAnsi="Arial"/>
                <w:sz w:val="18"/>
                <w:szCs w:val="18"/>
                <w:b w:val="1"/>
                <w:bCs w:val="1"/>
                <w:color w:val="auto"/>
                <w:w w:val="96"/>
              </w:rPr>
              <w:t>McDermott Will &amp; Emery</w:t>
            </w:r>
          </w:p>
        </w:tc>
      </w:tr>
      <w:tr>
        <w:trPr>
          <w:trHeight w:val="216"/>
        </w:trPr>
        <w:tc>
          <w:tcPr>
            <w:tcW w:w="2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Loeb &amp; Loeb LLP</w:t>
            </w:r>
          </w:p>
        </w:tc>
        <w:tc>
          <w:tcPr>
            <w:tcW w:w="3900" w:type="dxa"/>
            <w:vAlign w:val="bottom"/>
          </w:tcPr>
          <w:p>
            <w:pPr>
              <w:jc w:val="center"/>
              <w:ind w:left="1690"/>
              <w:spacing w:after="0"/>
              <w:rPr>
                <w:sz w:val="20"/>
                <w:szCs w:val="20"/>
                <w:color w:val="auto"/>
              </w:rPr>
            </w:pPr>
            <w:r>
              <w:rPr>
                <w:rFonts w:ascii="Arial" w:cs="Arial" w:eastAsia="Arial" w:hAnsi="Arial"/>
                <w:sz w:val="18"/>
                <w:szCs w:val="18"/>
                <w:b w:val="1"/>
                <w:bCs w:val="1"/>
                <w:color w:val="auto"/>
                <w:w w:val="89"/>
              </w:rPr>
              <w:t>340 Madison Avenue</w:t>
            </w:r>
          </w:p>
        </w:tc>
      </w:tr>
      <w:tr>
        <w:trPr>
          <w:trHeight w:val="216"/>
        </w:trPr>
        <w:tc>
          <w:tcPr>
            <w:tcW w:w="2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345 Park Avenue</w:t>
            </w:r>
          </w:p>
        </w:tc>
        <w:tc>
          <w:tcPr>
            <w:tcW w:w="3900" w:type="dxa"/>
            <w:vAlign w:val="bottom"/>
          </w:tcPr>
          <w:p>
            <w:pPr>
              <w:jc w:val="center"/>
              <w:ind w:left="1710"/>
              <w:spacing w:after="0"/>
              <w:rPr>
                <w:sz w:val="20"/>
                <w:szCs w:val="20"/>
                <w:color w:val="auto"/>
              </w:rPr>
            </w:pPr>
            <w:r>
              <w:rPr>
                <w:rFonts w:ascii="Arial" w:cs="Arial" w:eastAsia="Arial" w:hAnsi="Arial"/>
                <w:sz w:val="18"/>
                <w:szCs w:val="18"/>
                <w:b w:val="1"/>
                <w:bCs w:val="1"/>
                <w:color w:val="auto"/>
                <w:w w:val="92"/>
              </w:rPr>
              <w:t>New York, NY 10173-1922</w:t>
            </w:r>
          </w:p>
        </w:tc>
      </w:tr>
      <w:tr>
        <w:trPr>
          <w:trHeight w:val="216"/>
        </w:trPr>
        <w:tc>
          <w:tcPr>
            <w:tcW w:w="2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New York, New York 10154</w:t>
            </w:r>
          </w:p>
        </w:tc>
        <w:tc>
          <w:tcPr>
            <w:tcW w:w="3900" w:type="dxa"/>
            <w:vAlign w:val="bottom"/>
          </w:tcPr>
          <w:p>
            <w:pPr>
              <w:jc w:val="center"/>
              <w:ind w:left="1690"/>
              <w:spacing w:after="0"/>
              <w:rPr>
                <w:sz w:val="20"/>
                <w:szCs w:val="20"/>
                <w:color w:val="auto"/>
              </w:rPr>
            </w:pPr>
            <w:r>
              <w:rPr>
                <w:rFonts w:ascii="Arial" w:cs="Arial" w:eastAsia="Arial" w:hAnsi="Arial"/>
                <w:sz w:val="18"/>
                <w:szCs w:val="18"/>
                <w:b w:val="1"/>
                <w:bCs w:val="1"/>
                <w:color w:val="auto"/>
                <w:w w:val="90"/>
              </w:rPr>
              <w:t>(212) 547-5885</w:t>
            </w:r>
          </w:p>
        </w:tc>
      </w:tr>
      <w:tr>
        <w:trPr>
          <w:trHeight w:val="216"/>
        </w:trPr>
        <w:tc>
          <w:tcPr>
            <w:tcW w:w="2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(212) 407-4000</w:t>
            </w:r>
          </w:p>
        </w:tc>
        <w:tc>
          <w:tcPr>
            <w:tcW w:w="3900" w:type="dxa"/>
            <w:vAlign w:val="bottom"/>
          </w:tcPr>
          <w:p>
            <w:pPr>
              <w:jc w:val="center"/>
              <w:ind w:left="1690"/>
              <w:spacing w:after="0"/>
              <w:rPr>
                <w:sz w:val="20"/>
                <w:szCs w:val="20"/>
                <w:color w:val="auto"/>
              </w:rPr>
            </w:pPr>
            <w:r>
              <w:rPr>
                <w:rFonts w:ascii="Arial" w:cs="Arial" w:eastAsia="Arial" w:hAnsi="Arial"/>
                <w:sz w:val="18"/>
                <w:szCs w:val="18"/>
                <w:b w:val="1"/>
                <w:bCs w:val="1"/>
                <w:color w:val="auto"/>
                <w:w w:val="90"/>
              </w:rPr>
              <w:t>(212) 547-5444 — Facsimile</w:t>
            </w:r>
          </w:p>
        </w:tc>
      </w:tr>
      <w:tr>
        <w:trPr>
          <w:trHeight w:val="234"/>
        </w:trPr>
        <w:tc>
          <w:tcPr>
            <w:tcW w:w="2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(212) 407-4990 — Facsimile</w:t>
            </w:r>
          </w:p>
        </w:tc>
        <w:tc>
          <w:tcPr>
            <w:tcW w:w="3900" w:type="dxa"/>
            <w:vAlign w:val="bottom"/>
          </w:tcPr>
          <w:p>
            <w:pPr>
              <w:spacing w:after="0"/>
              <w:rPr>
                <w:sz w:val="20"/>
                <w:szCs w:val="20"/>
                <w:color w:val="auto"/>
              </w:rPr>
            </w:pPr>
          </w:p>
        </w:tc>
      </w:tr>
      <w:tr>
        <w:trPr>
          <w:trHeight w:val="392"/>
        </w:trPr>
        <w:tc>
          <w:tcPr>
            <w:tcW w:w="2340" w:type="dxa"/>
            <w:vAlign w:val="bottom"/>
          </w:tcPr>
          <w:p>
            <w:pPr>
              <w:spacing w:after="0"/>
              <w:rPr>
                <w:sz w:val="24"/>
                <w:szCs w:val="24"/>
                <w:color w:val="auto"/>
              </w:rPr>
            </w:pPr>
          </w:p>
        </w:tc>
        <w:tc>
          <w:tcPr>
            <w:tcW w:w="3900" w:type="dxa"/>
            <w:vAlign w:val="bottom"/>
          </w:tcPr>
          <w:p>
            <w:pPr>
              <w:jc w:val="right"/>
              <w:ind w:right="2430"/>
              <w:spacing w:after="0"/>
              <w:rPr>
                <w:sz w:val="20"/>
                <w:szCs w:val="20"/>
                <w:color w:val="auto"/>
              </w:rPr>
            </w:pPr>
            <w:r>
              <w:rPr>
                <w:rFonts w:ascii="Arial" w:cs="Arial" w:eastAsia="Arial" w:hAnsi="Arial"/>
                <w:sz w:val="18"/>
                <w:szCs w:val="18"/>
                <w:b w:val="1"/>
                <w:bCs w:val="1"/>
                <w:color w:val="auto"/>
              </w:rPr>
              <w:t>_____________</w:t>
            </w:r>
          </w:p>
        </w:tc>
      </w:tr>
    </w:tbl>
    <w:p>
      <w:pPr>
        <w:spacing w:after="0" w:line="80" w:lineRule="exact"/>
        <w:rPr>
          <w:sz w:val="24"/>
          <w:szCs w:val="24"/>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Approximate date of commencement of proposed sale to the public: As soon as practicable after the effective date of this registration statement.</w:t>
      </w:r>
    </w:p>
    <w:p>
      <w:pPr>
        <w:spacing w:after="0" w:line="49" w:lineRule="exact"/>
        <w:rPr>
          <w:sz w:val="24"/>
          <w:szCs w:val="24"/>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x</w:t>
      </w:r>
    </w:p>
    <w:p>
      <w:pPr>
        <w:spacing w:after="0" w:line="35" w:lineRule="exact"/>
        <w:rPr>
          <w:sz w:val="24"/>
          <w:szCs w:val="24"/>
          <w:color w:val="auto"/>
        </w:rPr>
      </w:pPr>
    </w:p>
    <w:p>
      <w:pPr>
        <w:jc w:val="both"/>
        <w:ind w:left="460" w:right="459"/>
        <w:spacing w:after="0" w:line="227"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left="460" w:right="459"/>
        <w:spacing w:after="0" w:line="227"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left="460" w:right="459"/>
        <w:spacing w:after="0" w:line="227"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9" w:lineRule="exact"/>
        <w:rPr>
          <w:sz w:val="24"/>
          <w:szCs w:val="24"/>
          <w:color w:val="auto"/>
        </w:rPr>
      </w:pPr>
    </w:p>
    <w:tbl>
      <w:tblPr>
        <w:tblLayout w:type="fixed"/>
        <w:tblInd w:w="460" w:type="dxa"/>
        <w:tblCellMar>
          <w:top w:w="0" w:type="dxa"/>
          <w:left w:w="0" w:type="dxa"/>
          <w:bottom w:w="0" w:type="dxa"/>
          <w:right w:w="0" w:type="dxa"/>
        </w:tblCellMar>
      </w:tblPr>
      <w:tr>
        <w:trPr>
          <w:trHeight w:val="243"/>
        </w:trPr>
        <w:tc>
          <w:tcPr>
            <w:tcW w:w="372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4400" w:type="dxa"/>
            <w:vAlign w:val="bottom"/>
          </w:tcPr>
          <w:p>
            <w:pPr>
              <w:ind w:left="3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49"/>
        </w:trPr>
        <w:tc>
          <w:tcPr>
            <w:tcW w:w="372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4400" w:type="dxa"/>
            <w:vAlign w:val="bottom"/>
          </w:tcPr>
          <w:p>
            <w:pPr>
              <w:ind w:left="380"/>
              <w:spacing w:after="0"/>
              <w:rPr>
                <w:sz w:val="20"/>
                <w:szCs w:val="20"/>
                <w:color w:val="auto"/>
              </w:rPr>
            </w:pPr>
            <w:r>
              <w:rPr>
                <w:rFonts w:ascii="Arial" w:cs="Arial" w:eastAsia="Arial" w:hAnsi="Arial"/>
                <w:sz w:val="18"/>
                <w:szCs w:val="18"/>
                <w:color w:val="auto"/>
              </w:rPr>
              <w:t>Smaller reporting company x</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4400" w:type="dxa"/>
            <w:vAlign w:val="bottom"/>
          </w:tcPr>
          <w:p>
            <w:pPr>
              <w:spacing w:after="0"/>
              <w:rPr>
                <w:sz w:val="20"/>
                <w:szCs w:val="20"/>
                <w:color w:val="auto"/>
              </w:rPr>
            </w:pPr>
          </w:p>
        </w:tc>
      </w:tr>
      <w:tr>
        <w:trPr>
          <w:trHeight w:val="392"/>
        </w:trPr>
        <w:tc>
          <w:tcPr>
            <w:tcW w:w="37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6" w:right="1440" w:bottom="751"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Proposed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33"/>
              <w:spacing w:after="0"/>
              <w:rPr>
                <w:sz w:val="20"/>
                <w:szCs w:val="20"/>
                <w:color w:val="auto"/>
              </w:rPr>
            </w:pPr>
            <w:r>
              <w:rPr>
                <w:rFonts w:ascii="Arial" w:cs="Arial" w:eastAsia="Arial" w:hAnsi="Arial"/>
                <w:sz w:val="16"/>
                <w:szCs w:val="16"/>
                <w:b w:val="1"/>
                <w:bCs w:val="1"/>
                <w:color w:val="auto"/>
                <w:w w:val="86"/>
              </w:rPr>
              <w:t>Proposed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73"/>
              <w:spacing w:after="0"/>
              <w:rPr>
                <w:sz w:val="20"/>
                <w:szCs w:val="20"/>
                <w:color w:val="auto"/>
              </w:rPr>
            </w:pPr>
            <w:r>
              <w:rPr>
                <w:rFonts w:ascii="Arial" w:cs="Arial" w:eastAsia="Arial" w:hAnsi="Arial"/>
                <w:sz w:val="16"/>
                <w:szCs w:val="16"/>
                <w:b w:val="1"/>
                <w:bCs w:val="1"/>
                <w:color w:val="auto"/>
                <w:w w:val="93"/>
              </w:rPr>
              <w:t>maximum</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33"/>
              <w:spacing w:after="0"/>
              <w:rPr>
                <w:sz w:val="20"/>
                <w:szCs w:val="20"/>
                <w:color w:val="auto"/>
              </w:rPr>
            </w:pPr>
            <w:r>
              <w:rPr>
                <w:rFonts w:ascii="Arial" w:cs="Arial" w:eastAsia="Arial" w:hAnsi="Arial"/>
                <w:sz w:val="16"/>
                <w:szCs w:val="16"/>
                <w:b w:val="1"/>
                <w:bCs w:val="1"/>
                <w:color w:val="auto"/>
                <w:w w:val="97"/>
              </w:rPr>
              <w:t>Maximum</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2"/>
              </w:rPr>
              <w:t>Amount to</w:t>
            </w:r>
          </w:p>
        </w:tc>
        <w:tc>
          <w:tcPr>
            <w:tcW w:w="160" w:type="dxa"/>
            <w:vAlign w:val="bottom"/>
          </w:tcPr>
          <w:p>
            <w:pPr>
              <w:spacing w:after="0"/>
              <w:rPr>
                <w:sz w:val="17"/>
                <w:szCs w:val="17"/>
                <w:color w:val="auto"/>
              </w:rPr>
            </w:pPr>
          </w:p>
        </w:tc>
        <w:tc>
          <w:tcPr>
            <w:tcW w:w="860" w:type="dxa"/>
            <w:vAlign w:val="bottom"/>
          </w:tcPr>
          <w:p>
            <w:pPr>
              <w:jc w:val="center"/>
              <w:ind w:right="73"/>
              <w:spacing w:after="0"/>
              <w:rPr>
                <w:sz w:val="20"/>
                <w:szCs w:val="20"/>
                <w:color w:val="auto"/>
              </w:rPr>
            </w:pPr>
            <w:r>
              <w:rPr>
                <w:rFonts w:ascii="Arial" w:cs="Arial" w:eastAsia="Arial" w:hAnsi="Arial"/>
                <w:sz w:val="16"/>
                <w:szCs w:val="16"/>
                <w:b w:val="1"/>
                <w:bCs w:val="1"/>
                <w:color w:val="auto"/>
                <w:w w:val="90"/>
              </w:rPr>
              <w:t>offering</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13"/>
              <w:spacing w:after="0"/>
              <w:rPr>
                <w:sz w:val="20"/>
                <w:szCs w:val="20"/>
                <w:color w:val="auto"/>
              </w:rPr>
            </w:pPr>
            <w:r>
              <w:rPr>
                <w:rFonts w:ascii="Arial" w:cs="Arial" w:eastAsia="Arial" w:hAnsi="Arial"/>
                <w:sz w:val="16"/>
                <w:szCs w:val="16"/>
                <w:b w:val="1"/>
                <w:bCs w:val="1"/>
                <w:color w:val="auto"/>
                <w:w w:val="88"/>
              </w:rPr>
              <w:t>Aggregate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5"/>
              </w:rPr>
              <w:t>be</w:t>
            </w:r>
          </w:p>
        </w:tc>
        <w:tc>
          <w:tcPr>
            <w:tcW w:w="160" w:type="dxa"/>
            <w:vAlign w:val="bottom"/>
          </w:tcPr>
          <w:p>
            <w:pPr>
              <w:spacing w:after="0"/>
              <w:rPr>
                <w:sz w:val="17"/>
                <w:szCs w:val="17"/>
                <w:color w:val="auto"/>
              </w:rPr>
            </w:pPr>
          </w:p>
        </w:tc>
        <w:tc>
          <w:tcPr>
            <w:tcW w:w="86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price per</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33"/>
              <w:spacing w:after="0"/>
              <w:rPr>
                <w:sz w:val="20"/>
                <w:szCs w:val="20"/>
                <w:color w:val="auto"/>
              </w:rPr>
            </w:pPr>
            <w:r>
              <w:rPr>
                <w:rFonts w:ascii="Arial" w:cs="Arial" w:eastAsia="Arial" w:hAnsi="Arial"/>
                <w:sz w:val="16"/>
                <w:szCs w:val="16"/>
                <w:b w:val="1"/>
                <w:bCs w:val="1"/>
                <w:color w:val="auto"/>
                <w:w w:val="96"/>
              </w:rPr>
              <w:t>Offering</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Registration</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Arial" w:cs="Arial" w:eastAsia="Arial" w:hAnsi="Arial"/>
                <w:sz w:val="16"/>
                <w:szCs w:val="16"/>
                <w:b w:val="1"/>
                <w:bCs w:val="1"/>
                <w:color w:val="auto"/>
              </w:rPr>
              <w:t>Title of Class of Security being registered</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Registered</w:t>
            </w:r>
          </w:p>
        </w:tc>
        <w:tc>
          <w:tcPr>
            <w:tcW w:w="160" w:type="dxa"/>
            <w:vAlign w:val="bottom"/>
          </w:tcPr>
          <w:p>
            <w:pPr>
              <w:spacing w:after="0"/>
              <w:rPr>
                <w:sz w:val="18"/>
                <w:szCs w:val="18"/>
                <w:color w:val="auto"/>
              </w:rPr>
            </w:pPr>
          </w:p>
        </w:tc>
        <w:tc>
          <w:tcPr>
            <w:tcW w:w="860" w:type="dxa"/>
            <w:vAlign w:val="bottom"/>
          </w:tcPr>
          <w:p>
            <w:pPr>
              <w:jc w:val="center"/>
              <w:ind w:right="73"/>
              <w:spacing w:after="0"/>
              <w:rPr>
                <w:sz w:val="20"/>
                <w:szCs w:val="20"/>
                <w:color w:val="auto"/>
              </w:rPr>
            </w:pPr>
            <w:r>
              <w:rPr>
                <w:rFonts w:ascii="Arial" w:cs="Arial" w:eastAsia="Arial" w:hAnsi="Arial"/>
                <w:sz w:val="16"/>
                <w:szCs w:val="16"/>
                <w:b w:val="1"/>
                <w:bCs w:val="1"/>
                <w:color w:val="auto"/>
                <w:w w:val="88"/>
              </w:rPr>
              <w:t>share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33"/>
              <w:spacing w:after="0"/>
              <w:rPr>
                <w:sz w:val="20"/>
                <w:szCs w:val="20"/>
                <w:color w:val="auto"/>
              </w:rPr>
            </w:pPr>
            <w:r>
              <w:rPr>
                <w:rFonts w:ascii="Arial" w:cs="Arial" w:eastAsia="Arial" w:hAnsi="Arial"/>
                <w:sz w:val="16"/>
                <w:szCs w:val="16"/>
                <w:b w:val="1"/>
                <w:bCs w:val="1"/>
                <w:color w:val="auto"/>
                <w:w w:val="95"/>
              </w:rPr>
              <w:t>Price</w:t>
            </w:r>
            <w:r>
              <w:rPr>
                <w:rFonts w:ascii="Arial" w:cs="Arial" w:eastAsia="Arial" w:hAnsi="Arial"/>
                <w:sz w:val="8"/>
                <w:szCs w:val="8"/>
                <w:b w:val="1"/>
                <w:bCs w:val="1"/>
                <w:color w:val="auto"/>
                <w:w w:val="95"/>
              </w:rPr>
              <w:t>(1)(2)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Fee</w:t>
            </w:r>
          </w:p>
        </w:tc>
        <w:tc>
          <w:tcPr>
            <w:tcW w:w="0" w:type="dxa"/>
            <w:vAlign w:val="bottom"/>
          </w:tcPr>
          <w:p>
            <w:pPr>
              <w:spacing w:after="0"/>
              <w:rPr>
                <w:sz w:val="1"/>
                <w:szCs w:val="1"/>
                <w:color w:val="auto"/>
              </w:rPr>
            </w:pPr>
          </w:p>
        </w:tc>
      </w:tr>
      <w:tr>
        <w:trPr>
          <w:trHeight w:val="221"/>
        </w:trPr>
        <w:tc>
          <w:tcPr>
            <w:tcW w:w="3860" w:type="dxa"/>
            <w:vAlign w:val="bottom"/>
          </w:tcPr>
          <w:p>
            <w:pPr>
              <w:spacing w:after="0"/>
              <w:rPr>
                <w:sz w:val="20"/>
                <w:szCs w:val="20"/>
                <w:color w:val="auto"/>
              </w:rPr>
            </w:pPr>
            <w:r>
              <w:rPr>
                <w:rFonts w:ascii="Arial" w:cs="Arial" w:eastAsia="Arial" w:hAnsi="Arial"/>
                <w:sz w:val="18"/>
                <w:szCs w:val="18"/>
                <w:color w:val="auto"/>
              </w:rPr>
              <w:t>Units, each consisting of one share of Common</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w w:val="92"/>
              </w:rPr>
              <w:t>Stock, $0.001 par value and one Warrant entitling</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w w:val="92"/>
              </w:rPr>
              <w:t>the holder to receive one share of Common Stock</w:t>
            </w:r>
          </w:p>
        </w:tc>
        <w:tc>
          <w:tcPr>
            <w:tcW w:w="1000" w:type="dxa"/>
            <w:vAlign w:val="bottom"/>
          </w:tcPr>
          <w:p>
            <w:pPr>
              <w:jc w:val="right"/>
              <w:spacing w:after="0"/>
              <w:rPr>
                <w:sz w:val="20"/>
                <w:szCs w:val="20"/>
                <w:color w:val="auto"/>
              </w:rPr>
            </w:pPr>
            <w:r>
              <w:rPr>
                <w:rFonts w:ascii="Arial" w:cs="Arial" w:eastAsia="Arial" w:hAnsi="Arial"/>
                <w:sz w:val="18"/>
                <w:szCs w:val="18"/>
                <w:color w:val="auto"/>
              </w:rPr>
              <w:t>5,750,000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57,500,000</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5,790.25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18"/>
                <w:szCs w:val="18"/>
                <w:color w:val="auto"/>
              </w:rPr>
              <w:t>Shares of Common Stock, $0.001 par value,</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included as part of the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5,750,000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w w:val="87"/>
              </w:rPr>
              <w:t>—</w:t>
            </w:r>
            <w:r>
              <w:rPr>
                <w:rFonts w:ascii="Arial" w:cs="Arial" w:eastAsia="Arial" w:hAnsi="Arial"/>
                <w:sz w:val="15"/>
                <w:szCs w:val="15"/>
                <w:color w:val="auto"/>
                <w:w w:val="87"/>
              </w:rPr>
              <w:t>(3)</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Arial" w:cs="Arial" w:eastAsia="Arial" w:hAnsi="Arial"/>
                <w:sz w:val="18"/>
                <w:szCs w:val="18"/>
                <w:color w:val="auto"/>
              </w:rPr>
              <w:t>Warrants included as part of the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5,750,000</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w w:val="87"/>
              </w:rPr>
              <w:t>—</w:t>
            </w:r>
            <w:r>
              <w:rPr>
                <w:rFonts w:ascii="Arial" w:cs="Arial" w:eastAsia="Arial" w:hAnsi="Arial"/>
                <w:sz w:val="15"/>
                <w:szCs w:val="15"/>
                <w:color w:val="auto"/>
                <w:w w:val="87"/>
              </w:rPr>
              <w:t>(3)</w:t>
            </w: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18"/>
                <w:szCs w:val="18"/>
                <w:color w:val="auto"/>
              </w:rPr>
              <w:t>Shares of Common Stock, $0.001 par value,</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w w:val="98"/>
              </w:rPr>
              <w:t>underlying the Warrants included as part of the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Units</w:t>
            </w:r>
          </w:p>
        </w:tc>
        <w:tc>
          <w:tcPr>
            <w:tcW w:w="1000" w:type="dxa"/>
            <w:vAlign w:val="bottom"/>
          </w:tcPr>
          <w:p>
            <w:pPr>
              <w:jc w:val="right"/>
              <w:spacing w:after="0"/>
              <w:rPr>
                <w:sz w:val="20"/>
                <w:szCs w:val="20"/>
                <w:color w:val="auto"/>
              </w:rPr>
            </w:pPr>
            <w:r>
              <w:rPr>
                <w:rFonts w:ascii="Arial" w:cs="Arial" w:eastAsia="Arial" w:hAnsi="Arial"/>
                <w:sz w:val="18"/>
                <w:szCs w:val="18"/>
                <w:color w:val="auto"/>
              </w:rPr>
              <w:t>5,750,000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69,000,000</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6,948.30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Arial" w:cs="Arial" w:eastAsia="Arial" w:hAnsi="Arial"/>
                <w:sz w:val="18"/>
                <w:szCs w:val="18"/>
                <w:color w:val="auto"/>
              </w:rPr>
              <w:t>Representative’s Unit Purchase Option</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18"/>
                <w:szCs w:val="18"/>
                <w:color w:val="auto"/>
              </w:rPr>
              <w:t>Units underlying the Representative’s Unit</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Purchase Option (“Representative’s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6,000,000</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604.20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18"/>
                <w:szCs w:val="18"/>
                <w:color w:val="auto"/>
              </w:rPr>
              <w:t>Shares of Common Stock, $0.001 par value,</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included as part of the Representative’s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w w:val="87"/>
              </w:rPr>
              <w:t>—</w:t>
            </w:r>
            <w:r>
              <w:rPr>
                <w:rFonts w:ascii="Arial" w:cs="Arial" w:eastAsia="Arial" w:hAnsi="Arial"/>
                <w:sz w:val="15"/>
                <w:szCs w:val="15"/>
                <w:color w:val="auto"/>
                <w:w w:val="87"/>
              </w:rPr>
              <w:t>(3)</w:t>
            </w: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18"/>
                <w:szCs w:val="18"/>
                <w:color w:val="auto"/>
                <w:w w:val="97"/>
              </w:rPr>
              <w:t>Warrants included as part of the Representative’s</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Units</w:t>
            </w:r>
          </w:p>
        </w:tc>
        <w:tc>
          <w:tcPr>
            <w:tcW w:w="100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w w:val="87"/>
              </w:rPr>
              <w:t>—</w:t>
            </w:r>
            <w:r>
              <w:rPr>
                <w:rFonts w:ascii="Arial" w:cs="Arial" w:eastAsia="Arial" w:hAnsi="Arial"/>
                <w:sz w:val="15"/>
                <w:szCs w:val="15"/>
                <w:color w:val="auto"/>
                <w:w w:val="87"/>
              </w:rPr>
              <w:t>(3)</w:t>
            </w: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18"/>
                <w:szCs w:val="18"/>
                <w:color w:val="auto"/>
              </w:rPr>
              <w:t>Shares of Common Stock, 0.001 par value,</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underlying Warrants included as part of</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Representative’s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6,000,000</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604.20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8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8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138,500,100</w:t>
            </w:r>
          </w:p>
        </w:tc>
        <w:tc>
          <w:tcPr>
            <w:tcW w:w="1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13,946.96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8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-3823970</wp:posOffset>
            </wp:positionV>
            <wp:extent cx="5145405" cy="3670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3670300"/>
                    </a:xfrm>
                    <a:prstGeom prst="rect">
                      <a:avLst/>
                    </a:prstGeom>
                    <a:noFill/>
                  </pic:spPr>
                </pic:pic>
              </a:graphicData>
            </a:graphic>
          </wp:anchor>
        </w:drawing>
      </w:r>
    </w:p>
    <w:p>
      <w:pPr>
        <w:ind w:left="780" w:right="459" w:hanging="318"/>
        <w:spacing w:after="0" w:line="250" w:lineRule="auto"/>
        <w:tabs>
          <w:tab w:leader="none" w:pos="871"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 under the Securities Act.</w:t>
      </w:r>
    </w:p>
    <w:p>
      <w:pPr>
        <w:ind w:left="780" w:right="459" w:hanging="318"/>
        <w:spacing w:after="0" w:line="250" w:lineRule="auto"/>
        <w:tabs>
          <w:tab w:leader="none" w:pos="808"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Units and shares of Common Stock and Warrants underlying such Units which may be issued on exercise of a 45-day option granted to the Underwriters to cover over-allotments, if any.</w:t>
      </w:r>
    </w:p>
    <w:p>
      <w:pPr>
        <w:ind w:left="800" w:hanging="338"/>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w:t>
      </w:r>
    </w:p>
    <w:p>
      <w:pPr>
        <w:spacing w:after="0" w:line="180" w:lineRule="exact"/>
        <w:rPr>
          <w:sz w:val="20"/>
          <w:szCs w:val="20"/>
          <w:color w:val="auto"/>
        </w:rPr>
      </w:pPr>
    </w:p>
    <w:p>
      <w:pPr>
        <w:jc w:val="both"/>
        <w:ind w:left="460" w:right="459"/>
        <w:spacing w:after="0" w:line="298"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109855</wp:posOffset>
            </wp:positionV>
            <wp:extent cx="514540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152400</wp:posOffset>
            </wp:positionV>
            <wp:extent cx="514540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426720</wp:posOffset>
            </wp:positionV>
            <wp:extent cx="5145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both"/>
        <w:ind w:left="460" w:right="459"/>
        <w:spacing w:after="0" w:line="355" w:lineRule="auto"/>
        <w:rPr>
          <w:sz w:val="20"/>
          <w:szCs w:val="20"/>
          <w:color w:val="auto"/>
        </w:rPr>
      </w:pPr>
      <w:r>
        <w:rPr>
          <w:rFonts w:ascii="Arial" w:cs="Arial" w:eastAsia="Arial" w:hAnsi="Arial"/>
          <w:sz w:val="14"/>
          <w:szCs w:val="14"/>
          <w:color w:val="D12229"/>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state where the offer or sale is not permitted.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SUBJECT TO COMPLETION DATED JULY 25, 2016</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$50,000,000</w:t>
      </w:r>
    </w:p>
    <w:p>
      <w:pPr>
        <w:jc w:val="center"/>
        <w:spacing w:after="0" w:line="180" w:lineRule="auto"/>
        <w:rPr>
          <w:sz w:val="20"/>
          <w:szCs w:val="20"/>
          <w:color w:val="auto"/>
        </w:rPr>
      </w:pPr>
      <w:r>
        <w:rPr>
          <w:rFonts w:ascii="Arial" w:cs="Arial" w:eastAsia="Arial" w:hAnsi="Arial"/>
          <w:sz w:val="25"/>
          <w:szCs w:val="25"/>
          <w:b w:val="1"/>
          <w:bCs w:val="1"/>
          <w:color w:val="auto"/>
        </w:rPr>
        <w:t>M I Acquisitions, Inc.</w:t>
      </w:r>
    </w:p>
    <w:p>
      <w:pPr>
        <w:jc w:val="center"/>
        <w:spacing w:after="0"/>
        <w:rPr>
          <w:sz w:val="20"/>
          <w:szCs w:val="20"/>
          <w:color w:val="auto"/>
        </w:rPr>
      </w:pPr>
      <w:r>
        <w:rPr>
          <w:rFonts w:ascii="Arial" w:cs="Arial" w:eastAsia="Arial" w:hAnsi="Arial"/>
          <w:sz w:val="25"/>
          <w:szCs w:val="25"/>
          <w:b w:val="1"/>
          <w:bCs w:val="1"/>
          <w:color w:val="auto"/>
        </w:rPr>
        <w:t>5,000,000 Units</w:t>
      </w:r>
    </w:p>
    <w:p>
      <w:pPr>
        <w:spacing w:after="0" w:line="40" w:lineRule="exact"/>
        <w:rPr>
          <w:sz w:val="20"/>
          <w:szCs w:val="20"/>
          <w:color w:val="auto"/>
        </w:rPr>
      </w:pPr>
    </w:p>
    <w:p>
      <w:pPr>
        <w:jc w:val="both"/>
        <w:ind w:left="460" w:right="459"/>
        <w:spacing w:after="0" w:line="364" w:lineRule="auto"/>
        <w:rPr>
          <w:sz w:val="20"/>
          <w:szCs w:val="20"/>
          <w:color w:val="auto"/>
        </w:rPr>
      </w:pPr>
      <w:r>
        <w:rPr>
          <w:rFonts w:ascii="Arial" w:cs="Arial" w:eastAsia="Arial" w:hAnsi="Arial"/>
          <w:sz w:val="13"/>
          <w:szCs w:val="13"/>
          <w:color w:val="auto"/>
        </w:rPr>
        <w:t>M I Acquisitions, Inc. is a blank check company formed for the purpose of entering into a merger, share exchange, asset acquisition, stock purchase, recapitalization, reorganization or other similar business combination with one or more businesses or entities. Our efforts to identify a target business will not be limited to a particular industry or geographic region, although we intend to focus our efforts on seeking a business combination with a company or companies operating in the technology, media and telecommunications industries.</w:t>
      </w:r>
    </w:p>
    <w:p>
      <w:pPr>
        <w:spacing w:after="0" w:line="11" w:lineRule="exact"/>
        <w:rPr>
          <w:sz w:val="20"/>
          <w:szCs w:val="20"/>
          <w:color w:val="auto"/>
        </w:rPr>
      </w:pPr>
    </w:p>
    <w:p>
      <w:pPr>
        <w:jc w:val="both"/>
        <w:ind w:left="460" w:right="459"/>
        <w:spacing w:after="0" w:line="351" w:lineRule="auto"/>
        <w:rPr>
          <w:sz w:val="20"/>
          <w:szCs w:val="20"/>
          <w:color w:val="auto"/>
        </w:rPr>
      </w:pPr>
      <w:r>
        <w:rPr>
          <w:rFonts w:ascii="Arial" w:cs="Arial" w:eastAsia="Arial" w:hAnsi="Arial"/>
          <w:sz w:val="13"/>
          <w:szCs w:val="13"/>
          <w:color w:val="auto"/>
        </w:rPr>
        <w:t>This is an initial public offering of our securities. Each unit that we are offering has a price of $10.00 and consists of one share of common stock and one warrant. Each warrant entitles the holder thereof to purchase one share of our common stock. The warrants are exercisable at a price of $12.00 per share of common stock, subject to adjustment as described in this prospectus. The warrants will become exercisable on the later of 30 days after the completion of our initial business combination and 12 months from the closing of this offering, and will expire five years after the completion of our initial business combination or earlier upon redemption or liquidation, as described in this prospectus. We refer to the warrants included in the units as “warrants” or the “public warrants.” If we are unable to consummate a business combination within 18 months from the closing of this offering, or 21 months from the closing of this offering if we have entered into a letter of intent or definitive agreement with a target business for a business combination within 18 months from the closing of this offering and such business combination has not yet been consummated within such 18-month period, we will redeem 100% of the public shares using the funds in the trust account described below. In such event, the public warrants will expire and be worthless. We have also granted Chardan Capital Markets, LLC, the representative of the underwriters, a 45-day option to purchase up to 750,000 units (over and above the 5,000,000 units referred to above) solely to cover over-allotments, if any.</w:t>
      </w:r>
    </w:p>
    <w:p>
      <w:pPr>
        <w:spacing w:after="0" w:line="23" w:lineRule="exact"/>
        <w:rPr>
          <w:sz w:val="20"/>
          <w:szCs w:val="20"/>
          <w:color w:val="auto"/>
        </w:rPr>
      </w:pPr>
    </w:p>
    <w:p>
      <w:pPr>
        <w:jc w:val="both"/>
        <w:ind w:left="460" w:right="459"/>
        <w:spacing w:after="0" w:line="326" w:lineRule="auto"/>
        <w:rPr>
          <w:sz w:val="20"/>
          <w:szCs w:val="20"/>
          <w:color w:val="auto"/>
        </w:rPr>
      </w:pPr>
      <w:r>
        <w:rPr>
          <w:rFonts w:ascii="Arial" w:cs="Arial" w:eastAsia="Arial" w:hAnsi="Arial"/>
          <w:sz w:val="14"/>
          <w:szCs w:val="14"/>
          <w:color w:val="auto"/>
        </w:rPr>
        <w:t>Our insiders (and/or their designees) have committed to purchase from us an aggregate of 402,500 units, or “private units,” at $10.00 per unit, (for a total purchase price of $4,025,000). These purchases will take place on a private placement basis simultaneously with the consummation of this offering. Our insiders have also agreed that if the over-allotment option is exercised by the underwriters in full or in part, they or their designee will purchase from us at a price of $10.00 per unit the number of private units (up to a maximum of 45,000 private units) that is necessary to maintain in the trust account described below an amount equal to $10.30 per share of common stock sold to the public in this offering. These additional private units will be purchased in a private placement that will occur simultaneously with the purchase of units resulting from the exercise of the over-allotment option. All of the proceeds we receive from these purchases will be placed in the trust account.</w:t>
      </w:r>
    </w:p>
    <w:p>
      <w:pPr>
        <w:spacing w:after="0" w:line="33" w:lineRule="exact"/>
        <w:rPr>
          <w:sz w:val="20"/>
          <w:szCs w:val="20"/>
          <w:color w:val="auto"/>
        </w:rPr>
      </w:pPr>
    </w:p>
    <w:p>
      <w:pPr>
        <w:jc w:val="both"/>
        <w:ind w:left="460" w:right="459"/>
        <w:spacing w:after="0" w:line="365" w:lineRule="auto"/>
        <w:rPr>
          <w:sz w:val="20"/>
          <w:szCs w:val="20"/>
          <w:color w:val="auto"/>
        </w:rPr>
      </w:pPr>
      <w:r>
        <w:rPr>
          <w:rFonts w:ascii="Arial" w:cs="Arial" w:eastAsia="Arial" w:hAnsi="Arial"/>
          <w:sz w:val="13"/>
          <w:szCs w:val="13"/>
          <w:color w:val="auto"/>
        </w:rPr>
        <w:t>There is presently no public market for our units, shares of common stock or warrants. We have applied to have our units listed on the Nasdaq Capital Market, or Nasdaq, under the symbol “MACQU”. We cannot guarantee that our securities will be approved for listing on</w:t>
      </w:r>
    </w:p>
    <w:p>
      <w:pPr>
        <w:spacing w:after="0" w:line="1" w:lineRule="exact"/>
        <w:rPr>
          <w:sz w:val="20"/>
          <w:szCs w:val="20"/>
          <w:color w:val="auto"/>
        </w:rPr>
      </w:pPr>
    </w:p>
    <w:p>
      <w:pPr>
        <w:jc w:val="both"/>
        <w:ind w:left="460" w:right="459"/>
        <w:spacing w:after="0" w:line="327" w:lineRule="auto"/>
        <w:rPr>
          <w:sz w:val="20"/>
          <w:szCs w:val="20"/>
          <w:color w:val="auto"/>
        </w:rPr>
      </w:pPr>
      <w:r>
        <w:rPr>
          <w:rFonts w:ascii="Arial" w:cs="Arial" w:eastAsia="Arial" w:hAnsi="Arial"/>
          <w:sz w:val="13"/>
          <w:szCs w:val="13"/>
          <w:color w:val="auto"/>
        </w:rPr>
        <w:t>Nasdaq. The common stock and warrants comprising the units will begin separate trading on the 90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following the date of this prospectus unless Chardan Capital Markets, LLC informs us of its decision to allow separate earlier trading, subject to our filing a Report on Form 8-K with the Securities and Exchange Commission containing an audited balance sheet reflecting our receipt of the gross proceeds of this offering and issuing a press release announcing when such separate trading will begin. Once the securities comprising the units begin separate trading as described in this prospectus, the common stock and warrants will be traded on Nasdaq under the symbols “MACQ” and “MACQW,” respectively. We cannot assure you that our securities will continue to be listed on Nasdaq after this offering.</w:t>
      </w:r>
    </w:p>
    <w:p>
      <w:pPr>
        <w:spacing w:after="0" w:line="34" w:lineRule="exact"/>
        <w:rPr>
          <w:sz w:val="20"/>
          <w:szCs w:val="20"/>
          <w:color w:val="auto"/>
        </w:rPr>
      </w:pPr>
    </w:p>
    <w:p>
      <w:pPr>
        <w:jc w:val="both"/>
        <w:ind w:left="460" w:right="459"/>
        <w:spacing w:after="0" w:line="353" w:lineRule="auto"/>
        <w:rPr>
          <w:sz w:val="20"/>
          <w:szCs w:val="20"/>
          <w:color w:val="auto"/>
        </w:rPr>
      </w:pPr>
      <w:r>
        <w:rPr>
          <w:rFonts w:ascii="Arial" w:cs="Arial" w:eastAsia="Arial" w:hAnsi="Arial"/>
          <w:sz w:val="14"/>
          <w:szCs w:val="14"/>
          <w:color w:val="auto"/>
        </w:rPr>
        <w:t>We qualify as an “emerging growth company” as defined in the Jumpstart Our Business Startups Act of 2012, and therefore will be subject to reduced reporting requirements.</w:t>
      </w:r>
    </w:p>
    <w:p>
      <w:pPr>
        <w:spacing w:after="0" w:line="9" w:lineRule="exact"/>
        <w:rPr>
          <w:sz w:val="20"/>
          <w:szCs w:val="20"/>
          <w:color w:val="auto"/>
        </w:rPr>
      </w:pPr>
    </w:p>
    <w:p>
      <w:pPr>
        <w:jc w:val="both"/>
        <w:ind w:left="460" w:right="459"/>
        <w:spacing w:after="0" w:line="340" w:lineRule="auto"/>
        <w:rPr>
          <w:sz w:val="20"/>
          <w:szCs w:val="20"/>
          <w:color w:val="auto"/>
        </w:rPr>
      </w:pPr>
      <w:r>
        <w:rPr>
          <w:rFonts w:ascii="Arial" w:cs="Arial" w:eastAsia="Arial" w:hAnsi="Arial"/>
          <w:sz w:val="14"/>
          <w:szCs w:val="14"/>
          <w:b w:val="1"/>
          <w:bCs w:val="1"/>
          <w:color w:val="auto"/>
        </w:rPr>
        <w:t>Investing in our securities involves a high degree of risk. See “Risks Factors” beginning on page 20 for a discussion of information that should be considered in connection with an investment in our securities. Investors will not be entitled to protections normally afforded to investors in Rule 419 blank check offerings.</w:t>
      </w:r>
    </w:p>
    <w:p>
      <w:pPr>
        <w:spacing w:after="0" w:line="18" w:lineRule="exact"/>
        <w:rPr>
          <w:sz w:val="20"/>
          <w:szCs w:val="20"/>
          <w:color w:val="auto"/>
        </w:rPr>
      </w:pPr>
    </w:p>
    <w:p>
      <w:pPr>
        <w:jc w:val="both"/>
        <w:ind w:left="460" w:right="459"/>
        <w:spacing w:after="0" w:line="405" w:lineRule="auto"/>
        <w:rPr>
          <w:sz w:val="20"/>
          <w:szCs w:val="20"/>
          <w:color w:val="auto"/>
        </w:rPr>
      </w:pPr>
      <w:r>
        <w:rPr>
          <w:rFonts w:ascii="Arial" w:cs="Arial" w:eastAsia="Arial" w:hAnsi="Arial"/>
          <w:sz w:val="13"/>
          <w:szCs w:val="13"/>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7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Underwriting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w w:val="84"/>
              </w:rPr>
              <w:t>Discounts and</w:t>
            </w:r>
          </w:p>
        </w:tc>
        <w:tc>
          <w:tcPr>
            <w:tcW w:w="140" w:type="dxa"/>
            <w:vAlign w:val="bottom"/>
          </w:tcPr>
          <w:p>
            <w:pPr>
              <w:spacing w:after="0"/>
              <w:rPr>
                <w:sz w:val="14"/>
                <w:szCs w:val="14"/>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85"/>
              </w:rPr>
              <w:t>Proceeds, Before</w:t>
            </w:r>
          </w:p>
        </w:tc>
        <w:tc>
          <w:tcPr>
            <w:tcW w:w="0" w:type="dxa"/>
            <w:vAlign w:val="bottom"/>
          </w:tcPr>
          <w:p>
            <w:pPr>
              <w:spacing w:after="0"/>
              <w:rPr>
                <w:sz w:val="1"/>
                <w:szCs w:val="1"/>
                <w:color w:val="auto"/>
              </w:rPr>
            </w:pPr>
          </w:p>
        </w:tc>
      </w:tr>
      <w:tr>
        <w:trPr>
          <w:trHeight w:val="176"/>
        </w:trPr>
        <w:tc>
          <w:tcPr>
            <w:tcW w:w="2740" w:type="dxa"/>
            <w:vAlign w:val="bottom"/>
            <w:vMerge w:val="restart"/>
          </w:tcPr>
          <w:p>
            <w:pPr>
              <w:spacing w:after="0"/>
              <w:rPr>
                <w:sz w:val="20"/>
                <w:szCs w:val="20"/>
                <w:color w:val="auto"/>
              </w:rPr>
            </w:pPr>
            <w:r>
              <w:rPr>
                <w:rFonts w:ascii="Arial" w:cs="Arial" w:eastAsia="Arial" w:hAnsi="Arial"/>
                <w:sz w:val="18"/>
                <w:szCs w:val="18"/>
                <w:color w:val="auto"/>
              </w:rPr>
              <w:t>Per Unit</w:t>
            </w:r>
          </w:p>
        </w:tc>
        <w:tc>
          <w:tcPr>
            <w:tcW w:w="1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6"/>
              </w:rPr>
              <w:t>Price to Public</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9"/>
              <w:spacing w:after="0" w:line="176" w:lineRule="exact"/>
              <w:rPr>
                <w:sz w:val="20"/>
                <w:szCs w:val="20"/>
                <w:color w:val="auto"/>
              </w:rPr>
            </w:pPr>
            <w:r>
              <w:rPr>
                <w:rFonts w:ascii="Arial" w:cs="Arial" w:eastAsia="Arial" w:hAnsi="Arial"/>
                <w:sz w:val="13"/>
                <w:szCs w:val="13"/>
                <w:b w:val="1"/>
                <w:bCs w:val="1"/>
                <w:color w:val="auto"/>
                <w:w w:val="86"/>
              </w:rPr>
              <w:t>Commissions</w:t>
            </w:r>
            <w:r>
              <w:rPr>
                <w:rFonts w:ascii="Arial" w:cs="Arial" w:eastAsia="Arial" w:hAnsi="Arial"/>
                <w:sz w:val="20"/>
                <w:szCs w:val="20"/>
                <w:b w:val="1"/>
                <w:bCs w:val="1"/>
                <w:color w:val="auto"/>
                <w:w w:val="86"/>
                <w:vertAlign w:val="superscript"/>
              </w:rPr>
              <w:t>(1)</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0"/>
              </w:rPr>
              <w:t>Expenses, to us</w:t>
            </w:r>
          </w:p>
        </w:tc>
        <w:tc>
          <w:tcPr>
            <w:tcW w:w="0" w:type="dxa"/>
            <w:vAlign w:val="bottom"/>
          </w:tcPr>
          <w:p>
            <w:pPr>
              <w:spacing w:after="0"/>
              <w:rPr>
                <w:sz w:val="1"/>
                <w:szCs w:val="1"/>
                <w:color w:val="auto"/>
              </w:rPr>
            </w:pPr>
          </w:p>
        </w:tc>
      </w:tr>
      <w:tr>
        <w:trPr>
          <w:trHeight w:val="46"/>
        </w:trPr>
        <w:tc>
          <w:tcPr>
            <w:tcW w:w="2740" w:type="dxa"/>
            <w:vAlign w:val="bottom"/>
            <w:vMerge w:val="continue"/>
          </w:tcPr>
          <w:p>
            <w:pPr>
              <w:spacing w:after="0"/>
              <w:rPr>
                <w:sz w:val="3"/>
                <w:szCs w:val="3"/>
                <w:color w:val="auto"/>
              </w:rPr>
            </w:pPr>
          </w:p>
        </w:tc>
        <w:tc>
          <w:tcPr>
            <w:tcW w:w="1860" w:type="dxa"/>
            <w:vAlign w:val="bottom"/>
          </w:tcPr>
          <w:p>
            <w:pPr>
              <w:spacing w:after="0"/>
              <w:rPr>
                <w:sz w:val="3"/>
                <w:szCs w:val="3"/>
                <w:color w:val="auto"/>
              </w:rPr>
            </w:pPr>
          </w:p>
        </w:tc>
        <w:tc>
          <w:tcPr>
            <w:tcW w:w="100" w:type="dxa"/>
            <w:vAlign w:val="bottom"/>
          </w:tcPr>
          <w:p>
            <w:pPr>
              <w:jc w:val="right"/>
              <w:spacing w:after="0" w:line="46" w:lineRule="exact"/>
              <w:rPr>
                <w:sz w:val="20"/>
                <w:szCs w:val="20"/>
                <w:color w:val="auto"/>
              </w:rPr>
            </w:pPr>
            <w:r>
              <w:rPr>
                <w:rFonts w:ascii="Arial" w:cs="Arial" w:eastAsia="Arial" w:hAnsi="Arial"/>
                <w:sz w:val="5"/>
                <w:szCs w:val="5"/>
                <w:color w:val="auto"/>
              </w:rPr>
              <w:t>$</w:t>
            </w:r>
          </w:p>
        </w:tc>
        <w:tc>
          <w:tcPr>
            <w:tcW w:w="960" w:type="dxa"/>
            <w:vAlign w:val="bottom"/>
          </w:tcPr>
          <w:p>
            <w:pPr>
              <w:jc w:val="right"/>
              <w:spacing w:after="0" w:line="46" w:lineRule="exact"/>
              <w:rPr>
                <w:sz w:val="20"/>
                <w:szCs w:val="20"/>
                <w:color w:val="auto"/>
              </w:rPr>
            </w:pPr>
            <w:r>
              <w:rPr>
                <w:rFonts w:ascii="Arial" w:cs="Arial" w:eastAsia="Arial" w:hAnsi="Arial"/>
                <w:sz w:val="5"/>
                <w:szCs w:val="5"/>
                <w:color w:val="auto"/>
              </w:rPr>
              <w:t>10.00</w:t>
            </w:r>
          </w:p>
        </w:tc>
        <w:tc>
          <w:tcPr>
            <w:tcW w:w="140" w:type="dxa"/>
            <w:vAlign w:val="bottom"/>
          </w:tcPr>
          <w:p>
            <w:pPr>
              <w:spacing w:after="0"/>
              <w:rPr>
                <w:sz w:val="3"/>
                <w:szCs w:val="3"/>
                <w:color w:val="auto"/>
              </w:rPr>
            </w:pPr>
          </w:p>
        </w:tc>
        <w:tc>
          <w:tcPr>
            <w:tcW w:w="100" w:type="dxa"/>
            <w:vAlign w:val="bottom"/>
          </w:tcPr>
          <w:p>
            <w:pPr>
              <w:jc w:val="right"/>
              <w:spacing w:after="0" w:line="46" w:lineRule="exact"/>
              <w:rPr>
                <w:sz w:val="20"/>
                <w:szCs w:val="20"/>
                <w:color w:val="auto"/>
              </w:rPr>
            </w:pPr>
            <w:r>
              <w:rPr>
                <w:rFonts w:ascii="Arial" w:cs="Arial" w:eastAsia="Arial" w:hAnsi="Arial"/>
                <w:sz w:val="5"/>
                <w:szCs w:val="5"/>
                <w:color w:val="auto"/>
              </w:rPr>
              <w:t>$</w:t>
            </w:r>
          </w:p>
        </w:tc>
        <w:tc>
          <w:tcPr>
            <w:tcW w:w="1000" w:type="dxa"/>
            <w:vAlign w:val="bottom"/>
          </w:tcPr>
          <w:p>
            <w:pPr>
              <w:jc w:val="right"/>
              <w:ind w:right="79"/>
              <w:spacing w:after="0" w:line="46" w:lineRule="exact"/>
              <w:rPr>
                <w:sz w:val="20"/>
                <w:szCs w:val="20"/>
                <w:color w:val="auto"/>
              </w:rPr>
            </w:pPr>
            <w:r>
              <w:rPr>
                <w:rFonts w:ascii="Arial" w:cs="Arial" w:eastAsia="Arial" w:hAnsi="Arial"/>
                <w:sz w:val="5"/>
                <w:szCs w:val="5"/>
                <w:color w:val="auto"/>
              </w:rPr>
              <w:t>0.50</w:t>
            </w:r>
          </w:p>
        </w:tc>
        <w:tc>
          <w:tcPr>
            <w:tcW w:w="140" w:type="dxa"/>
            <w:vAlign w:val="bottom"/>
          </w:tcPr>
          <w:p>
            <w:pPr>
              <w:spacing w:after="0"/>
              <w:rPr>
                <w:sz w:val="3"/>
                <w:szCs w:val="3"/>
                <w:color w:val="auto"/>
              </w:rPr>
            </w:pPr>
          </w:p>
        </w:tc>
        <w:tc>
          <w:tcPr>
            <w:tcW w:w="80" w:type="dxa"/>
            <w:vAlign w:val="bottom"/>
          </w:tcPr>
          <w:p>
            <w:pPr>
              <w:jc w:val="right"/>
              <w:spacing w:after="0" w:line="46" w:lineRule="exact"/>
              <w:rPr>
                <w:sz w:val="20"/>
                <w:szCs w:val="20"/>
                <w:color w:val="auto"/>
              </w:rPr>
            </w:pPr>
            <w:r>
              <w:rPr>
                <w:rFonts w:ascii="Arial" w:cs="Arial" w:eastAsia="Arial" w:hAnsi="Arial"/>
                <w:sz w:val="5"/>
                <w:szCs w:val="5"/>
                <w:color w:val="auto"/>
              </w:rPr>
              <w:t>$</w:t>
            </w:r>
          </w:p>
        </w:tc>
        <w:tc>
          <w:tcPr>
            <w:tcW w:w="1000" w:type="dxa"/>
            <w:vAlign w:val="bottom"/>
          </w:tcPr>
          <w:p>
            <w:pPr>
              <w:jc w:val="right"/>
              <w:spacing w:after="0" w:line="46" w:lineRule="exact"/>
              <w:rPr>
                <w:sz w:val="20"/>
                <w:szCs w:val="20"/>
                <w:color w:val="auto"/>
              </w:rPr>
            </w:pPr>
            <w:r>
              <w:rPr>
                <w:rFonts w:ascii="Arial" w:cs="Arial" w:eastAsia="Arial" w:hAnsi="Arial"/>
                <w:sz w:val="5"/>
                <w:szCs w:val="5"/>
                <w:color w:val="auto"/>
              </w:rPr>
              <w:t>9.50</w:t>
            </w:r>
          </w:p>
        </w:tc>
        <w:tc>
          <w:tcPr>
            <w:tcW w:w="0" w:type="dxa"/>
            <w:vAlign w:val="bottom"/>
          </w:tcPr>
          <w:p>
            <w:pPr>
              <w:spacing w:after="0"/>
              <w:rPr>
                <w:sz w:val="1"/>
                <w:szCs w:val="1"/>
                <w:color w:val="auto"/>
              </w:rPr>
            </w:pPr>
          </w:p>
        </w:tc>
      </w:tr>
      <w:tr>
        <w:trPr>
          <w:trHeight w:val="136"/>
        </w:trPr>
        <w:tc>
          <w:tcPr>
            <w:tcW w:w="27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740" w:type="dxa"/>
            <w:vAlign w:val="bottom"/>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9"/>
              <w:spacing w:after="0"/>
              <w:rPr>
                <w:sz w:val="20"/>
                <w:szCs w:val="20"/>
                <w:color w:val="auto"/>
              </w:rPr>
            </w:pPr>
            <w:r>
              <w:rPr>
                <w:rFonts w:ascii="Arial" w:cs="Arial" w:eastAsia="Arial" w:hAnsi="Arial"/>
                <w:sz w:val="18"/>
                <w:szCs w:val="18"/>
                <w:color w:val="auto"/>
              </w:rPr>
              <w:t>2,500,000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47,500,000</w:t>
            </w:r>
          </w:p>
        </w:tc>
        <w:tc>
          <w:tcPr>
            <w:tcW w:w="0" w:type="dxa"/>
            <w:vAlign w:val="bottom"/>
          </w:tcPr>
          <w:p>
            <w:pPr>
              <w:spacing w:after="0"/>
              <w:rPr>
                <w:sz w:val="1"/>
                <w:szCs w:val="1"/>
                <w:color w:val="auto"/>
              </w:rPr>
            </w:pPr>
          </w:p>
        </w:tc>
      </w:tr>
      <w:tr>
        <w:trPr>
          <w:trHeight w:val="204"/>
        </w:trPr>
        <w:tc>
          <w:tcPr>
            <w:tcW w:w="2740" w:type="dxa"/>
            <w:vAlign w:val="bottom"/>
          </w:tcPr>
          <w:p>
            <w:pPr>
              <w:spacing w:after="0"/>
              <w:rPr>
                <w:sz w:val="20"/>
                <w:szCs w:val="20"/>
                <w:color w:val="auto"/>
              </w:rPr>
            </w:pPr>
            <w:r>
              <w:rPr>
                <w:rFonts w:ascii="Arial" w:cs="Arial" w:eastAsia="Arial" w:hAnsi="Arial"/>
                <w:sz w:val="14"/>
                <w:szCs w:val="14"/>
                <w:color w:val="auto"/>
              </w:rPr>
              <w:t>____________</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780" w:right="459" w:hanging="318"/>
        <w:spacing w:after="0" w:line="271" w:lineRule="auto"/>
        <w:tabs>
          <w:tab w:leader="none" w:pos="745" w:val="left"/>
        </w:tabs>
        <w:numPr>
          <w:ilvl w:val="0"/>
          <w:numId w:val="2"/>
        </w:numPr>
        <w:rPr>
          <w:rFonts w:ascii="Arial" w:cs="Arial" w:eastAsia="Arial" w:hAnsi="Arial"/>
          <w:sz w:val="14"/>
          <w:szCs w:val="14"/>
          <w:color w:val="auto"/>
        </w:rPr>
      </w:pPr>
      <w:r>
        <w:rPr>
          <w:rFonts w:ascii="Arial" w:cs="Arial" w:eastAsia="Arial" w:hAnsi="Arial"/>
          <w:sz w:val="14"/>
          <w:szCs w:val="14"/>
          <w:color w:val="auto"/>
        </w:rPr>
        <w:t>Please see the section titled “Underwriting” for further information relating to the underwriting arrangements agreed to between us and the underwriters.</w:t>
      </w:r>
    </w:p>
    <w:p>
      <w:pPr>
        <w:spacing w:after="0" w:line="1" w:lineRule="exact"/>
        <w:rPr>
          <w:rFonts w:ascii="Arial" w:cs="Arial" w:eastAsia="Arial" w:hAnsi="Arial"/>
          <w:sz w:val="14"/>
          <w:szCs w:val="14"/>
          <w:color w:val="auto"/>
        </w:rPr>
      </w:pPr>
    </w:p>
    <w:p>
      <w:pPr>
        <w:jc w:val="both"/>
        <w:ind w:left="780" w:right="459" w:hanging="318"/>
        <w:spacing w:after="0" w:line="360" w:lineRule="auto"/>
        <w:tabs>
          <w:tab w:leader="none" w:pos="758"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$1,000,000, or $0.20 per unit, equal to 2.0% of the gross proceeds of this offering (or $1,150,000 if the underwriters’ over-allotment option is exercised in full) payable to the underwriters as deferred underwriting discounts and commissions from the funds to be placed in the trust account described below. Such funds will be released to the underwriters only upon consummation of an initial business combination, as described in this prospectus. If the business combination is not consummated, such deferred discount will be forfeited by the underwriters. The underwriters will not be entitled to any interest accrued on the deferred underwriting discount.</w:t>
      </w:r>
    </w:p>
    <w:p>
      <w:pPr>
        <w:spacing w:after="0" w:line="13" w:lineRule="exact"/>
        <w:rPr>
          <w:sz w:val="20"/>
          <w:szCs w:val="20"/>
          <w:color w:val="auto"/>
        </w:rPr>
      </w:pPr>
    </w:p>
    <w:p>
      <w:pPr>
        <w:jc w:val="both"/>
        <w:ind w:left="460" w:right="459"/>
        <w:spacing w:after="0" w:line="327" w:lineRule="auto"/>
        <w:rPr>
          <w:sz w:val="20"/>
          <w:szCs w:val="20"/>
          <w:color w:val="auto"/>
        </w:rPr>
      </w:pPr>
      <w:r>
        <w:rPr>
          <w:rFonts w:ascii="Arial" w:cs="Arial" w:eastAsia="Arial" w:hAnsi="Arial"/>
          <w:sz w:val="14"/>
          <w:szCs w:val="14"/>
          <w:color w:val="auto"/>
        </w:rPr>
        <w:t>Upon consummation of the offering, $10.30 per unit sold to the public in this offering (whether or not the underwriters’ over-allotment option has been exercised in full or part) will be deposited into a United States-based trust account at Morgan Stanley Bank, N.A., maintained by Continental Stock Transfer &amp; Trust Company, acting as trustee. Such amount includes $1,000,000, or $0.20 per unit, (or $1,150,000 if the underwriters’ over-allotment option is exercised in full) payable to the underwriters as deferred underwriting discounts and commissions. Except as described in this prospectus, these funds will not be released until the earlier of the completion of our initial business combination and our redemption of the shares of common stock sold in this offering upon our failure to consummate a business combination within the required period.</w:t>
      </w:r>
    </w:p>
    <w:p>
      <w:pPr>
        <w:spacing w:after="0" w:line="31" w:lineRule="exact"/>
        <w:rPr>
          <w:sz w:val="20"/>
          <w:szCs w:val="20"/>
          <w:color w:val="auto"/>
        </w:rPr>
      </w:pPr>
    </w:p>
    <w:p>
      <w:pPr>
        <w:ind w:left="460" w:right="459"/>
        <w:spacing w:after="0" w:line="353" w:lineRule="auto"/>
        <w:rPr>
          <w:sz w:val="20"/>
          <w:szCs w:val="20"/>
          <w:color w:val="auto"/>
        </w:rPr>
      </w:pPr>
      <w:r>
        <w:rPr>
          <w:rFonts w:ascii="Arial" w:cs="Arial" w:eastAsia="Arial" w:hAnsi="Arial"/>
          <w:sz w:val="14"/>
          <w:szCs w:val="14"/>
          <w:color w:val="auto"/>
        </w:rPr>
        <w:t>The underwriters are offering the units on a firm commitment basis. Chardan Capital Markets, LLC, acting as the representative of the underwriters, expects to deliver the units to purchasers on or about , 2015.</w:t>
      </w:r>
    </w:p>
    <w:p>
      <w:pPr>
        <w:sectPr>
          <w:pgSz w:w="11900" w:h="16838" w:orient="portrait"/>
          <w:cols w:equalWidth="0" w:num="1">
            <w:col w:w="9019"/>
          </w:cols>
          <w:pgMar w:left="1440" w:top="319" w:right="1440" w:bottom="0" w:gutter="0" w:footer="0" w:header="0"/>
        </w:sectPr>
      </w:pP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Sole Book-Running Manager</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Co-Manager</w:t>
      </w:r>
    </w:p>
    <w:p>
      <w:pPr>
        <w:spacing w:after="0" w:line="22" w:lineRule="exact"/>
        <w:rPr>
          <w:sz w:val="20"/>
          <w:szCs w:val="20"/>
          <w:color w:val="auto"/>
        </w:rPr>
      </w:pPr>
    </w:p>
    <w:p>
      <w:pPr>
        <w:sectPr>
          <w:pgSz w:w="11900" w:h="16838" w:orient="portrait"/>
          <w:cols w:equalWidth="0" w:num="2">
            <w:col w:w="6900" w:space="720"/>
            <w:col w:w="1399"/>
          </w:cols>
          <w:pgMar w:left="1440" w:top="319" w:right="1440" w:bottom="0" w:gutter="0" w:footer="0" w:header="0"/>
          <w:type w:val="continuous"/>
        </w:sectPr>
      </w:pPr>
    </w:p>
    <w:p>
      <w:pPr>
        <w:ind w:left="460"/>
        <w:spacing w:after="0"/>
        <w:rPr>
          <w:sz w:val="20"/>
          <w:szCs w:val="20"/>
          <w:color w:val="auto"/>
        </w:rPr>
      </w:pPr>
      <w:r>
        <w:rPr>
          <w:rFonts w:ascii="Arial" w:cs="Arial" w:eastAsia="Arial" w:hAnsi="Arial"/>
          <w:sz w:val="24"/>
          <w:szCs w:val="24"/>
          <w:b w:val="1"/>
          <w:bCs w:val="1"/>
          <w:color w:val="auto"/>
        </w:rPr>
        <w:t>Chardan Capital Markets,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Maxim Group LLC</w:t>
      </w:r>
    </w:p>
    <w:p>
      <w:pPr>
        <w:sectPr>
          <w:pgSz w:w="11900" w:h="16838" w:orient="portrait"/>
          <w:cols w:equalWidth="0" w:num="2">
            <w:col w:w="5720" w:space="720"/>
            <w:col w:w="2579"/>
          </w:cols>
          <w:pgMar w:left="1440" w:top="319" w:right="1440" w:bottom="0" w:gutter="0" w:footer="0" w:header="0"/>
          <w:type w:val="continuous"/>
        </w:sectPr>
      </w:pPr>
    </w:p>
    <w:bookmarkStart w:id="3" w:name="page4"/>
    <w:bookmarkEnd w:id="3"/>
    <w:p>
      <w:pPr>
        <w:ind w:left="3560"/>
        <w:spacing w:after="0"/>
        <w:rPr>
          <w:sz w:val="20"/>
          <w:szCs w:val="20"/>
          <w:color w:val="auto"/>
        </w:rPr>
      </w:pPr>
      <w:r>
        <w:rPr>
          <w:rFonts w:ascii="Arial" w:cs="Arial" w:eastAsia="Arial" w:hAnsi="Arial"/>
          <w:sz w:val="22"/>
          <w:szCs w:val="22"/>
          <w:b w:val="1"/>
          <w:bCs w:val="1"/>
          <w:color w:val="auto"/>
        </w:rPr>
        <w:t>__________,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266065</wp:posOffset>
            </wp:positionV>
            <wp:extent cx="5145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76"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jc w:val="center"/>
              <w:ind w:left="690"/>
              <w:spacing w:after="0"/>
              <w:rPr>
                <w:sz w:val="20"/>
                <w:szCs w:val="20"/>
                <w:color w:val="auto"/>
              </w:rPr>
            </w:pPr>
            <w:r>
              <w:rPr>
                <w:rFonts w:ascii="Arial" w:cs="Arial" w:eastAsia="Arial" w:hAnsi="Arial"/>
                <w:sz w:val="16"/>
                <w:szCs w:val="16"/>
                <w:b w:val="1"/>
                <w:bCs w:val="1"/>
                <w:color w:val="auto"/>
                <w:w w:val="96"/>
              </w:rPr>
              <w:t>PAGE</w:t>
            </w:r>
          </w:p>
        </w:tc>
      </w:tr>
      <w:tr>
        <w:trPr>
          <w:trHeight w:val="195"/>
        </w:trPr>
        <w:tc>
          <w:tcPr>
            <w:tcW w:w="6680" w:type="dxa"/>
            <w:vAlign w:val="bottom"/>
            <w:gridSpan w:val="22"/>
          </w:tcPr>
          <w:p>
            <w:pPr>
              <w:spacing w:after="0" w:line="195" w:lineRule="exact"/>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1220" w:type="dxa"/>
            <w:vAlign w:val="bottom"/>
          </w:tcPr>
          <w:p>
            <w:pPr>
              <w:jc w:val="center"/>
              <w:ind w:left="690"/>
              <w:spacing w:after="0" w:line="195" w:lineRule="exact"/>
              <w:rPr>
                <w:sz w:val="20"/>
                <w:szCs w:val="20"/>
                <w:color w:val="auto"/>
              </w:rPr>
            </w:pPr>
            <w:r>
              <w:rPr>
                <w:rFonts w:ascii="Arial" w:cs="Arial" w:eastAsia="Arial" w:hAnsi="Arial"/>
                <w:sz w:val="18"/>
                <w:szCs w:val="18"/>
                <w:color w:val="auto"/>
                <w:w w:val="79"/>
              </w:rPr>
              <w:t>1</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SUMMARY FINANCIAL DATA</w:t>
              </w:r>
            </w:hyperlink>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19</w:t>
            </w:r>
          </w:p>
        </w:tc>
      </w:tr>
      <w:tr>
        <w:trPr>
          <w:trHeight w:val="237"/>
        </w:trPr>
        <w:tc>
          <w:tcPr>
            <w:tcW w:w="12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w:anchor="page25">
              <w:r>
                <w:rPr>
                  <w:rFonts w:ascii="Arial" w:cs="Arial" w:eastAsia="Arial" w:hAnsi="Arial"/>
                  <w:sz w:val="18"/>
                  <w:szCs w:val="18"/>
                  <w:color w:val="0000EE"/>
                  <w:w w:val="93"/>
                </w:rPr>
                <w:t>RISK FACTORS</w:t>
              </w:r>
            </w:hyperlink>
          </w:p>
        </w:tc>
        <w:tc>
          <w:tcPr>
            <w:tcW w:w="1180" w:type="dxa"/>
            <w:vAlign w:val="bottom"/>
            <w:tcBorders>
              <w:top w:val="single" w:sz="8" w:color="0000EE"/>
            </w:tcBorders>
            <w:gridSpan w:val="12"/>
          </w:tcPr>
          <w:p>
            <w:pPr>
              <w:spacing w:after="0"/>
              <w:rPr>
                <w:sz w:val="20"/>
                <w:szCs w:val="20"/>
                <w:color w:val="auto"/>
              </w:rPr>
            </w:pPr>
          </w:p>
        </w:tc>
        <w:tc>
          <w:tcPr>
            <w:tcW w:w="4240" w:type="dxa"/>
            <w:vAlign w:val="bottom"/>
            <w:gridSpan w:val="6"/>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20</w:t>
            </w:r>
          </w:p>
        </w:tc>
      </w:tr>
      <w:tr>
        <w:trPr>
          <w:trHeight w:val="237"/>
        </w:trPr>
        <w:tc>
          <w:tcPr>
            <w:tcW w:w="5780" w:type="dxa"/>
            <w:vAlign w:val="bottom"/>
            <w:tcBorders>
              <w:bottom w:val="single" w:sz="8" w:color="0000EE"/>
            </w:tcBorders>
            <w:gridSpan w:val="21"/>
          </w:tcPr>
          <w:p>
            <w:pPr>
              <w:spacing w:after="0"/>
              <w:rPr>
                <w:rFonts w:ascii="Arial" w:cs="Arial" w:eastAsia="Arial" w:hAnsi="Arial"/>
                <w:sz w:val="18"/>
                <w:szCs w:val="18"/>
                <w:color w:val="0000EE"/>
                <w:w w:val="96"/>
              </w:rPr>
            </w:pPr>
            <w:hyperlink w:anchor="page42">
              <w:r>
                <w:rPr>
                  <w:rFonts w:ascii="Arial" w:cs="Arial" w:eastAsia="Arial" w:hAnsi="Arial"/>
                  <w:sz w:val="18"/>
                  <w:szCs w:val="18"/>
                  <w:color w:val="0000EE"/>
                  <w:w w:val="96"/>
                </w:rPr>
                <w:t>CAUTIONARY NOTE REGARDING FORWARD LOOKING STATEMENTS</w:t>
              </w:r>
            </w:hyperlink>
          </w:p>
        </w:tc>
        <w:tc>
          <w:tcPr>
            <w:tcW w:w="900" w:type="dxa"/>
            <w:vAlign w:val="bottom"/>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37</w:t>
            </w:r>
          </w:p>
        </w:tc>
      </w:tr>
      <w:tr>
        <w:trPr>
          <w:trHeight w:val="237"/>
        </w:trPr>
        <w:tc>
          <w:tcPr>
            <w:tcW w:w="160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USE OF PROCEEDS</w:t>
              </w:r>
            </w:hyperlink>
          </w:p>
        </w:tc>
        <w:tc>
          <w:tcPr>
            <w:tcW w:w="5080" w:type="dxa"/>
            <w:vAlign w:val="bottom"/>
            <w:gridSpan w:val="12"/>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38</w:t>
            </w:r>
          </w:p>
        </w:tc>
      </w:tr>
      <w:tr>
        <w:trPr>
          <w:trHeight w:val="237"/>
        </w:trPr>
        <w:tc>
          <w:tcPr>
            <w:tcW w:w="158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DIVIDEND POLICY</w:t>
              </w:r>
            </w:hyperlink>
          </w:p>
        </w:tc>
        <w:tc>
          <w:tcPr>
            <w:tcW w:w="5100" w:type="dxa"/>
            <w:vAlign w:val="bottom"/>
            <w:gridSpan w:val="13"/>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41</w:t>
            </w: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DILUTION</w:t>
              </w:r>
            </w:hyperlink>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42</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148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CAPITALIZATION</w:t>
              </w:r>
            </w:hyperlink>
          </w:p>
        </w:tc>
        <w:tc>
          <w:tcPr>
            <w:tcW w:w="5200" w:type="dxa"/>
            <w:vAlign w:val="bottom"/>
            <w:gridSpan w:val="14"/>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44</w:t>
            </w:r>
          </w:p>
        </w:tc>
      </w:tr>
      <w:tr>
        <w:trPr>
          <w:trHeight w:val="237"/>
        </w:trPr>
        <w:tc>
          <w:tcPr>
            <w:tcW w:w="6680" w:type="dxa"/>
            <w:vAlign w:val="bottom"/>
            <w:tcBorders>
              <w:bottom w:val="single" w:sz="8" w:color="0000EE"/>
            </w:tcBorders>
            <w:gridSpan w:val="22"/>
          </w:tcPr>
          <w:p>
            <w:pPr>
              <w:spacing w:after="0"/>
              <w:rPr>
                <w:rFonts w:ascii="Arial" w:cs="Arial" w:eastAsia="Arial" w:hAnsi="Arial"/>
                <w:sz w:val="18"/>
                <w:szCs w:val="18"/>
                <w:color w:val="0000EE"/>
                <w:w w:val="98"/>
              </w:rPr>
            </w:pPr>
            <w:hyperlink w:anchor="page50">
              <w:r>
                <w:rPr>
                  <w:rFonts w:ascii="Arial" w:cs="Arial" w:eastAsia="Arial" w:hAnsi="Arial"/>
                  <w:sz w:val="18"/>
                  <w:szCs w:val="18"/>
                  <w:color w:val="0000EE"/>
                  <w:w w:val="98"/>
                </w:rPr>
                <w:t>MANAGEMENT’S DISCUSSION AND ANALYSIS OF FINANCIAL CONDITION AND</w:t>
              </w:r>
            </w:hyperlink>
          </w:p>
        </w:tc>
        <w:tc>
          <w:tcPr>
            <w:tcW w:w="122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6500" w:type="dxa"/>
            <w:vAlign w:val="bottom"/>
            <w:gridSpan w:val="2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RESULTS OF OPERATIONS</w:t>
              </w:r>
            </w:hyperlink>
          </w:p>
        </w:tc>
        <w:tc>
          <w:tcPr>
            <w:tcW w:w="1220" w:type="dxa"/>
            <w:vAlign w:val="bottom"/>
          </w:tcPr>
          <w:p>
            <w:pPr>
              <w:jc w:val="center"/>
              <w:ind w:left="710"/>
              <w:spacing w:after="0" w:line="196" w:lineRule="exact"/>
              <w:rPr>
                <w:sz w:val="20"/>
                <w:szCs w:val="20"/>
                <w:color w:val="auto"/>
              </w:rPr>
            </w:pPr>
            <w:r>
              <w:rPr>
                <w:rFonts w:ascii="Arial" w:cs="Arial" w:eastAsia="Arial" w:hAnsi="Arial"/>
                <w:sz w:val="18"/>
                <w:szCs w:val="18"/>
                <w:color w:val="auto"/>
                <w:w w:val="89"/>
              </w:rPr>
              <w:t>45</w:t>
            </w:r>
          </w:p>
        </w:tc>
      </w:tr>
      <w:tr>
        <w:trPr>
          <w:trHeight w:val="20"/>
        </w:trPr>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18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PROPOSED BUSINESS</w:t>
              </w:r>
            </w:hyperlink>
          </w:p>
        </w:tc>
        <w:tc>
          <w:tcPr>
            <w:tcW w:w="4860" w:type="dxa"/>
            <w:vAlign w:val="bottom"/>
            <w:gridSpan w:val="11"/>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49</w:t>
            </w: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MANAGEMENT</w:t>
              </w:r>
            </w:hyperlink>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65</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238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79">
              <w:r>
                <w:rPr>
                  <w:rFonts w:ascii="Arial" w:cs="Arial" w:eastAsia="Arial" w:hAnsi="Arial"/>
                  <w:sz w:val="18"/>
                  <w:szCs w:val="18"/>
                  <w:color w:val="0000EE"/>
                  <w:w w:val="94"/>
                </w:rPr>
                <w:t>PRINCIPAL STOCKHOLDERS</w:t>
              </w:r>
            </w:hyperlink>
          </w:p>
        </w:tc>
        <w:tc>
          <w:tcPr>
            <w:tcW w:w="4300" w:type="dxa"/>
            <w:vAlign w:val="bottom"/>
            <w:gridSpan w:val="7"/>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72</w:t>
            </w:r>
          </w:p>
        </w:tc>
      </w:tr>
      <w:tr>
        <w:trPr>
          <w:trHeight w:val="237"/>
        </w:trPr>
        <w:tc>
          <w:tcPr>
            <w:tcW w:w="218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81">
              <w:r>
                <w:rPr>
                  <w:rFonts w:ascii="Arial" w:cs="Arial" w:eastAsia="Arial" w:hAnsi="Arial"/>
                  <w:sz w:val="18"/>
                  <w:szCs w:val="18"/>
                  <w:color w:val="0000EE"/>
                  <w:w w:val="95"/>
                </w:rPr>
                <w:t>CERTAIN TRANSACTIONS</w:t>
              </w:r>
            </w:hyperlink>
          </w:p>
        </w:tc>
        <w:tc>
          <w:tcPr>
            <w:tcW w:w="4500" w:type="dxa"/>
            <w:vAlign w:val="bottom"/>
            <w:gridSpan w:val="9"/>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74</w:t>
            </w:r>
          </w:p>
        </w:tc>
      </w:tr>
      <w:tr>
        <w:trPr>
          <w:trHeight w:val="237"/>
        </w:trPr>
        <w:tc>
          <w:tcPr>
            <w:tcW w:w="252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84">
              <w:r>
                <w:rPr>
                  <w:rFonts w:ascii="Arial" w:cs="Arial" w:eastAsia="Arial" w:hAnsi="Arial"/>
                  <w:sz w:val="18"/>
                  <w:szCs w:val="18"/>
                  <w:color w:val="0000EE"/>
                  <w:w w:val="93"/>
                </w:rPr>
                <w:t>DESCRIPTION OF SECURITIES</w:t>
              </w:r>
            </w:hyperlink>
          </w:p>
        </w:tc>
        <w:tc>
          <w:tcPr>
            <w:tcW w:w="4160" w:type="dxa"/>
            <w:vAlign w:val="bottom"/>
            <w:gridSpan w:val="5"/>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77</w:t>
            </w: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SHARES ELIGIBLE FOR FUTURE SALE</w:t>
              </w:r>
            </w:hyperlink>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82</w:t>
            </w:r>
          </w:p>
        </w:tc>
      </w:tr>
      <w:tr>
        <w:trPr>
          <w:trHeight w:val="237"/>
        </w:trPr>
        <w:tc>
          <w:tcPr>
            <w:tcW w:w="14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7"/>
              </w:rPr>
            </w:pPr>
            <w:hyperlink w:anchor="page91">
              <w:r>
                <w:rPr>
                  <w:rFonts w:ascii="Arial" w:cs="Arial" w:eastAsia="Arial" w:hAnsi="Arial"/>
                  <w:sz w:val="18"/>
                  <w:szCs w:val="18"/>
                  <w:color w:val="0000EE"/>
                  <w:w w:val="97"/>
                </w:rPr>
                <w:t>UNDERWRITING</w:t>
              </w:r>
            </w:hyperlink>
          </w:p>
        </w:tc>
        <w:tc>
          <w:tcPr>
            <w:tcW w:w="1780" w:type="dxa"/>
            <w:vAlign w:val="bottom"/>
            <w:tcBorders>
              <w:top w:val="single" w:sz="8" w:color="0000EE"/>
            </w:tcBorders>
            <w:gridSpan w:val="13"/>
          </w:tcPr>
          <w:p>
            <w:pPr>
              <w:spacing w:after="0"/>
              <w:rPr>
                <w:sz w:val="20"/>
                <w:szCs w:val="20"/>
                <w:color w:val="auto"/>
              </w:rPr>
            </w:pPr>
          </w:p>
        </w:tc>
        <w:tc>
          <w:tcPr>
            <w:tcW w:w="3500" w:type="dxa"/>
            <w:vAlign w:val="bottom"/>
            <w:gridSpan w:val="3"/>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84</w:t>
            </w:r>
          </w:p>
        </w:tc>
      </w:tr>
      <w:tr>
        <w:trPr>
          <w:trHeight w:val="237"/>
        </w:trPr>
        <w:tc>
          <w:tcPr>
            <w:tcW w:w="146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95">
              <w:r>
                <w:rPr>
                  <w:rFonts w:ascii="Arial" w:cs="Arial" w:eastAsia="Arial" w:hAnsi="Arial"/>
                  <w:sz w:val="18"/>
                  <w:szCs w:val="18"/>
                  <w:color w:val="0000EE"/>
                  <w:w w:val="96"/>
                </w:rPr>
                <w:t>LEGAL MATTERS</w:t>
              </w:r>
            </w:hyperlink>
          </w:p>
        </w:tc>
        <w:tc>
          <w:tcPr>
            <w:tcW w:w="5220" w:type="dxa"/>
            <w:vAlign w:val="bottom"/>
            <w:gridSpan w:val="15"/>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88</w:t>
            </w:r>
          </w:p>
        </w:tc>
      </w:tr>
      <w:tr>
        <w:trPr>
          <w:trHeight w:val="237"/>
        </w:trPr>
        <w:tc>
          <w:tcPr>
            <w:tcW w:w="7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95">
              <w:r>
                <w:rPr>
                  <w:rFonts w:ascii="Arial" w:cs="Arial" w:eastAsia="Arial" w:hAnsi="Arial"/>
                  <w:sz w:val="18"/>
                  <w:szCs w:val="18"/>
                  <w:color w:val="0000EE"/>
                  <w:w w:val="90"/>
                </w:rPr>
                <w:t>EXPERTS</w:t>
              </w:r>
            </w:hyperlink>
          </w:p>
        </w:tc>
        <w:tc>
          <w:tcPr>
            <w:tcW w:w="5900" w:type="dxa"/>
            <w:vAlign w:val="bottom"/>
            <w:gridSpan w:val="20"/>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88</w:t>
            </w:r>
          </w:p>
        </w:tc>
      </w:tr>
      <w:tr>
        <w:trPr>
          <w:trHeight w:val="237"/>
        </w:trPr>
        <w:tc>
          <w:tcPr>
            <w:tcW w:w="4420" w:type="dxa"/>
            <w:vAlign w:val="bottom"/>
            <w:tcBorders>
              <w:bottom w:val="single" w:sz="8" w:color="0000EE"/>
            </w:tcBorders>
            <w:gridSpan w:val="20"/>
          </w:tcPr>
          <w:p>
            <w:pPr>
              <w:spacing w:after="0"/>
              <w:rPr>
                <w:rFonts w:ascii="Arial" w:cs="Arial" w:eastAsia="Arial" w:hAnsi="Arial"/>
                <w:sz w:val="18"/>
                <w:szCs w:val="18"/>
                <w:color w:val="0000EE"/>
                <w:w w:val="98"/>
              </w:rPr>
            </w:pPr>
            <w:hyperlink w:anchor="page95">
              <w:r>
                <w:rPr>
                  <w:rFonts w:ascii="Arial" w:cs="Arial" w:eastAsia="Arial" w:hAnsi="Arial"/>
                  <w:sz w:val="18"/>
                  <w:szCs w:val="18"/>
                  <w:color w:val="0000EE"/>
                  <w:w w:val="98"/>
                </w:rPr>
                <w:t>WHERE YOU CAN FIND ADDITIONAL INFORMATION</w:t>
              </w:r>
            </w:hyperlink>
          </w:p>
        </w:tc>
        <w:tc>
          <w:tcPr>
            <w:tcW w:w="2260" w:type="dxa"/>
            <w:vAlign w:val="bottom"/>
            <w:gridSpan w:val="2"/>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88</w:t>
            </w:r>
          </w:p>
        </w:tc>
      </w:tr>
      <w:tr>
        <w:trPr>
          <w:trHeight w:val="237"/>
        </w:trPr>
        <w:tc>
          <w:tcPr>
            <w:tcW w:w="304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96">
              <w:r>
                <w:rPr>
                  <w:rFonts w:ascii="Arial" w:cs="Arial" w:eastAsia="Arial" w:hAnsi="Arial"/>
                  <w:sz w:val="18"/>
                  <w:szCs w:val="18"/>
                  <w:color w:val="0000EE"/>
                  <w:w w:val="97"/>
                </w:rPr>
                <w:t>INDEX TO FINANCIAL STATEMENTS</w:t>
              </w:r>
            </w:hyperlink>
          </w:p>
        </w:tc>
        <w:tc>
          <w:tcPr>
            <w:tcW w:w="3640" w:type="dxa"/>
            <w:vAlign w:val="bottom"/>
            <w:gridSpan w:val="4"/>
          </w:tcPr>
          <w:p>
            <w:pPr>
              <w:spacing w:after="0"/>
              <w:rPr>
                <w:sz w:val="20"/>
                <w:szCs w:val="20"/>
                <w:color w:val="auto"/>
              </w:rPr>
            </w:pPr>
          </w:p>
        </w:tc>
        <w:tc>
          <w:tcPr>
            <w:tcW w:w="1220" w:type="dxa"/>
            <w:vAlign w:val="bottom"/>
          </w:tcPr>
          <w:p>
            <w:pPr>
              <w:jc w:val="center"/>
              <w:ind w:left="690"/>
              <w:spacing w:after="0"/>
              <w:rPr>
                <w:sz w:val="20"/>
                <w:szCs w:val="20"/>
                <w:color w:val="auto"/>
              </w:rPr>
            </w:pPr>
            <w:r>
              <w:rPr>
                <w:rFonts w:ascii="Arial" w:cs="Arial" w:eastAsia="Arial" w:hAnsi="Arial"/>
                <w:sz w:val="18"/>
                <w:szCs w:val="18"/>
                <w:color w:val="auto"/>
                <w:w w:val="88"/>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4817110</wp:posOffset>
            </wp:positionH>
            <wp:positionV relativeFrom="paragraph">
              <wp:posOffset>-3352800</wp:posOffset>
            </wp:positionV>
            <wp:extent cx="626110" cy="3395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6110" cy="339598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838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9850" cy="9838690"/>
                    </a:xfrm>
                    <a:prstGeom prst="rect">
                      <a:avLst/>
                    </a:prstGeom>
                    <a:noFill/>
                  </pic:spPr>
                </pic:pic>
              </a:graphicData>
            </a:graphic>
          </wp:anchor>
        </w:drawing>
        <w:t>PROSPECTUS SUMMARY</w:t>
      </w:r>
    </w:p>
    <w:p>
      <w:pPr>
        <w:spacing w:after="0" w:line="189" w:lineRule="exact"/>
        <w:rPr>
          <w:sz w:val="20"/>
          <w:szCs w:val="20"/>
          <w:color w:val="auto"/>
        </w:rPr>
      </w:pPr>
    </w:p>
    <w:p>
      <w:pPr>
        <w:jc w:val="both"/>
        <w:ind w:left="560" w:right="539"/>
        <w:spacing w:after="0" w:line="302" w:lineRule="auto"/>
        <w:rPr>
          <w:sz w:val="20"/>
          <w:szCs w:val="20"/>
          <w:color w:val="auto"/>
        </w:rPr>
      </w:pPr>
      <w:r>
        <w:rPr>
          <w:rFonts w:ascii="Arial" w:cs="Arial" w:eastAsia="Arial" w:hAnsi="Arial"/>
          <w:sz w:val="16"/>
          <w:szCs w:val="16"/>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stated in this prospectus, references to:</w:t>
      </w:r>
    </w:p>
    <w:p>
      <w:pPr>
        <w:spacing w:after="0" w:line="198" w:lineRule="exact"/>
        <w:rPr>
          <w:sz w:val="20"/>
          <w:szCs w:val="20"/>
          <w:color w:val="auto"/>
        </w:rPr>
      </w:pPr>
    </w:p>
    <w:p>
      <w:pPr>
        <w:ind w:left="1180" w:hanging="304"/>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or “our company” refer to M I Acquisitions, Inc.;</w:t>
      </w:r>
    </w:p>
    <w:p>
      <w:pPr>
        <w:spacing w:after="0" w:line="184" w:lineRule="exact"/>
        <w:rPr>
          <w:rFonts w:ascii="Arial" w:cs="Arial" w:eastAsia="Arial" w:hAnsi="Arial"/>
          <w:sz w:val="18"/>
          <w:szCs w:val="18"/>
          <w:color w:val="auto"/>
        </w:rPr>
      </w:pPr>
    </w:p>
    <w:p>
      <w:pPr>
        <w:jc w:val="both"/>
        <w:ind w:left="1200" w:right="539" w:hanging="324"/>
        <w:spacing w:after="0" w:line="259" w:lineRule="auto"/>
        <w:tabs>
          <w:tab w:leader="none" w:pos="119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“insider shares” refer to the 1,437,500 shares of common stock held or controlled by our insiders (as defined below) prior to this offering, which include up to an aggregate of 187,500 shares of common stock subject to forfeiture by our insiders to the extent that the underwriters’ over-allotment option is not exercised in full or in part;</w:t>
      </w:r>
    </w:p>
    <w:p>
      <w:pPr>
        <w:spacing w:after="0" w:line="146" w:lineRule="exact"/>
        <w:rPr>
          <w:rFonts w:ascii="Arial" w:cs="Arial" w:eastAsia="Arial" w:hAnsi="Arial"/>
          <w:sz w:val="18"/>
          <w:szCs w:val="18"/>
          <w:color w:val="auto"/>
        </w:rPr>
      </w:pPr>
    </w:p>
    <w:p>
      <w:pPr>
        <w:jc w:val="both"/>
        <w:ind w:left="1200" w:right="539" w:hanging="324"/>
        <w:spacing w:after="0" w:line="279" w:lineRule="auto"/>
        <w:tabs>
          <w:tab w:leader="none" w:pos="1168" w:val="left"/>
        </w:tabs>
        <w:numPr>
          <w:ilvl w:val="0"/>
          <w:numId w:val="3"/>
        </w:numPr>
        <w:rPr>
          <w:rFonts w:ascii="Arial" w:cs="Arial" w:eastAsia="Arial" w:hAnsi="Arial"/>
          <w:sz w:val="17"/>
          <w:szCs w:val="17"/>
          <w:color w:val="auto"/>
        </w:rPr>
      </w:pPr>
      <w:r>
        <w:rPr>
          <w:rFonts w:ascii="Arial" w:cs="Arial" w:eastAsia="Arial" w:hAnsi="Arial"/>
          <w:sz w:val="17"/>
          <w:szCs w:val="17"/>
          <w:color w:val="auto"/>
        </w:rPr>
        <w:t>“private units” refer to the 402,500 units (or 447,500 units if the over-allotment option is exercised in full) we are selling privately to our insiders (and/or their designees) upon consummation of this offering and references to “private shares” and “private warrants” refers to the shares of common stock and warrants, respectively, included within the private units;</w:t>
      </w:r>
    </w:p>
    <w:p>
      <w:pPr>
        <w:spacing w:after="0" w:line="144" w:lineRule="exact"/>
        <w:rPr>
          <w:rFonts w:ascii="Arial" w:cs="Arial" w:eastAsia="Arial" w:hAnsi="Arial"/>
          <w:sz w:val="17"/>
          <w:szCs w:val="17"/>
          <w:color w:val="auto"/>
        </w:rPr>
      </w:pPr>
    </w:p>
    <w:p>
      <w:pPr>
        <w:ind w:left="1180" w:hanging="304"/>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“management” or our “management team” refer to our officers and directors;</w:t>
      </w:r>
    </w:p>
    <w:p>
      <w:pPr>
        <w:spacing w:after="0" w:line="184" w:lineRule="exact"/>
        <w:rPr>
          <w:rFonts w:ascii="Arial" w:cs="Arial" w:eastAsia="Arial" w:hAnsi="Arial"/>
          <w:sz w:val="18"/>
          <w:szCs w:val="18"/>
          <w:color w:val="auto"/>
        </w:rPr>
      </w:pPr>
    </w:p>
    <w:p>
      <w:pPr>
        <w:jc w:val="both"/>
        <w:ind w:left="1200" w:right="559" w:hanging="324"/>
        <w:spacing w:after="0" w:line="257" w:lineRule="auto"/>
        <w:tabs>
          <w:tab w:leader="none" w:pos="1207"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shares” refer to shares of common stock which are being sold as part of the units in this offering (whether they are purchased in this offering or thereafter in the open market) and references to “public stockholders” refer to the holders of our public shares, including our insiders to the extent our insiders purchase public shares, provided that their status as “public stockholders” shall exist only with respect to such public shares;</w:t>
      </w:r>
    </w:p>
    <w:p>
      <w:pPr>
        <w:spacing w:after="0" w:line="147" w:lineRule="exact"/>
        <w:rPr>
          <w:rFonts w:ascii="Arial" w:cs="Arial" w:eastAsia="Arial" w:hAnsi="Arial"/>
          <w:sz w:val="18"/>
          <w:szCs w:val="18"/>
          <w:color w:val="auto"/>
        </w:rPr>
      </w:pPr>
    </w:p>
    <w:p>
      <w:pPr>
        <w:ind w:left="1200" w:right="539" w:hanging="324"/>
        <w:spacing w:after="0" w:line="277" w:lineRule="auto"/>
        <w:tabs>
          <w:tab w:leader="none" w:pos="119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“warrants” or “public warrants” refer to the warrants which are being sold as part of the units in this offering; and</w:t>
      </w:r>
    </w:p>
    <w:p>
      <w:pPr>
        <w:spacing w:after="0" w:line="143" w:lineRule="exact"/>
        <w:rPr>
          <w:rFonts w:ascii="Arial" w:cs="Arial" w:eastAsia="Arial" w:hAnsi="Arial"/>
          <w:sz w:val="18"/>
          <w:szCs w:val="18"/>
          <w:color w:val="auto"/>
        </w:rPr>
      </w:pPr>
    </w:p>
    <w:p>
      <w:pPr>
        <w:ind w:left="1180" w:hanging="304"/>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“insiders” refer to our officers, directors, and any holder of our insider shares.</w:t>
      </w:r>
    </w:p>
    <w:p>
      <w:pPr>
        <w:spacing w:after="0" w:line="185" w:lineRule="exact"/>
        <w:rPr>
          <w:sz w:val="20"/>
          <w:szCs w:val="20"/>
          <w:color w:val="auto"/>
        </w:rPr>
      </w:pPr>
    </w:p>
    <w:p>
      <w:pPr>
        <w:jc w:val="both"/>
        <w:ind w:left="560" w:right="559"/>
        <w:spacing w:after="0" w:line="277" w:lineRule="auto"/>
        <w:rPr>
          <w:sz w:val="20"/>
          <w:szCs w:val="20"/>
          <w:color w:val="auto"/>
        </w:rPr>
      </w:pPr>
      <w:r>
        <w:rPr>
          <w:rFonts w:ascii="Arial" w:cs="Arial" w:eastAsia="Arial" w:hAnsi="Arial"/>
          <w:sz w:val="18"/>
          <w:szCs w:val="18"/>
          <w:color w:val="auto"/>
        </w:rPr>
        <w:t>Except as specifically provided otherwise, the information in this prospectus assumes that the underwriters will not exercise their over-allotment option.</w:t>
      </w:r>
    </w:p>
    <w:p>
      <w:pPr>
        <w:spacing w:after="0" w:line="130"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We are responsible for the information contained in this prospectus. We have not, and the underwriters have not, authorized anyone to provide you with different information, and we take no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jc w:val="both"/>
        <w:ind w:left="560" w:right="539"/>
        <w:spacing w:after="0" w:line="269" w:lineRule="auto"/>
        <w:rPr>
          <w:sz w:val="20"/>
          <w:szCs w:val="20"/>
          <w:color w:val="auto"/>
        </w:rPr>
      </w:pPr>
      <w:r>
        <w:rPr>
          <w:rFonts w:ascii="Arial" w:cs="Arial" w:eastAsia="Arial" w:hAnsi="Arial"/>
          <w:sz w:val="17"/>
          <w:szCs w:val="17"/>
          <w:color w:val="auto"/>
        </w:rPr>
        <w:t>We are a blank check company formed under the laws of the State of Delaware on April 23, 2015. We were formed for the purpose of entering into a merger, share exchange, asset acquisition, stock purchase, recapitalization, reorganization or other similar business combination, which we refer to throughout this prospectus as our initial business combination, with one or more businesses or entities, which we refer to throughout this prospectus as a target business. To date, our efforts have been limited to organizational activities as well as activities related to this offering. Our efforts to identify a prospective target business will not be limited to any particular industry or geographic region, although we intend to focus our search on target businesses operating in the technology, media and telecommunications industries. We have not selected any target business for our initial business combination and we have not (nor has anyone on our behalf), directly or indirectly, engaged in any substantive discussions with a target business with respect to a business combination transaction with us.</w:t>
      </w:r>
    </w:p>
    <w:p>
      <w:pPr>
        <w:spacing w:after="0" w:line="142" w:lineRule="exact"/>
        <w:rPr>
          <w:sz w:val="20"/>
          <w:szCs w:val="20"/>
          <w:color w:val="auto"/>
        </w:rPr>
      </w:pPr>
    </w:p>
    <w:p>
      <w:pPr>
        <w:jc w:val="both"/>
        <w:ind w:left="560" w:right="539"/>
        <w:spacing w:after="0" w:line="286" w:lineRule="auto"/>
        <w:rPr>
          <w:sz w:val="20"/>
          <w:szCs w:val="20"/>
          <w:color w:val="auto"/>
        </w:rPr>
      </w:pPr>
      <w:r>
        <w:rPr>
          <w:rFonts w:ascii="Arial" w:cs="Arial" w:eastAsia="Arial" w:hAnsi="Arial"/>
          <w:sz w:val="16"/>
          <w:szCs w:val="16"/>
          <w:color w:val="auto"/>
        </w:rPr>
        <w:t>Our executive officers and directors have extensive experience in technology, media and telecommunications industries as managers, principals, advisors or directors of companies operating in those industries. In addition, our management has longstanding relationships and affiliations with key companies operating in our target industries, including Sony Entertainment, Miramax Films, Dimension Films, Open Roads Films, Columbia Records, and London Records (acquired by Universal Music Group). They also have extensive experience in identifying, negotiating with and conducting due diligence on companies targeted for acquisition and consummating acquisitions in the technology, media and telecommunications industries. Prior to the consummation of our initial business combination, we will seek to capitalize on management’s experience in the technology, media and telecommunications industries. Led by our Chief Executive Officer, Joshua Sason, we believe that we are in a position to bring substantial value to any relevant potential target company. Joshua Sason, through Magna Entertainment, has produced four feature films, including the latest feature film, “Bleed for This”, which was a collaboration with Open Road Films in the United States and Sony Entertainment internationally that launched marketing in July and is scheduled for release in late 2016.</w:t>
      </w:r>
    </w:p>
    <w:p>
      <w:pPr>
        <w:sectPr>
          <w:pgSz w:w="11900" w:h="16838" w:orient="portrait"/>
          <w:cols w:equalWidth="0" w:num="1">
            <w:col w:w="9019"/>
          </w:cols>
          <w:pgMar w:left="1440" w:top="540" w:right="1440" w:bottom="327"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327" w:gutter="0" w:footer="0" w:header="0"/>
          <w:type w:val="continuous"/>
        </w:sectPr>
      </w:pPr>
    </w:p>
    <w:bookmarkStart w:id="6" w:name="page7"/>
    <w:bookmarkEnd w:id="6"/>
    <w:p>
      <w:pPr>
        <w:jc w:val="both"/>
        <w:ind w:left="560" w:right="539"/>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877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9850" cy="8877935"/>
                    </a:xfrm>
                    <a:prstGeom prst="rect">
                      <a:avLst/>
                    </a:prstGeom>
                    <a:noFill/>
                  </pic:spPr>
                </pic:pic>
              </a:graphicData>
            </a:graphic>
          </wp:anchor>
        </w:drawing>
        <w:t>Our management team, however, does not have prior experience in pursuing acquisitions on behalf of blank check companies and past performance by our management team is not a guarantee of success with respect to locating a target business to acquire.</w:t>
      </w:r>
    </w:p>
    <w:p>
      <w:pPr>
        <w:spacing w:after="0" w:line="141"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Subsequent to the consummation of our initial business combination, we believe that the strengths of our management team, particularly their extensive operations experience in the technology, media and telecommunications industries, will be valuable to any business in the technology, media and telecommunications industry with which we consummate our initial business combination, although the specific roles, if any, they may have following our initial business combination cannot be determined at this time.</w:t>
      </w:r>
    </w:p>
    <w:p>
      <w:pPr>
        <w:spacing w:after="0" w:line="166" w:lineRule="exact"/>
        <w:rPr>
          <w:sz w:val="20"/>
          <w:szCs w:val="20"/>
          <w:color w:val="auto"/>
        </w:rPr>
      </w:pPr>
    </w:p>
    <w:p>
      <w:pPr>
        <w:jc w:val="both"/>
        <w:ind w:left="560" w:right="539"/>
        <w:spacing w:after="0" w:line="287" w:lineRule="auto"/>
        <w:rPr>
          <w:sz w:val="20"/>
          <w:szCs w:val="20"/>
          <w:color w:val="auto"/>
        </w:rPr>
      </w:pPr>
      <w:r>
        <w:rPr>
          <w:rFonts w:ascii="Arial" w:cs="Arial" w:eastAsia="Arial" w:hAnsi="Arial"/>
          <w:sz w:val="16"/>
          <w:szCs w:val="16"/>
          <w:color w:val="auto"/>
        </w:rPr>
        <w:t>We will have until 18 months from the closing of this offering (or 21 months from the closing of this offering if we have executed a letter of intent or definitive agreement for an initial business combination within 18 months from the closing of this offering but have not completed the initial business combination within such 18-month period) to consummate our initial business combination. If we are unable to consummate our initial business combination within such time period, we will, as promptly as possible but not more than ten business days thereafter, redeem 100% of our outstanding public shares for a pro rata portion of the funds held in the trust account, including a pro rata portion of any interest earned on the funds held in the trust account and not previously released to us for our working capital requirements or necessary to pay our taxes, and then seek to dissolve and liquidate. However, we may not be able to distribute such amounts as a result of claims of creditors which may take priority over the claims of our public stockholders. In the event of our dissolution and liquidation, the public warrants will expire and will be worthless.</w:t>
      </w:r>
    </w:p>
    <w:p>
      <w:pPr>
        <w:spacing w:after="0" w:line="132" w:lineRule="exact"/>
        <w:rPr>
          <w:sz w:val="20"/>
          <w:szCs w:val="20"/>
          <w:color w:val="auto"/>
        </w:rPr>
      </w:pPr>
    </w:p>
    <w:p>
      <w:pPr>
        <w:jc w:val="both"/>
        <w:ind w:left="560" w:right="539"/>
        <w:spacing w:after="0" w:line="268" w:lineRule="auto"/>
        <w:rPr>
          <w:sz w:val="20"/>
          <w:szCs w:val="20"/>
          <w:color w:val="auto"/>
        </w:rPr>
      </w:pPr>
      <w:r>
        <w:rPr>
          <w:rFonts w:ascii="Arial" w:cs="Arial" w:eastAsia="Arial" w:hAnsi="Arial"/>
          <w:sz w:val="17"/>
          <w:szCs w:val="17"/>
          <w:color w:val="auto"/>
        </w:rPr>
        <w:t>We will either (1) seek stockholder approval of our initial business combination at a meeting called for such purpose, at which stockholders may seek to convert their shares, regardless of whether they vote for or against the proposed business combination,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our proposed business combination or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Any tender offer documents used in connection with a business combination will contain substantially the same financial and other information about the initial business combination as is required under the SEC’s proxy rules.</w:t>
      </w:r>
    </w:p>
    <w:p>
      <w:pPr>
        <w:spacing w:after="0" w:line="147" w:lineRule="exact"/>
        <w:rPr>
          <w:sz w:val="20"/>
          <w:szCs w:val="20"/>
          <w:color w:val="auto"/>
        </w:rPr>
      </w:pPr>
    </w:p>
    <w:p>
      <w:pPr>
        <w:jc w:val="both"/>
        <w:ind w:left="560" w:right="539"/>
        <w:spacing w:after="0" w:line="286" w:lineRule="auto"/>
        <w:rPr>
          <w:sz w:val="20"/>
          <w:szCs w:val="20"/>
          <w:color w:val="auto"/>
        </w:rPr>
      </w:pPr>
      <w:r>
        <w:rPr>
          <w:rFonts w:ascii="Arial" w:cs="Arial" w:eastAsia="Arial" w:hAnsi="Arial"/>
          <w:sz w:val="17"/>
          <w:szCs w:val="17"/>
          <w:color w:val="auto"/>
        </w:rPr>
        <w:t>The initial per public share redemption or conversion price will be $10.30 per share, regardless of whether the over-allotment option is exercised. However, we may not be able to distribute such amounts as a result of claims of creditors which may take priority over the claims of our public stockholders.</w:t>
      </w:r>
    </w:p>
    <w:p>
      <w:pPr>
        <w:spacing w:after="0" w:line="139" w:lineRule="exact"/>
        <w:rPr>
          <w:sz w:val="20"/>
          <w:szCs w:val="20"/>
          <w:color w:val="auto"/>
        </w:rPr>
      </w:pPr>
    </w:p>
    <w:p>
      <w:pPr>
        <w:jc w:val="both"/>
        <w:ind w:left="560" w:right="539"/>
        <w:spacing w:after="0" w:line="289" w:lineRule="auto"/>
        <w:rPr>
          <w:sz w:val="20"/>
          <w:szCs w:val="20"/>
          <w:color w:val="auto"/>
        </w:rPr>
      </w:pPr>
      <w:r>
        <w:rPr>
          <w:rFonts w:ascii="Arial" w:cs="Arial" w:eastAsia="Arial" w:hAnsi="Arial"/>
          <w:sz w:val="16"/>
          <w:szCs w:val="16"/>
          <w:color w:val="auto"/>
        </w:rPr>
        <w:t>Pursuant to the rules of the Nasdaq Stock Market, our initial business combination must occur with one or more target businesses having an aggregate fair market value of at least 80% of the value of the trust account (excluding any deferred underwriter’s fees and taxes payable on the income earned on the trust account), which we refer to as the 80% test, at the time of the agreement to enter into the initial business combination. If our board is not able to independently determine the fair market value of the target business or businesses, we will obtain an opinion from an independent investment banking firm with respect to the satisfaction of such criteria. We will also obtain a fairness opinion from an independent investment banking firm before consummating a business combination with an entity affiliated with any of our officers, directors or insiders. If we are no longer listed on Nasdaq, we will not be required to satisfy the 80% test.</w:t>
      </w:r>
    </w:p>
    <w:p>
      <w:pPr>
        <w:spacing w:after="0" w:line="126" w:lineRule="exact"/>
        <w:rPr>
          <w:sz w:val="20"/>
          <w:szCs w:val="20"/>
          <w:color w:val="auto"/>
        </w:rPr>
      </w:pPr>
    </w:p>
    <w:p>
      <w:pPr>
        <w:jc w:val="both"/>
        <w:ind w:left="560" w:right="539"/>
        <w:spacing w:after="0" w:line="287"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w:t>
      </w:r>
    </w:p>
    <w:p>
      <w:pPr>
        <w:sectPr>
          <w:pgSz w:w="11900" w:h="16838" w:orient="portrait"/>
          <w:cols w:equalWidth="0" w:num="1">
            <w:col w:w="9019"/>
          </w:cols>
          <w:pgMar w:left="1440" w:top="503" w:right="1440" w:bottom="1440" w:gutter="0" w:footer="0" w:header="0"/>
        </w:sect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7" w:name="page8"/>
    <w:bookmarkEnd w:id="7"/>
    <w:p>
      <w:pPr>
        <w:jc w:val="both"/>
        <w:ind w:left="560" w:right="539"/>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589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9850" cy="9589770"/>
                    </a:xfrm>
                    <a:prstGeom prst="rect">
                      <a:avLst/>
                    </a:prstGeom>
                    <a:noFill/>
                  </pic:spPr>
                </pic:pic>
              </a:graphicData>
            </a:graphic>
          </wp:anchor>
        </w:drawing>
        <w:t>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test.</w:t>
      </w:r>
    </w:p>
    <w:p>
      <w:pPr>
        <w:spacing w:after="0" w:line="137"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As more fully discussed in “Management — Conflicts of Interest,” if any of our officers or directors becomes aware of a business combination opportunity that falls within the line of business of any entity to which he or she has pre-existing fiduciary or contractual obligations, he or she may be required to present such business combination opportunity to such entity prior to presenting such business combination opportunity to us. All of our officers, directors and director nominees currently have certain relevant pre-existing fiduciary duties or contractual obligations.</w:t>
      </w:r>
    </w:p>
    <w:p>
      <w:pPr>
        <w:spacing w:after="0" w:line="166" w:lineRule="exact"/>
        <w:rPr>
          <w:sz w:val="20"/>
          <w:szCs w:val="20"/>
          <w:color w:val="auto"/>
        </w:rPr>
      </w:pPr>
    </w:p>
    <w:p>
      <w:pPr>
        <w:jc w:val="both"/>
        <w:ind w:left="560" w:right="539"/>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37"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 until we are no longer an “emerging growth company.”</w:t>
      </w:r>
    </w:p>
    <w:p>
      <w:pPr>
        <w:spacing w:after="0" w:line="153" w:lineRule="exact"/>
        <w:rPr>
          <w:sz w:val="20"/>
          <w:szCs w:val="20"/>
          <w:color w:val="auto"/>
        </w:rPr>
      </w:pPr>
    </w:p>
    <w:p>
      <w:pPr>
        <w:jc w:val="both"/>
        <w:ind w:left="560" w:right="539"/>
        <w:spacing w:after="0" w:line="295"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common stock that is held by non-affiliates exceeds $700 million as of the prior June</w:t>
      </w:r>
    </w:p>
    <w:p>
      <w:pPr>
        <w:jc w:val="both"/>
        <w:ind w:left="560" w:right="539"/>
        <w:spacing w:after="0" w:line="243" w:lineRule="auto"/>
        <w:rPr>
          <w:sz w:val="20"/>
          <w:szCs w:val="20"/>
          <w:color w:val="auto"/>
        </w:rPr>
      </w:pPr>
      <w:r>
        <w:rPr>
          <w:rFonts w:ascii="Arial" w:cs="Arial" w:eastAsia="Arial" w:hAnsi="Arial"/>
          <w:sz w:val="18"/>
          <w:szCs w:val="18"/>
          <w:color w:val="auto"/>
        </w:rPr>
        <w:t>30</w:t>
      </w:r>
      <w:r>
        <w:rPr>
          <w:rFonts w:ascii="Arial" w:cs="Arial" w:eastAsia="Arial" w:hAnsi="Arial"/>
          <w:sz w:val="21"/>
          <w:szCs w:val="21"/>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 References herein to “emerging growth company” shall have the meaning associated with it in the JOBS Act.</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Private Placements</w:t>
      </w:r>
    </w:p>
    <w:p>
      <w:pPr>
        <w:spacing w:after="0" w:line="202" w:lineRule="exact"/>
        <w:rPr>
          <w:sz w:val="20"/>
          <w:szCs w:val="20"/>
          <w:color w:val="auto"/>
        </w:rPr>
      </w:pPr>
    </w:p>
    <w:p>
      <w:pPr>
        <w:jc w:val="both"/>
        <w:ind w:left="560" w:right="539"/>
        <w:spacing w:after="0" w:line="289" w:lineRule="auto"/>
        <w:rPr>
          <w:sz w:val="20"/>
          <w:szCs w:val="20"/>
          <w:color w:val="auto"/>
        </w:rPr>
      </w:pPr>
      <w:r>
        <w:rPr>
          <w:rFonts w:ascii="Arial" w:cs="Arial" w:eastAsia="Arial" w:hAnsi="Arial"/>
          <w:sz w:val="16"/>
          <w:szCs w:val="16"/>
          <w:color w:val="auto"/>
        </w:rPr>
        <w:t>In April 2015, we sold an aggregate of 1,437,500 shares of our common stock for $25,000, or approximately $.02 per share, to M SPAC LLC, which is controlled by Joshua Sason. On July 20, 2016, M SPAC LLC sold back 494,480 shares to us at a price equal to the amount paid for such shares. We subsequently sold an aggregate of 494,480 shares of our common stock for $8,599.65, or approximately $.02 per share, to M SPAC Holdings I LLC and M SPAC Holdings II LLC, each of which is controlled by Joshua Sason. The 1,437,500 insider shares held or controlled by our insiders include an aggregate of up to 187,500 shares subject to forfeiture to the extent that the underwriters’ over-allotment option is not exercised in full or in part, so that our insiders will collectively own or control 20.0% of our issued and outstanding shares after this offering (excluding the sale of the private units and assuming our insiders do not purchase units in this offering).</w:t>
      </w:r>
    </w:p>
    <w:p>
      <w:pPr>
        <w:spacing w:after="0" w:line="126" w:lineRule="exact"/>
        <w:rPr>
          <w:sz w:val="20"/>
          <w:szCs w:val="20"/>
          <w:color w:val="auto"/>
        </w:rPr>
      </w:pPr>
    </w:p>
    <w:p>
      <w:pPr>
        <w:jc w:val="both"/>
        <w:ind w:left="560" w:right="539"/>
        <w:spacing w:after="0" w:line="268" w:lineRule="auto"/>
        <w:rPr>
          <w:sz w:val="20"/>
          <w:szCs w:val="20"/>
          <w:color w:val="auto"/>
        </w:rPr>
      </w:pPr>
      <w:r>
        <w:rPr>
          <w:rFonts w:ascii="Arial" w:cs="Arial" w:eastAsia="Arial" w:hAnsi="Arial"/>
          <w:sz w:val="17"/>
          <w:szCs w:val="17"/>
          <w:color w:val="auto"/>
        </w:rPr>
        <w:t>The insider shares are identical to the shares of common stock included in the units being sold in this offering. However, our insiders have agreed (A) to vote their insider shares,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net of taxes payable, divided by the number of then outstanding public shares, (C) not to convert any shares (including the insider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w:t>
      </w:r>
    </w:p>
    <w:p>
      <w:pPr>
        <w:sectPr>
          <w:pgSz w:w="11900" w:h="16838" w:orient="portrait"/>
          <w:cols w:equalWidth="0" w:num="1">
            <w:col w:w="9019"/>
          </w:cols>
          <w:pgMar w:left="1440" w:top="503" w:right="1440" w:bottom="719" w:gutter="0" w:footer="0" w:header="0"/>
        </w:sect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03" w:right="1440" w:bottom="719" w:gutter="0" w:footer="0" w:header="0"/>
          <w:type w:val="continuous"/>
        </w:sectPr>
      </w:pPr>
    </w:p>
    <w:bookmarkStart w:id="8" w:name="page9"/>
    <w:bookmarkEnd w:id="8"/>
    <w:p>
      <w:pPr>
        <w:jc w:val="both"/>
        <w:ind w:left="560" w:right="559"/>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123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9850" cy="8123555"/>
                    </a:xfrm>
                    <a:prstGeom prst="rect">
                      <a:avLst/>
                    </a:prstGeom>
                    <a:noFill/>
                  </pic:spPr>
                </pic:pic>
              </a:graphicData>
            </a:graphic>
          </wp:anchor>
        </w:drawing>
        <w:t>(or 21 months, as applicable), and (D) that the insider shares shall not be entitled to be redeemed for a pro rata portion of the funds held in the trust account if a business combination is not consummated.</w:t>
      </w:r>
    </w:p>
    <w:p>
      <w:pPr>
        <w:spacing w:after="0" w:line="106" w:lineRule="exact"/>
        <w:rPr>
          <w:sz w:val="20"/>
          <w:szCs w:val="20"/>
          <w:color w:val="auto"/>
        </w:rPr>
      </w:pPr>
    </w:p>
    <w:p>
      <w:pPr>
        <w:jc w:val="both"/>
        <w:ind w:left="560" w:right="539"/>
        <w:spacing w:after="0" w:line="267" w:lineRule="auto"/>
        <w:rPr>
          <w:sz w:val="20"/>
          <w:szCs w:val="20"/>
          <w:color w:val="auto"/>
        </w:rPr>
      </w:pPr>
      <w:r>
        <w:rPr>
          <w:rFonts w:ascii="Arial" w:cs="Arial" w:eastAsia="Arial" w:hAnsi="Arial"/>
          <w:sz w:val="17"/>
          <w:szCs w:val="17"/>
          <w:color w:val="auto"/>
        </w:rPr>
        <w:t>On the date of this prospectus, the insider shares will be placed into an escrow account maintained in New York, New York by Continental Stock Transfer &amp; Trust Company, acting as escrow agent. Subject to certain limited exceptions, 50% of these shares will not be transferred, assigned, sold or released from escrow until the earlier of six months after the date of the consummation of our initial business combination and the date on which the closing price of our common stock equals or exceeds $12.50 per share (as adjusted for stock splits, stock dividends, reorganizations and recapitalizations) for any 20 trading days within any 30-trading day period commencing after our initial business combination and the remaining 50% of the insider shares will not be transferred, assigned, sold or released from escrow until six months after the date of the consummation of our initial business combination, or earlier, in either case, if, subsequent to our initial business combination, we complete a liquidation, merger, stock exchange or other similar transaction which results in all of our stockholders having the right to exchange their shares of common stock for cash, securities or other property. The limited exceptions referred to above include (1) transfers among the insiders, to our officers, directors, advisors and employees, (2) transfers to an insider’s affiliates or its members upon its liquidation, (3) transfers to relatives and trusts for estate planning purposes, (4) transfers by virtue of the laws of descent and distribution upon death, (5) transfers pursuant to a qualified domestic relations order, (6) private sales made at prices no greater than the price at which the securities were originally purchased or (7) transfers to us for cancellation in connection with the consummation of an initial business combination, in each case (except for clause 7) where the transferee agrees to the terms of the escrow agreement and forfeiture, as the case may be, as well as the other applicable restrictions and agreements of the holders of the insider shares.</w:t>
      </w:r>
    </w:p>
    <w:p>
      <w:pPr>
        <w:spacing w:after="0" w:line="161" w:lineRule="exact"/>
        <w:rPr>
          <w:sz w:val="20"/>
          <w:szCs w:val="20"/>
          <w:color w:val="auto"/>
        </w:rPr>
      </w:pPr>
    </w:p>
    <w:p>
      <w:pPr>
        <w:jc w:val="both"/>
        <w:ind w:left="560" w:right="539"/>
        <w:spacing w:after="0" w:line="269" w:lineRule="auto"/>
        <w:rPr>
          <w:sz w:val="20"/>
          <w:szCs w:val="20"/>
          <w:color w:val="auto"/>
        </w:rPr>
      </w:pPr>
      <w:r>
        <w:rPr>
          <w:rFonts w:ascii="Arial" w:cs="Arial" w:eastAsia="Arial" w:hAnsi="Arial"/>
          <w:sz w:val="17"/>
          <w:szCs w:val="17"/>
          <w:color w:val="auto"/>
        </w:rPr>
        <w:t>In addition, M SPAC LLC, M SPAC Holdings I LLC and M SPAC Holdings II LLC, entities controlled by Joshua Sason, our Chief Executive Officer, (and/or its designees) has committed to purchase an aggregate of 402,500 private units at a price of $10.00 per unit ($4,025,000 in the aggregate) in a private placement that will occur simultaneously with the closing of this offering. M SPAC LLC, M SPAC Holdings I LLC and M SPAC Holdings II LLC have also agreed that if the over-allotment option is exercised by the underwriters, they will purchase from us at a price of $10.00 per unit the number of private units (up to a maximum of 45,000 private units) that is necessary to maintain in the trust account an amount equal to $10.30 per share of common stock sold to the public in this offering. These additional private units will be purchased in a private placement that will occur simultaneously with the purchase of units resulting from the exercise of the over-allotment option. The proceeds from the private placement of the private units will be added to the proceeds of this offering and placed in the trust account.</w:t>
      </w:r>
    </w:p>
    <w:p>
      <w:pPr>
        <w:spacing w:after="0" w:line="142" w:lineRule="exact"/>
        <w:rPr>
          <w:sz w:val="20"/>
          <w:szCs w:val="20"/>
          <w:color w:val="auto"/>
        </w:rPr>
      </w:pPr>
    </w:p>
    <w:p>
      <w:pPr>
        <w:jc w:val="both"/>
        <w:ind w:left="560" w:right="539"/>
        <w:spacing w:after="0" w:line="284" w:lineRule="auto"/>
        <w:rPr>
          <w:sz w:val="20"/>
          <w:szCs w:val="20"/>
          <w:color w:val="auto"/>
        </w:rPr>
      </w:pPr>
      <w:r>
        <w:rPr>
          <w:rFonts w:ascii="Arial" w:cs="Arial" w:eastAsia="Arial" w:hAnsi="Arial"/>
          <w:sz w:val="16"/>
          <w:szCs w:val="16"/>
          <w:color w:val="auto"/>
        </w:rPr>
        <w:t>The private units are identical to the units sold in this offering. However, the holders have agreed (A) to vote their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for our working capital requirements or to pay our franchise and income taxes, divided by the number of then outstanding public shares, (C) not to convert any shares (including the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private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9" w:name="page10"/>
    <w:bookmarkEnd w:id="9"/>
    <w:p>
      <w:pPr>
        <w:jc w:val="both"/>
        <w:ind w:left="560" w:right="55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130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9850" cy="1305560"/>
                    </a:xfrm>
                    <a:prstGeom prst="rect">
                      <a:avLst/>
                    </a:prstGeom>
                    <a:noFill/>
                  </pic:spPr>
                </pic:pic>
              </a:graphicData>
            </a:graphic>
          </wp:anchor>
        </w:drawing>
        <w:t>We have also agreed to sell to Chardan Capital Markets, LLC (and/or its designees), for $100, an option to purchase up to a total of 500,000 units exercisable at $12.00 per unit (or an aggregate exercise price of $6,000,000) commencing on the later of the consummation of a business combination and six months from the date of this prospectus.</w:t>
      </w:r>
    </w:p>
    <w:p>
      <w:pPr>
        <w:spacing w:after="0" w:line="146" w:lineRule="exact"/>
        <w:rPr>
          <w:sz w:val="20"/>
          <w:szCs w:val="20"/>
          <w:color w:val="auto"/>
        </w:rPr>
      </w:pPr>
    </w:p>
    <w:p>
      <w:pPr>
        <w:jc w:val="both"/>
        <w:ind w:left="560" w:right="559"/>
        <w:spacing w:after="0" w:line="277" w:lineRule="auto"/>
        <w:rPr>
          <w:sz w:val="20"/>
          <w:szCs w:val="20"/>
          <w:color w:val="auto"/>
        </w:rPr>
      </w:pPr>
      <w:r>
        <w:rPr>
          <w:rFonts w:ascii="Arial" w:cs="Arial" w:eastAsia="Arial" w:hAnsi="Arial"/>
          <w:sz w:val="18"/>
          <w:szCs w:val="18"/>
          <w:color w:val="auto"/>
        </w:rPr>
        <w:t>Our executive offices are located at 40 Wall Street, 58th Floor, New York, NY 10005 and our telephone number is (347) 491-4240.</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366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9850" cy="9366885"/>
                    </a:xfrm>
                    <a:prstGeom prst="rect">
                      <a:avLst/>
                    </a:prstGeom>
                    <a:noFill/>
                  </pic:spPr>
                </pic:pic>
              </a:graphicData>
            </a:graphic>
          </wp:anchor>
        </w:drawing>
        <w:t>The Offering</w:t>
      </w:r>
    </w:p>
    <w:p>
      <w:pPr>
        <w:spacing w:after="0" w:line="189" w:lineRule="exact"/>
        <w:rPr>
          <w:sz w:val="20"/>
          <w:szCs w:val="20"/>
          <w:color w:val="auto"/>
        </w:rPr>
      </w:pPr>
    </w:p>
    <w:p>
      <w:pPr>
        <w:jc w:val="both"/>
        <w:ind w:left="560" w:right="539"/>
        <w:spacing w:after="0" w:line="273" w:lineRule="auto"/>
        <w:rPr>
          <w:sz w:val="20"/>
          <w:szCs w:val="20"/>
          <w:color w:val="auto"/>
        </w:rPr>
      </w:pPr>
      <w:r>
        <w:rPr>
          <w:rFonts w:ascii="Arial" w:cs="Arial" w:eastAsia="Arial" w:hAnsi="Arial"/>
          <w:sz w:val="17"/>
          <w:szCs w:val="17"/>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beginning on page 20 of this prospectus.</w:t>
      </w:r>
    </w:p>
    <w:p>
      <w:pPr>
        <w:sectPr>
          <w:pgSz w:w="11900" w:h="16838" w:orient="portrait"/>
          <w:cols w:equalWidth="0" w:num="1">
            <w:col w:w="9019"/>
          </w:cols>
          <w:pgMar w:left="1440" w:top="540" w:right="1440" w:bottom="1070" w:gutter="0" w:footer="0" w:header="0"/>
        </w:sectPr>
      </w:pPr>
    </w:p>
    <w:p>
      <w:pPr>
        <w:spacing w:after="0" w:line="13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Proposed Nasdaq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40" w:hanging="179"/>
        <w:spacing w:after="0" w:line="266" w:lineRule="auto"/>
        <w:rPr>
          <w:sz w:val="20"/>
          <w:szCs w:val="20"/>
          <w:color w:val="auto"/>
        </w:rPr>
      </w:pPr>
      <w:r>
        <w:rPr>
          <w:rFonts w:ascii="Arial" w:cs="Arial" w:eastAsia="Arial" w:hAnsi="Arial"/>
          <w:sz w:val="18"/>
          <w:szCs w:val="18"/>
          <w:b w:val="1"/>
          <w:bCs w:val="1"/>
          <w:color w:val="auto"/>
        </w:rPr>
        <w:t>Trading commencement and separate trading of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Units:</w:t>
      </w:r>
    </w:p>
    <w:p>
      <w:pPr>
        <w:spacing w:after="0" w:line="252" w:lineRule="exact"/>
        <w:rPr>
          <w:sz w:val="20"/>
          <w:szCs w:val="20"/>
          <w:color w:val="auto"/>
        </w:rPr>
      </w:pPr>
    </w:p>
    <w:p>
      <w:pPr>
        <w:ind w:left="560" w:right="360"/>
        <w:spacing w:after="0" w:line="282" w:lineRule="auto"/>
        <w:rPr>
          <w:sz w:val="20"/>
          <w:szCs w:val="20"/>
          <w:color w:val="auto"/>
        </w:rPr>
      </w:pPr>
      <w:r>
        <w:rPr>
          <w:rFonts w:ascii="Arial" w:cs="Arial" w:eastAsia="Arial" w:hAnsi="Arial"/>
          <w:sz w:val="18"/>
          <w:szCs w:val="18"/>
          <w:b w:val="1"/>
          <w:bCs w:val="1"/>
          <w:color w:val="auto"/>
        </w:rPr>
        <w:t>Number outstanding before this offering</w:t>
      </w:r>
    </w:p>
    <w:p>
      <w:pPr>
        <w:spacing w:after="0" w:line="189" w:lineRule="exact"/>
        <w:rPr>
          <w:sz w:val="20"/>
          <w:szCs w:val="20"/>
          <w:color w:val="auto"/>
        </w:rPr>
      </w:pPr>
    </w:p>
    <w:p>
      <w:pPr>
        <w:ind w:left="720" w:right="120" w:hanging="179"/>
        <w:spacing w:after="0" w:line="293" w:lineRule="auto"/>
        <w:rPr>
          <w:sz w:val="20"/>
          <w:szCs w:val="20"/>
          <w:color w:val="auto"/>
        </w:rPr>
      </w:pPr>
      <w:r>
        <w:rPr>
          <w:rFonts w:ascii="Arial" w:cs="Arial" w:eastAsia="Arial" w:hAnsi="Arial"/>
          <w:sz w:val="16"/>
          <w:szCs w:val="16"/>
          <w:b w:val="1"/>
          <w:bCs w:val="1"/>
          <w:color w:val="auto"/>
        </w:rPr>
        <w:t>Number outstanding after this offering and sale of private units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both"/>
        <w:ind w:right="539"/>
        <w:spacing w:after="0" w:line="257" w:lineRule="auto"/>
        <w:rPr>
          <w:sz w:val="20"/>
          <w:szCs w:val="20"/>
          <w:color w:val="auto"/>
        </w:rPr>
      </w:pPr>
      <w:r>
        <w:rPr>
          <w:rFonts w:ascii="Arial" w:cs="Arial" w:eastAsia="Arial" w:hAnsi="Arial"/>
          <w:sz w:val="18"/>
          <w:szCs w:val="18"/>
          <w:color w:val="auto"/>
        </w:rPr>
        <w:t>5,000,000 Units, at $10.00 per unit, each unit consisting of one share of common stock and one warrant entitling the holder thereof to purchase one share of our common stock at a price of $12.00 per share, subject to adjustment as described in this prospectus.</w:t>
      </w:r>
    </w:p>
    <w:p>
      <w:pPr>
        <w:spacing w:after="0" w:line="215"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We anticipate the units, and the shares of common stock and warrants once they begin separate trading, will be listed on Nasdaq under the symbols “MACQU,” “MACQ” and “MACQW,” respectively.</w:t>
      </w:r>
    </w:p>
    <w:p>
      <w:pPr>
        <w:spacing w:after="0" w:line="200" w:lineRule="exact"/>
        <w:rPr>
          <w:sz w:val="20"/>
          <w:szCs w:val="20"/>
          <w:color w:val="auto"/>
        </w:rPr>
      </w:pPr>
    </w:p>
    <w:p>
      <w:pPr>
        <w:spacing w:after="0" w:line="230" w:lineRule="exact"/>
        <w:rPr>
          <w:sz w:val="20"/>
          <w:szCs w:val="20"/>
          <w:color w:val="auto"/>
        </w:rPr>
      </w:pPr>
    </w:p>
    <w:p>
      <w:pPr>
        <w:jc w:val="both"/>
        <w:ind w:right="539"/>
        <w:spacing w:after="0" w:line="280" w:lineRule="auto"/>
        <w:rPr>
          <w:sz w:val="20"/>
          <w:szCs w:val="20"/>
          <w:color w:val="auto"/>
        </w:rPr>
      </w:pPr>
      <w:r>
        <w:rPr>
          <w:rFonts w:ascii="Arial" w:cs="Arial" w:eastAsia="Arial" w:hAnsi="Arial"/>
          <w:sz w:val="16"/>
          <w:szCs w:val="16"/>
          <w:color w:val="auto"/>
        </w:rPr>
        <w:t>The units will begin trading on or promptly after the date of this prospectus. Each of the common stock and warrants may trade separately on the 90</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day after the date of this prospectus unless Chardan Capital Markets, LLC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Capital Markets, LLC allow separate trading of the common stock and warrants until we file an audited balance sheet reflecting our receipt of the gross proceeds at the closing of this offering. 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shares of common stock and warrants. We will file a Current Report on Form 8-K with the U.S. Securities and Exchange Commission, or the SEC, including an audited balance sheet, promptly following the closing of this offering, which is anticipated to take place three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Form 8-K or a new Form 8-K to provide updated financial information to reflect the exercise of the over-allotment option. We will also include in the Form 8-K, or amendment thereto, or in a subsequent Form 8-K, information indicating if Chardan Capital Markets, LLC has allowed separate trading of the common stock and warrants prior to the 90</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day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5,402,500</w:t>
      </w:r>
      <w:r>
        <w:rPr>
          <w:rFonts w:ascii="Arial" w:cs="Arial" w:eastAsia="Arial" w:hAnsi="Arial"/>
          <w:sz w:val="30"/>
          <w:szCs w:val="30"/>
          <w:color w:val="auto"/>
          <w:vertAlign w:val="superscript"/>
        </w:rPr>
        <w:t>(1)</w:t>
      </w:r>
    </w:p>
    <w:p>
      <w:pPr>
        <w:spacing w:after="0" w:line="138" w:lineRule="exact"/>
        <w:rPr>
          <w:sz w:val="20"/>
          <w:szCs w:val="20"/>
          <w:color w:val="auto"/>
        </w:rPr>
      </w:pPr>
    </w:p>
    <w:p>
      <w:pPr>
        <w:sectPr>
          <w:pgSz w:w="11900" w:h="16838" w:orient="portrait"/>
          <w:cols w:equalWidth="0" w:num="2">
            <w:col w:w="3340" w:space="600"/>
            <w:col w:w="5079"/>
          </w:cols>
          <w:pgMar w:left="1440" w:top="540" w:right="1440" w:bottom="1070" w:gutter="0" w:footer="0" w:header="0"/>
          <w:type w:val="continuous"/>
        </w:sectPr>
      </w:pPr>
    </w:p>
    <w:p>
      <w:pPr>
        <w:ind w:left="560"/>
        <w:spacing w:after="0"/>
        <w:rPr>
          <w:sz w:val="20"/>
          <w:szCs w:val="20"/>
          <w:color w:val="auto"/>
        </w:rPr>
      </w:pPr>
      <w:r>
        <w:rPr>
          <w:rFonts w:ascii="Arial" w:cs="Arial" w:eastAsia="Arial" w:hAnsi="Arial"/>
          <w:sz w:val="16"/>
          <w:szCs w:val="16"/>
          <w:color w:val="auto"/>
        </w:rPr>
        <w:t>(1)  Assumes the over-allotment option has not been exercised.</w:t>
      </w:r>
    </w:p>
    <w:p>
      <w:pPr>
        <w:sectPr>
          <w:pgSz w:w="11900" w:h="16838" w:orient="portrait"/>
          <w:cols w:equalWidth="0" w:num="1">
            <w:col w:w="9019"/>
          </w:cols>
          <w:pgMar w:left="1440" w:top="540" w:right="1440" w:bottom="1070" w:gutter="0" w:footer="0" w:header="0"/>
          <w:type w:val="continuous"/>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070" w:gutter="0" w:footer="0" w:header="0"/>
          <w:type w:val="continuous"/>
        </w:sectPr>
      </w:pPr>
    </w:p>
    <w:bookmarkStart w:id="11" w:name="page12"/>
    <w:bookmarkEnd w:id="11"/>
    <w:p>
      <w:pPr>
        <w:ind w:left="560"/>
        <w:spacing w:after="0"/>
        <w:rPr>
          <w:sz w:val="20"/>
          <w:szCs w:val="20"/>
          <w:color w:val="auto"/>
        </w:rPr>
      </w:pPr>
      <w:r>
        <w:rPr>
          <w:rFonts w:ascii="Arial" w:cs="Arial" w:eastAsia="Arial" w:hAnsi="Arial"/>
          <w:sz w:val="18"/>
          <w:szCs w:val="18"/>
          <w:b w:val="1"/>
          <w:bCs w:val="1"/>
          <w:color w:val="auto"/>
        </w:rPr>
        <w:t>Shares of common stock:</w:t>
      </w:r>
    </w:p>
    <w:p>
      <w:pPr>
        <w:spacing w:after="0" w:line="36" w:lineRule="exact"/>
        <w:rPr>
          <w:sz w:val="20"/>
          <w:szCs w:val="20"/>
          <w:color w:val="auto"/>
        </w:rPr>
      </w:pPr>
    </w:p>
    <w:p>
      <w:pPr>
        <w:ind w:left="920" w:right="320" w:hanging="179"/>
        <w:spacing w:after="0" w:line="282" w:lineRule="auto"/>
        <w:rPr>
          <w:sz w:val="20"/>
          <w:szCs w:val="20"/>
          <w:color w:val="auto"/>
        </w:rPr>
      </w:pPr>
      <w:r>
        <w:rPr>
          <w:rFonts w:ascii="Arial" w:cs="Arial" w:eastAsia="Arial" w:hAnsi="Arial"/>
          <w:sz w:val="18"/>
          <w:szCs w:val="18"/>
          <w:b w:val="1"/>
          <w:bCs w:val="1"/>
          <w:color w:val="auto"/>
        </w:rPr>
        <w:t>Number outstanding before this offering</w:t>
      </w:r>
    </w:p>
    <w:p>
      <w:pPr>
        <w:spacing w:after="0" w:line="229" w:lineRule="exact"/>
        <w:rPr>
          <w:sz w:val="20"/>
          <w:szCs w:val="20"/>
          <w:color w:val="auto"/>
        </w:rPr>
      </w:pPr>
    </w:p>
    <w:p>
      <w:pPr>
        <w:ind w:left="920" w:hanging="179"/>
        <w:spacing w:after="0" w:line="347" w:lineRule="auto"/>
        <w:rPr>
          <w:sz w:val="20"/>
          <w:szCs w:val="20"/>
          <w:color w:val="auto"/>
        </w:rPr>
      </w:pPr>
      <w:r>
        <w:rPr>
          <w:rFonts w:ascii="Arial" w:cs="Arial" w:eastAsia="Arial" w:hAnsi="Arial"/>
          <w:sz w:val="16"/>
          <w:szCs w:val="16"/>
          <w:b w:val="1"/>
          <w:bCs w:val="1"/>
          <w:color w:val="auto"/>
        </w:rPr>
        <w:t>Number to be outstanding after this offering and sale of private units</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Warrants included as part of units: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1,437,500 shares</w:t>
      </w:r>
      <w:r>
        <w:rPr>
          <w:rFonts w:ascii="Arial" w:cs="Arial" w:eastAsia="Arial" w:hAnsi="Arial"/>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-450850</wp:posOffset>
            </wp:positionV>
            <wp:extent cx="5149850" cy="10035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9850" cy="10035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6,652,500 shares</w:t>
      </w:r>
      <w:r>
        <w:rPr>
          <w:rFonts w:ascii="Arial" w:cs="Arial" w:eastAsia="Arial" w:hAnsi="Arial"/>
          <w:sz w:val="24"/>
          <w:szCs w:val="24"/>
          <w:color w:val="auto"/>
          <w:vertAlign w:val="superscript"/>
        </w:rPr>
        <w:t>(3)</w:t>
      </w:r>
    </w:p>
    <w:p>
      <w:pPr>
        <w:spacing w:after="0" w:line="599" w:lineRule="exact"/>
        <w:rPr>
          <w:sz w:val="20"/>
          <w:szCs w:val="20"/>
          <w:color w:val="auto"/>
        </w:rPr>
      </w:pPr>
    </w:p>
    <w:p>
      <w:pPr>
        <w:sectPr>
          <w:pgSz w:w="11900" w:h="16838" w:orient="portrait"/>
          <w:cols w:equalWidth="0" w:num="2">
            <w:col w:w="3480" w:space="160"/>
            <w:col w:w="5379"/>
          </w:cols>
          <w:pgMar w:left="1440" w:top="324" w:right="1440" w:bottom="17" w:gutter="0" w:footer="0" w:header="0"/>
        </w:sectPr>
      </w:pPr>
    </w:p>
    <w:p>
      <w:pPr>
        <w:spacing w:after="0" w:line="116" w:lineRule="exact"/>
        <w:rPr>
          <w:sz w:val="20"/>
          <w:szCs w:val="20"/>
          <w:color w:val="auto"/>
        </w:rPr>
      </w:pPr>
    </w:p>
    <w:p>
      <w:pPr>
        <w:ind w:left="920" w:right="340" w:hanging="179"/>
        <w:spacing w:after="0" w:line="282" w:lineRule="auto"/>
        <w:rPr>
          <w:sz w:val="20"/>
          <w:szCs w:val="20"/>
          <w:color w:val="auto"/>
        </w:rPr>
      </w:pPr>
      <w:r>
        <w:rPr>
          <w:rFonts w:ascii="Arial" w:cs="Arial" w:eastAsia="Arial" w:hAnsi="Arial"/>
          <w:sz w:val="18"/>
          <w:szCs w:val="18"/>
          <w:b w:val="1"/>
          <w:bCs w:val="1"/>
          <w:color w:val="auto"/>
        </w:rPr>
        <w:t>Number outstanding before this offering</w:t>
      </w:r>
    </w:p>
    <w:p>
      <w:pPr>
        <w:spacing w:after="0" w:line="229" w:lineRule="exact"/>
        <w:rPr>
          <w:sz w:val="20"/>
          <w:szCs w:val="20"/>
          <w:color w:val="auto"/>
        </w:rPr>
      </w:pPr>
    </w:p>
    <w:p>
      <w:pPr>
        <w:ind w:left="920" w:right="180" w:hanging="179"/>
        <w:spacing w:after="0" w:line="261" w:lineRule="auto"/>
        <w:rPr>
          <w:sz w:val="20"/>
          <w:szCs w:val="20"/>
          <w:color w:val="auto"/>
        </w:rPr>
      </w:pPr>
      <w:r>
        <w:rPr>
          <w:rFonts w:ascii="Arial" w:cs="Arial" w:eastAsia="Arial" w:hAnsi="Arial"/>
          <w:sz w:val="18"/>
          <w:szCs w:val="18"/>
          <w:b w:val="1"/>
          <w:bCs w:val="1"/>
          <w:color w:val="auto"/>
        </w:rPr>
        <w:t>Number of private warrants to be sold as</w:t>
      </w:r>
    </w:p>
    <w:p>
      <w:pPr>
        <w:ind w:left="920"/>
        <w:spacing w:after="0" w:line="302" w:lineRule="auto"/>
        <w:rPr>
          <w:sz w:val="20"/>
          <w:szCs w:val="20"/>
          <w:color w:val="auto"/>
        </w:rPr>
      </w:pPr>
      <w:r>
        <w:rPr>
          <w:rFonts w:ascii="Arial" w:cs="Arial" w:eastAsia="Arial" w:hAnsi="Arial"/>
          <w:sz w:val="16"/>
          <w:szCs w:val="16"/>
          <w:b w:val="1"/>
          <w:bCs w:val="1"/>
          <w:color w:val="auto"/>
        </w:rPr>
        <w:t>part of the private units in a private placement simultaneously with this offering</w:t>
      </w:r>
    </w:p>
    <w:p>
      <w:pPr>
        <w:spacing w:after="0" w:line="219" w:lineRule="exact"/>
        <w:rPr>
          <w:sz w:val="20"/>
          <w:szCs w:val="20"/>
          <w:color w:val="auto"/>
        </w:rPr>
      </w:pPr>
    </w:p>
    <w:p>
      <w:pPr>
        <w:ind w:left="920" w:right="20" w:hanging="179"/>
        <w:spacing w:after="0" w:line="347" w:lineRule="auto"/>
        <w:rPr>
          <w:sz w:val="20"/>
          <w:szCs w:val="20"/>
          <w:color w:val="auto"/>
        </w:rPr>
      </w:pPr>
      <w:r>
        <w:rPr>
          <w:rFonts w:ascii="Arial" w:cs="Arial" w:eastAsia="Arial" w:hAnsi="Arial"/>
          <w:sz w:val="16"/>
          <w:szCs w:val="16"/>
          <w:b w:val="1"/>
          <w:bCs w:val="1"/>
          <w:color w:val="auto"/>
        </w:rPr>
        <w:t>Number to be outstanding after this offering and sale of private units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Exercisability</w:t>
      </w:r>
    </w:p>
    <w:p>
      <w:pPr>
        <w:spacing w:after="0" w:line="200" w:lineRule="exact"/>
        <w:rPr>
          <w:sz w:val="20"/>
          <w:szCs w:val="20"/>
          <w:color w:val="auto"/>
        </w:rPr>
      </w:pPr>
    </w:p>
    <w:p>
      <w:pPr>
        <w:spacing w:after="0" w:line="268" w:lineRule="exact"/>
        <w:rPr>
          <w:sz w:val="20"/>
          <w:szCs w:val="20"/>
          <w:color w:val="auto"/>
        </w:rPr>
      </w:pPr>
    </w:p>
    <w:p>
      <w:pPr>
        <w:ind w:left="740" w:right="60" w:hanging="179"/>
        <w:spacing w:after="0" w:line="282" w:lineRule="auto"/>
        <w:rPr>
          <w:sz w:val="20"/>
          <w:szCs w:val="20"/>
          <w:color w:val="auto"/>
        </w:rPr>
      </w:pPr>
      <w:r>
        <w:rPr>
          <w:rFonts w:ascii="Arial" w:cs="Arial" w:eastAsia="Arial" w:hAnsi="Arial"/>
          <w:sz w:val="18"/>
          <w:szCs w:val="18"/>
          <w:b w:val="1"/>
          <w:bCs w:val="1"/>
          <w:color w:val="auto"/>
        </w:rPr>
        <w:t>Exercise price of public warrants and private warrants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Exercise Period</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0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402,500 warrants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5,402,500 warrants</w:t>
      </w:r>
      <w:r>
        <w:rPr>
          <w:rFonts w:ascii="Arial" w:cs="Arial" w:eastAsia="Arial" w:hAnsi="Arial"/>
          <w:sz w:val="30"/>
          <w:szCs w:val="30"/>
          <w:color w:val="auto"/>
          <w:vertAlign w:val="superscript"/>
        </w:rPr>
        <w:t>(4)</w:t>
      </w:r>
    </w:p>
    <w:p>
      <w:pPr>
        <w:spacing w:after="0" w:line="151"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Each public warrant and private warrant is exercisable to purchase one share of our common stock.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$12.00 per share, subject to adjustments as described herein.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The warrants will become exercisable on the later of:</w:t>
      </w:r>
    </w:p>
    <w:p>
      <w:pPr>
        <w:spacing w:after="0" w:line="252" w:lineRule="exact"/>
        <w:rPr>
          <w:sz w:val="20"/>
          <w:szCs w:val="20"/>
          <w:color w:val="auto"/>
        </w:rPr>
      </w:pPr>
    </w:p>
    <w:p>
      <w:pPr>
        <w:ind w:left="440" w:right="559" w:hanging="214"/>
        <w:spacing w:after="0" w:line="277" w:lineRule="auto"/>
        <w:tabs>
          <w:tab w:leader="none" w:pos="626" w:val="left"/>
        </w:tabs>
        <w:numPr>
          <w:ilvl w:val="0"/>
          <w:numId w:val="4"/>
        </w:numPr>
        <w:rPr>
          <w:rFonts w:ascii="Arial" w:cs="Arial" w:eastAsia="Arial" w:hAnsi="Arial"/>
          <w:sz w:val="18"/>
          <w:szCs w:val="18"/>
          <w:color w:val="auto"/>
        </w:rPr>
      </w:pPr>
      <w:r>
        <w:rPr>
          <w:rFonts w:ascii="Arial" w:cs="Arial" w:eastAsia="Arial" w:hAnsi="Arial"/>
          <w:sz w:val="18"/>
          <w:szCs w:val="18"/>
          <w:color w:val="auto"/>
        </w:rPr>
        <w:t>30 days after the completion of our initial business combination, and</w:t>
      </w:r>
    </w:p>
    <w:p>
      <w:pPr>
        <w:spacing w:after="0" w:line="224" w:lineRule="exact"/>
        <w:rPr>
          <w:rFonts w:ascii="Arial" w:cs="Arial" w:eastAsia="Arial" w:hAnsi="Arial"/>
          <w:sz w:val="18"/>
          <w:szCs w:val="18"/>
          <w:color w:val="auto"/>
        </w:rPr>
      </w:pPr>
    </w:p>
    <w:p>
      <w:pPr>
        <w:ind w:left="420" w:hanging="194"/>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 months from the closing of this offering;</w:t>
      </w:r>
    </w:p>
    <w:p>
      <w:pPr>
        <w:spacing w:after="0" w:line="200" w:lineRule="exact"/>
        <w:rPr>
          <w:sz w:val="20"/>
          <w:szCs w:val="20"/>
          <w:color w:val="auto"/>
        </w:rPr>
      </w:pPr>
    </w:p>
    <w:p>
      <w:pPr>
        <w:sectPr>
          <w:pgSz w:w="11900" w:h="16838" w:orient="portrait"/>
          <w:cols w:equalWidth="0" w:num="2">
            <w:col w:w="3500" w:space="140"/>
            <w:col w:w="5379"/>
          </w:cols>
          <w:pgMar w:left="1440" w:top="324" w:right="1440" w:bottom="17" w:gutter="0" w:footer="0" w:header="0"/>
          <w:type w:val="continuous"/>
        </w:sectPr>
      </w:pPr>
    </w:p>
    <w:p>
      <w:pPr>
        <w:spacing w:after="0" w:line="52" w:lineRule="exact"/>
        <w:rPr>
          <w:sz w:val="20"/>
          <w:szCs w:val="20"/>
          <w:color w:val="auto"/>
        </w:rPr>
      </w:pPr>
    </w:p>
    <w:p>
      <w:pPr>
        <w:jc w:val="both"/>
        <w:ind w:left="3640" w:right="539"/>
        <w:spacing w:after="0" w:line="293" w:lineRule="auto"/>
        <w:rPr>
          <w:sz w:val="20"/>
          <w:szCs w:val="20"/>
          <w:color w:val="auto"/>
        </w:rPr>
      </w:pPr>
      <w:r>
        <w:rPr>
          <w:rFonts w:ascii="Arial" w:cs="Arial" w:eastAsia="Arial" w:hAnsi="Arial"/>
          <w:sz w:val="16"/>
          <w:szCs w:val="16"/>
          <w:color w:val="auto"/>
        </w:rPr>
        <w:t>provided in each case that we have an effective registration statement under the Securities Act covering the shares of common stock issuable upon exercise of the warrants and a current prospectus relating to them is available (or we permit holders to exercise their public warrants or private warrants on a cashless basis under the circumstances specified in the warrant agreement).</w:t>
      </w:r>
    </w:p>
    <w:p>
      <w:pPr>
        <w:spacing w:after="0" w:line="192" w:lineRule="exact"/>
        <w:rPr>
          <w:sz w:val="20"/>
          <w:szCs w:val="20"/>
          <w:color w:val="auto"/>
        </w:rPr>
      </w:pPr>
    </w:p>
    <w:p>
      <w:pPr>
        <w:jc w:val="both"/>
        <w:ind w:left="3640" w:right="539"/>
        <w:spacing w:after="0" w:line="301" w:lineRule="auto"/>
        <w:rPr>
          <w:sz w:val="20"/>
          <w:szCs w:val="20"/>
          <w:color w:val="auto"/>
        </w:rPr>
      </w:pPr>
      <w:r>
        <w:rPr>
          <w:rFonts w:ascii="Arial" w:cs="Arial" w:eastAsia="Arial" w:hAnsi="Arial"/>
          <w:sz w:val="15"/>
          <w:szCs w:val="15"/>
          <w:color w:val="auto"/>
        </w:rPr>
        <w:t>We have agreed to use our best efforts to file and have an effective registration statement covering the shares of common stock issuable upon exercise of the warrants, to maintain a current prospectus relating to those shares of common stock until the warrants expire or are redeemed, and to register the shares of common stock that are issuable upon exercise of the public warrants and private warrants under state blue sky laws, to the extent an exemption is not available. Notwithstanding the foregoing, if a registration statement covering the shares of common stock issuable upon exercise of the public warrants and private warrants has not been declared effective by the 90</w:t>
      </w:r>
      <w:r>
        <w:rPr>
          <w:rFonts w:ascii="Arial" w:cs="Arial" w:eastAsia="Arial" w:hAnsi="Arial"/>
          <w:sz w:val="18"/>
          <w:szCs w:val="18"/>
          <w:color w:val="auto"/>
          <w:vertAlign w:val="superscript"/>
        </w:rPr>
        <w:t>th</w:t>
      </w:r>
      <w:r>
        <w:rPr>
          <w:rFonts w:ascii="Arial" w:cs="Arial" w:eastAsia="Arial" w:hAnsi="Arial"/>
          <w:sz w:val="15"/>
          <w:szCs w:val="15"/>
          <w:color w:val="auto"/>
        </w:rPr>
        <w:t xml:space="preserve"> business day following the closing of our initial business combination and during any period when we shall have failed to maintain an effective registration statement, public warrant and private warrant holders may, until such time as there is an effective registration statement, exercise the public warrants and private warrants on a cashless basis pursuant to the exemption provided by Section 3(a)(9) of the Securities Act.</w:t>
      </w:r>
    </w:p>
    <w:p>
      <w:pPr>
        <w:spacing w:after="0" w:line="200" w:lineRule="exact"/>
        <w:rPr>
          <w:sz w:val="20"/>
          <w:szCs w:val="20"/>
          <w:color w:val="auto"/>
        </w:rPr>
      </w:pPr>
    </w:p>
    <w:p>
      <w:pPr>
        <w:spacing w:after="0" w:line="212" w:lineRule="exact"/>
        <w:rPr>
          <w:sz w:val="20"/>
          <w:szCs w:val="20"/>
          <w:color w:val="auto"/>
        </w:rPr>
      </w:pPr>
    </w:p>
    <w:p>
      <w:pPr>
        <w:jc w:val="both"/>
        <w:ind w:left="3640" w:right="559"/>
        <w:spacing w:after="0" w:line="271" w:lineRule="auto"/>
        <w:rPr>
          <w:sz w:val="20"/>
          <w:szCs w:val="20"/>
          <w:color w:val="auto"/>
        </w:rPr>
      </w:pPr>
      <w:r>
        <w:rPr>
          <w:rFonts w:ascii="Arial" w:cs="Arial" w:eastAsia="Arial" w:hAnsi="Arial"/>
          <w:sz w:val="17"/>
          <w:szCs w:val="17"/>
          <w:color w:val="auto"/>
        </w:rPr>
        <w:t>The public and private warrants will expire five years after the completion of our initial business combination, at 5:00 p.m., New York City time, or earlier upon redemption or liquidation.</w:t>
      </w:r>
    </w:p>
    <w:p>
      <w:pPr>
        <w:ind w:left="560"/>
        <w:spacing w:after="0"/>
        <w:rPr>
          <w:sz w:val="20"/>
          <w:szCs w:val="20"/>
          <w:color w:val="auto"/>
        </w:rPr>
      </w:pPr>
      <w:r>
        <w:rPr>
          <w:rFonts w:ascii="Arial" w:cs="Arial" w:eastAsia="Arial" w:hAnsi="Arial"/>
          <w:sz w:val="18"/>
          <w:szCs w:val="18"/>
          <w:color w:val="auto"/>
        </w:rPr>
        <w:t>____________</w:t>
      </w:r>
    </w:p>
    <w:p>
      <w:pPr>
        <w:spacing w:after="0" w:line="9" w:lineRule="exact"/>
        <w:rPr>
          <w:sz w:val="20"/>
          <w:szCs w:val="20"/>
          <w:color w:val="auto"/>
        </w:rPr>
      </w:pPr>
    </w:p>
    <w:p>
      <w:pPr>
        <w:ind w:left="880" w:right="559" w:hanging="328"/>
        <w:spacing w:after="0" w:line="250" w:lineRule="auto"/>
        <w:tabs>
          <w:tab w:leader="none" w:pos="93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insider shares that are subject to forfeiture if the over-allotment option is not exercised by the underwriters in full.</w:t>
      </w:r>
    </w:p>
    <w:p>
      <w:pPr>
        <w:ind w:left="880" w:right="559" w:hanging="328"/>
        <w:spacing w:after="0" w:line="250" w:lineRule="auto"/>
        <w:tabs>
          <w:tab w:leader="none" w:pos="93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187,500 insider shares have been forfeited.</w:t>
      </w:r>
    </w:p>
    <w:p>
      <w:pPr>
        <w:ind w:left="880" w:hanging="328"/>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w:t>
      </w:r>
    </w:p>
    <w:p>
      <w:pPr>
        <w:sectPr>
          <w:pgSz w:w="11900" w:h="16838" w:orient="portrait"/>
          <w:cols w:equalWidth="0" w:num="1">
            <w:col w:w="9019"/>
          </w:cols>
          <w:pgMar w:left="1440" w:top="324" w:right="1440" w:bottom="17" w:gutter="0" w:footer="0" w:header="0"/>
          <w:type w:val="continuous"/>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17" w:gutter="0" w:footer="0" w:header="0"/>
          <w:type w:val="continuous"/>
        </w:sectPr>
      </w:pPr>
    </w:p>
    <w:bookmarkStart w:id="12" w:name="page13"/>
    <w:bookmarkEnd w:id="12"/>
    <w:tbl>
      <w:tblPr>
        <w:tblLayout w:type="fixed"/>
        <w:tblInd w:w="560" w:type="dxa"/>
        <w:tblCellMar>
          <w:top w:w="0" w:type="dxa"/>
          <w:left w:w="0" w:type="dxa"/>
          <w:bottom w:w="0" w:type="dxa"/>
          <w:right w:w="0" w:type="dxa"/>
        </w:tblCellMar>
      </w:tblPr>
      <w:tr>
        <w:trPr>
          <w:trHeight w:val="220"/>
        </w:trPr>
        <w:tc>
          <w:tcPr>
            <w:tcW w:w="2480" w:type="dxa"/>
            <w:vAlign w:val="bottom"/>
          </w:tcPr>
          <w:p>
            <w:pPr>
              <w:spacing w:after="0"/>
              <w:rPr>
                <w:sz w:val="20"/>
                <w:szCs w:val="20"/>
                <w:color w:val="auto"/>
              </w:rPr>
            </w:pPr>
            <w:r>
              <w:rPr>
                <w:rFonts w:ascii="Arial" w:cs="Arial" w:eastAsia="Arial" w:hAnsi="Arial"/>
                <w:sz w:val="18"/>
                <w:szCs w:val="18"/>
                <w:b w:val="1"/>
                <w:bCs w:val="1"/>
                <w:color w:val="auto"/>
              </w:rPr>
              <w:t>Redemption of warrants</w:t>
            </w:r>
          </w:p>
        </w:tc>
        <w:tc>
          <w:tcPr>
            <w:tcW w:w="2820" w:type="dxa"/>
            <w:vAlign w:val="bottom"/>
            <w:gridSpan w:val="2"/>
          </w:tcPr>
          <w:p>
            <w:pPr>
              <w:ind w:left="600"/>
              <w:spacing w:after="0"/>
              <w:rPr>
                <w:sz w:val="20"/>
                <w:szCs w:val="20"/>
                <w:color w:val="auto"/>
              </w:rPr>
            </w:pPr>
            <w:r>
              <w:rPr>
                <w:rFonts w:ascii="Arial" w:cs="Arial" w:eastAsia="Arial" w:hAnsi="Arial"/>
                <w:sz w:val="18"/>
                <w:szCs w:val="18"/>
                <w:color w:val="auto"/>
              </w:rPr>
              <w:t>Once the warrants become</w:t>
            </w:r>
          </w:p>
        </w:tc>
        <w:tc>
          <w:tcPr>
            <w:tcW w:w="1260" w:type="dxa"/>
            <w:vAlign w:val="bottom"/>
          </w:tcPr>
          <w:p>
            <w:pPr>
              <w:jc w:val="right"/>
              <w:spacing w:after="0"/>
              <w:rPr>
                <w:sz w:val="20"/>
                <w:szCs w:val="20"/>
                <w:color w:val="auto"/>
              </w:rPr>
            </w:pPr>
            <w:r>
              <w:rPr>
                <w:rFonts w:ascii="Arial" w:cs="Arial" w:eastAsia="Arial" w:hAnsi="Arial"/>
                <w:sz w:val="18"/>
                <w:szCs w:val="18"/>
                <w:color w:val="auto"/>
                <w:w w:val="95"/>
              </w:rPr>
              <w:t>exercisable, we</w:t>
            </w:r>
          </w:p>
        </w:tc>
        <w:tc>
          <w:tcPr>
            <w:tcW w:w="1120" w:type="dxa"/>
            <w:vAlign w:val="bottom"/>
          </w:tcPr>
          <w:p>
            <w:pPr>
              <w:ind w:left="60"/>
              <w:spacing w:after="0"/>
              <w:rPr>
                <w:sz w:val="20"/>
                <w:szCs w:val="20"/>
                <w:color w:val="auto"/>
              </w:rPr>
            </w:pPr>
            <w:r>
              <w:rPr>
                <w:rFonts w:ascii="Arial" w:cs="Arial" w:eastAsia="Arial" w:hAnsi="Arial"/>
                <w:sz w:val="18"/>
                <w:szCs w:val="18"/>
                <w:color w:val="auto"/>
              </w:rPr>
              <w:t>may redeem</w:t>
            </w:r>
          </w:p>
        </w:tc>
        <w:tc>
          <w:tcPr>
            <w:tcW w:w="220" w:type="dxa"/>
            <w:vAlign w:val="bottom"/>
          </w:tcPr>
          <w:p>
            <w:pPr>
              <w:jc w:val="right"/>
              <w:spacing w:after="0"/>
              <w:rPr>
                <w:sz w:val="20"/>
                <w:szCs w:val="20"/>
                <w:color w:val="auto"/>
              </w:rPr>
            </w:pPr>
            <w:r>
              <w:rPr>
                <w:rFonts w:ascii="Arial" w:cs="Arial" w:eastAsia="Arial" w:hAnsi="Arial"/>
                <w:sz w:val="18"/>
                <w:szCs w:val="18"/>
                <w:color w:val="auto"/>
                <w:w w:val="79"/>
              </w:rPr>
              <w:t>the</w:t>
            </w:r>
          </w:p>
        </w:tc>
      </w:tr>
      <w:tr>
        <w:trPr>
          <w:trHeight w:val="230"/>
        </w:trPr>
        <w:tc>
          <w:tcPr>
            <w:tcW w:w="2480" w:type="dxa"/>
            <w:vAlign w:val="bottom"/>
          </w:tcPr>
          <w:p>
            <w:pPr>
              <w:spacing w:after="0"/>
              <w:rPr>
                <w:sz w:val="20"/>
                <w:szCs w:val="20"/>
                <w:color w:val="auto"/>
              </w:rPr>
            </w:pPr>
          </w:p>
        </w:tc>
        <w:tc>
          <w:tcPr>
            <w:tcW w:w="2820" w:type="dxa"/>
            <w:vAlign w:val="bottom"/>
            <w:gridSpan w:val="2"/>
          </w:tcPr>
          <w:p>
            <w:pPr>
              <w:ind w:left="600"/>
              <w:spacing w:after="0"/>
              <w:rPr>
                <w:sz w:val="20"/>
                <w:szCs w:val="20"/>
                <w:color w:val="auto"/>
              </w:rPr>
            </w:pPr>
            <w:r>
              <w:rPr>
                <w:rFonts w:ascii="Arial" w:cs="Arial" w:eastAsia="Arial" w:hAnsi="Arial"/>
                <w:sz w:val="18"/>
                <w:szCs w:val="18"/>
                <w:color w:val="auto"/>
              </w:rPr>
              <w:t>outstanding warrants:</w:t>
            </w: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5"/>
        </w:trPr>
        <w:tc>
          <w:tcPr>
            <w:tcW w:w="2480" w:type="dxa"/>
            <w:vAlign w:val="bottom"/>
          </w:tcPr>
          <w:p>
            <w:pPr>
              <w:spacing w:after="0"/>
              <w:rPr>
                <w:sz w:val="24"/>
                <w:szCs w:val="24"/>
                <w:color w:val="auto"/>
              </w:rPr>
            </w:pPr>
          </w:p>
        </w:tc>
        <w:tc>
          <w:tcPr>
            <w:tcW w:w="2820" w:type="dxa"/>
            <w:vAlign w:val="bottom"/>
            <w:gridSpan w:val="2"/>
          </w:tcPr>
          <w:p>
            <w:pPr>
              <w:ind w:left="820"/>
              <w:spacing w:after="0"/>
              <w:rPr>
                <w:sz w:val="20"/>
                <w:szCs w:val="20"/>
                <w:color w:val="auto"/>
              </w:rPr>
            </w:pPr>
            <w:r>
              <w:rPr>
                <w:rFonts w:ascii="Arial" w:cs="Arial" w:eastAsia="Arial" w:hAnsi="Arial"/>
                <w:sz w:val="18"/>
                <w:szCs w:val="18"/>
                <w:color w:val="auto"/>
              </w:rPr>
              <w:t>•  in whole or in part</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2480" w:type="dxa"/>
            <w:vAlign w:val="bottom"/>
          </w:tcPr>
          <w:p>
            <w:pPr>
              <w:spacing w:after="0"/>
              <w:rPr>
                <w:sz w:val="18"/>
                <w:szCs w:val="18"/>
                <w:color w:val="auto"/>
              </w:rPr>
            </w:pPr>
          </w:p>
        </w:tc>
        <w:tc>
          <w:tcPr>
            <w:tcW w:w="960" w:type="dxa"/>
            <w:vAlign w:val="bottom"/>
          </w:tcPr>
          <w:p>
            <w:pPr>
              <w:ind w:left="820"/>
              <w:spacing w:after="0"/>
              <w:rPr>
                <w:sz w:val="20"/>
                <w:szCs w:val="20"/>
                <w:color w:val="auto"/>
              </w:rPr>
            </w:pPr>
            <w:r>
              <w:rPr>
                <w:rFonts w:ascii="Arial" w:cs="Arial" w:eastAsia="Arial" w:hAnsi="Arial"/>
                <w:sz w:val="18"/>
                <w:szCs w:val="18"/>
                <w:color w:val="auto"/>
              </w:rPr>
              <w:t>•</w:t>
            </w:r>
          </w:p>
        </w:tc>
        <w:tc>
          <w:tcPr>
            <w:tcW w:w="3120" w:type="dxa"/>
            <w:vAlign w:val="bottom"/>
            <w:gridSpan w:val="2"/>
          </w:tcPr>
          <w:p>
            <w:pPr>
              <w:jc w:val="right"/>
              <w:ind w:right="750"/>
              <w:spacing w:after="0"/>
              <w:rPr>
                <w:sz w:val="20"/>
                <w:szCs w:val="20"/>
                <w:color w:val="auto"/>
              </w:rPr>
            </w:pPr>
            <w:r>
              <w:rPr>
                <w:rFonts w:ascii="Arial" w:cs="Arial" w:eastAsia="Arial" w:hAnsi="Arial"/>
                <w:sz w:val="18"/>
                <w:szCs w:val="18"/>
                <w:color w:val="auto"/>
                <w:w w:val="92"/>
              </w:rPr>
              <w:t>at a price of $0.01 per warrant;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2480" w:type="dxa"/>
            <w:vAlign w:val="bottom"/>
          </w:tcPr>
          <w:p>
            <w:pPr>
              <w:spacing w:after="0"/>
              <w:rPr>
                <w:sz w:val="20"/>
                <w:szCs w:val="20"/>
                <w:color w:val="auto"/>
              </w:rPr>
            </w:pPr>
          </w:p>
        </w:tc>
        <w:tc>
          <w:tcPr>
            <w:tcW w:w="960" w:type="dxa"/>
            <w:vAlign w:val="bottom"/>
          </w:tcPr>
          <w:p>
            <w:pPr>
              <w:ind w:left="820"/>
              <w:spacing w:after="0"/>
              <w:rPr>
                <w:sz w:val="20"/>
                <w:szCs w:val="20"/>
                <w:color w:val="auto"/>
              </w:rPr>
            </w:pPr>
            <w:r>
              <w:rPr>
                <w:rFonts w:ascii="Arial" w:cs="Arial" w:eastAsia="Arial" w:hAnsi="Arial"/>
                <w:sz w:val="18"/>
                <w:szCs w:val="18"/>
                <w:color w:val="auto"/>
              </w:rPr>
              <w:t>•</w:t>
            </w:r>
          </w:p>
        </w:tc>
        <w:tc>
          <w:tcPr>
            <w:tcW w:w="1860" w:type="dxa"/>
            <w:vAlign w:val="bottom"/>
          </w:tcPr>
          <w:p>
            <w:pPr>
              <w:ind w:left="220"/>
              <w:spacing w:after="0"/>
              <w:rPr>
                <w:sz w:val="20"/>
                <w:szCs w:val="20"/>
                <w:color w:val="auto"/>
              </w:rPr>
            </w:pPr>
            <w:r>
              <w:rPr>
                <w:rFonts w:ascii="Arial" w:cs="Arial" w:eastAsia="Arial" w:hAnsi="Arial"/>
                <w:sz w:val="18"/>
                <w:szCs w:val="18"/>
                <w:color w:val="auto"/>
              </w:rPr>
              <w:t>upon a minimum of</w:t>
            </w:r>
          </w:p>
        </w:tc>
        <w:tc>
          <w:tcPr>
            <w:tcW w:w="1260" w:type="dxa"/>
            <w:vAlign w:val="bottom"/>
          </w:tcPr>
          <w:p>
            <w:pPr>
              <w:jc w:val="right"/>
              <w:spacing w:after="0"/>
              <w:rPr>
                <w:sz w:val="20"/>
                <w:szCs w:val="20"/>
                <w:color w:val="auto"/>
              </w:rPr>
            </w:pPr>
            <w:r>
              <w:rPr>
                <w:rFonts w:ascii="Arial" w:cs="Arial" w:eastAsia="Arial" w:hAnsi="Arial"/>
                <w:sz w:val="18"/>
                <w:szCs w:val="18"/>
                <w:color w:val="auto"/>
              </w:rPr>
              <w:t>30 days’ prior</w:t>
            </w:r>
          </w:p>
        </w:tc>
        <w:tc>
          <w:tcPr>
            <w:tcW w:w="1120" w:type="dxa"/>
            <w:vAlign w:val="bottom"/>
          </w:tcPr>
          <w:p>
            <w:pPr>
              <w:ind w:left="40"/>
              <w:spacing w:after="0"/>
              <w:rPr>
                <w:sz w:val="20"/>
                <w:szCs w:val="20"/>
                <w:color w:val="auto"/>
              </w:rPr>
            </w:pPr>
            <w:r>
              <w:rPr>
                <w:rFonts w:ascii="Arial" w:cs="Arial" w:eastAsia="Arial" w:hAnsi="Arial"/>
                <w:sz w:val="18"/>
                <w:szCs w:val="18"/>
                <w:color w:val="auto"/>
                <w:w w:val="99"/>
              </w:rPr>
              <w:t>written notice</w:t>
            </w:r>
          </w:p>
        </w:tc>
        <w:tc>
          <w:tcPr>
            <w:tcW w:w="220" w:type="dxa"/>
            <w:vAlign w:val="bottom"/>
          </w:tcPr>
          <w:p>
            <w:pPr>
              <w:jc w:val="right"/>
              <w:spacing w:after="0"/>
              <w:rPr>
                <w:sz w:val="20"/>
                <w:szCs w:val="20"/>
                <w:color w:val="auto"/>
              </w:rPr>
            </w:pPr>
            <w:r>
              <w:rPr>
                <w:rFonts w:ascii="Arial" w:cs="Arial" w:eastAsia="Arial" w:hAnsi="Arial"/>
                <w:sz w:val="18"/>
                <w:szCs w:val="18"/>
                <w:color w:val="auto"/>
              </w:rPr>
              <w:t>of</w:t>
            </w:r>
          </w:p>
        </w:tc>
      </w:tr>
    </w:tbl>
    <w:p>
      <w:pPr>
        <w:ind w:left="40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409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9850" cy="9409430"/>
                    </a:xfrm>
                    <a:prstGeom prst="rect">
                      <a:avLst/>
                    </a:prstGeom>
                    <a:noFill/>
                  </pic:spPr>
                </pic:pic>
              </a:graphicData>
            </a:graphic>
          </wp:anchor>
        </w:drawing>
        <w:t>redemption, which we refer to as the 30-day redemption</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period; and</w:t>
      </w:r>
    </w:p>
    <w:p>
      <w:pPr>
        <w:spacing w:after="0" w:line="9" w:lineRule="exact"/>
        <w:rPr>
          <w:sz w:val="20"/>
          <w:szCs w:val="20"/>
          <w:color w:val="auto"/>
        </w:rPr>
      </w:pPr>
    </w:p>
    <w:p>
      <w:pPr>
        <w:jc w:val="both"/>
        <w:ind w:left="4080" w:right="539" w:hanging="215"/>
        <w:spacing w:after="0" w:line="253" w:lineRule="auto"/>
        <w:rPr>
          <w:sz w:val="20"/>
          <w:szCs w:val="20"/>
          <w:color w:val="auto"/>
        </w:rPr>
      </w:pPr>
      <w:r>
        <w:rPr>
          <w:rFonts w:ascii="Arial" w:cs="Arial" w:eastAsia="Arial" w:hAnsi="Arial"/>
          <w:sz w:val="18"/>
          <w:szCs w:val="18"/>
          <w:color w:val="auto"/>
        </w:rPr>
        <w:t>• if, and only if, the last sale price of our common stock equals or exceeds $16.00 per share for any 20 trading days within a 30-trading day period ending on the third trading day prior to the date on which we send the notice of redemption to the warrant holders.</w:t>
      </w:r>
    </w:p>
    <w:p>
      <w:pPr>
        <w:spacing w:after="0" w:line="218" w:lineRule="exact"/>
        <w:rPr>
          <w:sz w:val="20"/>
          <w:szCs w:val="20"/>
          <w:color w:val="auto"/>
        </w:rPr>
      </w:pPr>
    </w:p>
    <w:p>
      <w:pPr>
        <w:jc w:val="both"/>
        <w:ind w:left="3640" w:right="539"/>
        <w:spacing w:after="0" w:line="269" w:lineRule="auto"/>
        <w:rPr>
          <w:sz w:val="20"/>
          <w:szCs w:val="20"/>
          <w:color w:val="auto"/>
        </w:rPr>
      </w:pPr>
      <w:r>
        <w:rPr>
          <w:rFonts w:ascii="Arial" w:cs="Arial" w:eastAsia="Arial" w:hAnsi="Arial"/>
          <w:sz w:val="17"/>
          <w:szCs w:val="17"/>
          <w:color w:val="auto"/>
        </w:rPr>
        <w:t>We will not redeem the warrants unless an effective registration statement under the Securities Act covering the shares of common stock issuable upon exercise of the warrants is effective and a current prospectus relating to those shares of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210" w:lineRule="exact"/>
        <w:rPr>
          <w:sz w:val="20"/>
          <w:szCs w:val="20"/>
          <w:color w:val="auto"/>
        </w:rPr>
      </w:pPr>
    </w:p>
    <w:p>
      <w:pPr>
        <w:jc w:val="both"/>
        <w:ind w:left="3640" w:right="559"/>
        <w:spacing w:after="0" w:line="283"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In such event, each holder would pay the exercise price by surrendering the warrants for that number of shares of common stock equal to the quotient obtained by dividing</w:t>
      </w:r>
    </w:p>
    <w:p>
      <w:pPr>
        <w:spacing w:after="0" w:line="5" w:lineRule="exact"/>
        <w:rPr>
          <w:sz w:val="20"/>
          <w:szCs w:val="20"/>
          <w:color w:val="auto"/>
        </w:rPr>
      </w:pPr>
    </w:p>
    <w:p>
      <w:pPr>
        <w:jc w:val="both"/>
        <w:ind w:left="3640" w:right="539" w:firstLine="10"/>
        <w:spacing w:after="0" w:line="281" w:lineRule="auto"/>
        <w:tabs>
          <w:tab w:leader="none" w:pos="396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product of the number of shares of common stock underlying the warrants, multiplied by the difference between the exercise price of the warrants and the “fair market value” (defined below) by (y) the fair market value. The “fair market value” shall mean the average reported closing price of the common stock for the 10 trading days ending on the third trading day prior to the date on which the notice of redemption is sent to the holders of warrants. Please see the section entitled “Description of Securities</w:t>
      </w:r>
    </w:p>
    <w:p>
      <w:pPr>
        <w:spacing w:after="0" w:line="5" w:lineRule="exact"/>
        <w:rPr>
          <w:rFonts w:ascii="Arial" w:cs="Arial" w:eastAsia="Arial" w:hAnsi="Arial"/>
          <w:sz w:val="16"/>
          <w:szCs w:val="16"/>
          <w:color w:val="auto"/>
        </w:rPr>
      </w:pPr>
    </w:p>
    <w:p>
      <w:pPr>
        <w:ind w:left="3640" w:right="559"/>
        <w:spacing w:after="0" w:line="261" w:lineRule="auto"/>
        <w:rPr>
          <w:rFonts w:ascii="Arial" w:cs="Arial" w:eastAsia="Arial" w:hAnsi="Arial"/>
          <w:sz w:val="16"/>
          <w:szCs w:val="16"/>
          <w:color w:val="auto"/>
        </w:rPr>
      </w:pPr>
      <w:r>
        <w:rPr>
          <w:rFonts w:ascii="Arial" w:cs="Arial" w:eastAsia="Arial" w:hAnsi="Arial"/>
          <w:sz w:val="18"/>
          <w:szCs w:val="18"/>
          <w:color w:val="auto"/>
        </w:rPr>
        <w:t>— Warrants — Public Stockholders’ Warrants” for additional information.</w:t>
      </w:r>
    </w:p>
    <w:p>
      <w:pPr>
        <w:spacing w:after="0" w:line="211" w:lineRule="exact"/>
        <w:rPr>
          <w:sz w:val="20"/>
          <w:szCs w:val="20"/>
          <w:color w:val="auto"/>
        </w:rPr>
      </w:pPr>
    </w:p>
    <w:p>
      <w:pPr>
        <w:jc w:val="both"/>
        <w:ind w:left="3640" w:right="559"/>
        <w:spacing w:after="0" w:line="264" w:lineRule="auto"/>
        <w:rPr>
          <w:sz w:val="20"/>
          <w:szCs w:val="20"/>
          <w:color w:val="auto"/>
        </w:rPr>
      </w:pPr>
      <w:r>
        <w:rPr>
          <w:rFonts w:ascii="Arial" w:cs="Arial" w:eastAsia="Arial" w:hAnsi="Arial"/>
          <w:sz w:val="18"/>
          <w:szCs w:val="18"/>
          <w:color w:val="auto"/>
        </w:rPr>
        <w:t>None of the private warrants will be redeemable by us so long as they are held by the initial purchasers of the private warrants or any of their permitted transferees.</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Offering proceeds to be held in the</w:t>
      </w:r>
    </w:p>
    <w:p>
      <w:pPr>
        <w:spacing w:after="0" w:line="27" w:lineRule="exact"/>
        <w:rPr>
          <w:sz w:val="20"/>
          <w:szCs w:val="20"/>
          <w:color w:val="auto"/>
        </w:rPr>
      </w:pPr>
    </w:p>
    <w:p>
      <w:pPr>
        <w:jc w:val="both"/>
        <w:ind w:left="3640" w:right="539" w:hanging="2912"/>
        <w:spacing w:after="0" w:line="306" w:lineRule="auto"/>
        <w:tabs>
          <w:tab w:leader="none" w:pos="3620" w:val="left"/>
        </w:tabs>
        <w:rPr>
          <w:sz w:val="20"/>
          <w:szCs w:val="20"/>
          <w:color w:val="auto"/>
        </w:rPr>
      </w:pPr>
      <w:r>
        <w:rPr>
          <w:rFonts w:ascii="Arial" w:cs="Arial" w:eastAsia="Arial" w:hAnsi="Arial"/>
          <w:sz w:val="18"/>
          <w:szCs w:val="18"/>
          <w:b w:val="1"/>
          <w:bCs w:val="1"/>
          <w:color w:val="auto"/>
        </w:rPr>
        <w:t>trust account</w:t>
      </w:r>
      <w:r>
        <w:rPr>
          <w:sz w:val="20"/>
          <w:szCs w:val="20"/>
          <w:color w:val="auto"/>
        </w:rPr>
        <w:tab/>
      </w:r>
      <w:r>
        <w:rPr>
          <w:rFonts w:ascii="Arial" w:cs="Arial" w:eastAsia="Arial" w:hAnsi="Arial"/>
          <w:sz w:val="15"/>
          <w:szCs w:val="15"/>
          <w:color w:val="auto"/>
        </w:rPr>
        <w:t>$51,500,000 (or $59,225,000 if the over-allotment option is exercised in full) of the net proceeds of this offering and the proceeds we will receive from the sale of the private units, or $10.30 per unit sold to the public in this offering, will be placed in a trust account in the United States at Morgan Stanley Bank, N.A., maintained by Continental Stock Transfer &amp; Trust Company, acting as trustee pursuant to an agreement to be signed on the date of this prospectus. These proceeds include $1,000,000 (or $1,150,000 if the underwriters’ over-allotment option is exercised in full) in deferred underwriting commissions which will be paid to the underwriters upon the closing of a business combination. The remainder of the net proceeds of this offering will not be held in the trust account.</w:t>
      </w:r>
    </w:p>
    <w:p>
      <w:pPr>
        <w:sectPr>
          <w:pgSz w:w="11900" w:h="16838" w:orient="portrait"/>
          <w:cols w:equalWidth="0" w:num="1">
            <w:col w:w="9019"/>
          </w:cols>
          <w:pgMar w:left="1440" w:top="324" w:right="1440" w:bottom="10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1002" w:gutter="0" w:footer="0" w:header="0"/>
          <w:type w:val="continuous"/>
        </w:sectPr>
      </w:pPr>
    </w:p>
    <w:bookmarkStart w:id="13" w:name="page14"/>
    <w:bookmarkEnd w:id="13"/>
    <w:tbl>
      <w:tblPr>
        <w:tblLayout w:type="fixed"/>
        <w:tblInd w:w="56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Except as set forth below, the proceeds held in the trust account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5"/>
              </w:rPr>
              <w:t>will not be released until the earlier of: (1) the completion of our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6"/>
              </w:rPr>
              <w:t>initial business combination within the required time period and</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(2) our redemption of 100% of the outstanding public shares if we</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have not completed a business combination in the required time</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period.  Therefore,  unless  and  until  our  initial  business</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combination is consummated, the proceeds held in the trust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3"/>
              </w:rPr>
              <w:t>account will not be available for our use for any expenses related</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8"/>
              </w:rPr>
              <w:t>to this offering or expenses which we may incur related to the</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0"/>
              </w:rPr>
              <w:t>investigation and selection of a target business and the negotiation</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of  an  agreement  in  connection  with  our  initial  business</w:t>
            </w:r>
          </w:p>
        </w:tc>
      </w:tr>
      <w:tr>
        <w:trPr>
          <w:trHeight w:val="230"/>
        </w:trPr>
        <w:tc>
          <w:tcPr>
            <w:tcW w:w="2100" w:type="dxa"/>
            <w:vAlign w:val="bottom"/>
          </w:tcPr>
          <w:p>
            <w:pPr>
              <w:spacing w:after="0"/>
              <w:rPr>
                <w:sz w:val="20"/>
                <w:szCs w:val="20"/>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combination.</w:t>
            </w:r>
          </w:p>
        </w:tc>
      </w:tr>
      <w:tr>
        <w:trPr>
          <w:trHeight w:val="445"/>
        </w:trPr>
        <w:tc>
          <w:tcPr>
            <w:tcW w:w="2100" w:type="dxa"/>
            <w:vAlign w:val="bottom"/>
          </w:tcPr>
          <w:p>
            <w:pPr>
              <w:spacing w:after="0"/>
              <w:rPr>
                <w:sz w:val="24"/>
                <w:szCs w:val="24"/>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5"/>
              </w:rPr>
              <w:t>Notwithstanding the foregoing, there can be released to us from</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the trust account (1) any interest earned on the funds in the trust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5"/>
              </w:rPr>
              <w:t>account that we need to pay our income or other tax obligations</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7"/>
              </w:rPr>
              <w:t>and (2) any remaining interest earned on the funds in the trust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account that we need for our working capital requirements. With</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these exceptions, expenses incurred by us may be paid prior to a</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business combination only from the net proceeds of this offering</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not held in the trust account of approximately $525,000; provided,</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however, that in order to meet our working capital needs following</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the consummation of this offering, if the funds not held in the trust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account and interest earned on the funds held in the trust account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3"/>
              </w:rPr>
              <w:t>available to us are insufficient, our insiders, officers and directors</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or their affiliates may, but are not obligated to, loan us funds, from</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time to time or at any time, in whatever amount they deem</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reasonable in their sole discretion. Each loan would be evidenced</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by a promissory note. The notes would either be paid upon</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8"/>
              </w:rPr>
              <w:t>consummation  of  our  initial  business  combination,  without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interest, or, at the lender’s discretion, up to $200,000 of the notes</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may  be  converted  upon  consummation  of  our  business</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5"/>
              </w:rPr>
              <w:t>combination into additional private units at a price of $10.00 per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3"/>
              </w:rPr>
              <w:t>unit. Our stockholders have approved the issuance of the private</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units upon conversion of such notes, to the extent the holder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3"/>
              </w:rPr>
              <w:t>wishes to so convert such notes at the time of the consummation</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of our initial business combination. If we do not complete a</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business  combination,  any  other  outstanding  loans  from  our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9"/>
              </w:rPr>
              <w:t>insiders, officers and directors or their affiliates, will be repaid</w:t>
            </w:r>
          </w:p>
        </w:tc>
      </w:tr>
      <w:tr>
        <w:trPr>
          <w:trHeight w:val="230"/>
        </w:trPr>
        <w:tc>
          <w:tcPr>
            <w:tcW w:w="2100" w:type="dxa"/>
            <w:vAlign w:val="bottom"/>
          </w:tcPr>
          <w:p>
            <w:pPr>
              <w:spacing w:after="0"/>
              <w:rPr>
                <w:sz w:val="20"/>
                <w:szCs w:val="20"/>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7"/>
              </w:rPr>
              <w:t>only from amounts remaining outside our trust account, if any.</w:t>
            </w:r>
          </w:p>
        </w:tc>
      </w:tr>
      <w:tr>
        <w:trPr>
          <w:trHeight w:val="445"/>
        </w:trPr>
        <w:tc>
          <w:tcPr>
            <w:tcW w:w="2100" w:type="dxa"/>
            <w:vAlign w:val="bottom"/>
          </w:tcPr>
          <w:p>
            <w:pPr>
              <w:spacing w:after="0"/>
              <w:rPr>
                <w:sz w:val="20"/>
                <w:szCs w:val="20"/>
                <w:color w:val="auto"/>
              </w:rPr>
            </w:pPr>
            <w:r>
              <w:rPr>
                <w:rFonts w:ascii="Arial" w:cs="Arial" w:eastAsia="Arial" w:hAnsi="Arial"/>
                <w:sz w:val="18"/>
                <w:szCs w:val="18"/>
                <w:b w:val="1"/>
                <w:bCs w:val="1"/>
                <w:color w:val="auto"/>
              </w:rPr>
              <w:t>Insider Shares</w:t>
            </w:r>
          </w:p>
        </w:tc>
        <w:tc>
          <w:tcPr>
            <w:tcW w:w="5820" w:type="dxa"/>
            <w:vAlign w:val="bottom"/>
          </w:tcPr>
          <w:p>
            <w:pPr>
              <w:ind w:left="980"/>
              <w:spacing w:after="0"/>
              <w:rPr>
                <w:sz w:val="20"/>
                <w:szCs w:val="20"/>
                <w:color w:val="auto"/>
              </w:rPr>
            </w:pPr>
            <w:r>
              <w:rPr>
                <w:rFonts w:ascii="Arial" w:cs="Arial" w:eastAsia="Arial" w:hAnsi="Arial"/>
                <w:sz w:val="18"/>
                <w:szCs w:val="18"/>
                <w:color w:val="auto"/>
                <w:w w:val="96"/>
              </w:rPr>
              <w:t>In April 2015, we sold an aggregate of 1,437,500 shares of our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common stock for $25,000, or approximately $.02 per share, to M</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89"/>
              </w:rPr>
              <w:t>SPAC LLC, which is controlled by Joshua Sason. On July 20, 2016,</w:t>
            </w:r>
          </w:p>
        </w:tc>
      </w:tr>
      <w:tr>
        <w:trPr>
          <w:trHeight w:val="230"/>
        </w:trPr>
        <w:tc>
          <w:tcPr>
            <w:tcW w:w="2100" w:type="dxa"/>
            <w:vAlign w:val="bottom"/>
          </w:tcPr>
          <w:p>
            <w:pPr>
              <w:spacing w:after="0"/>
              <w:rPr>
                <w:sz w:val="20"/>
                <w:szCs w:val="20"/>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89"/>
              </w:rPr>
              <w:t>M SPAC LLC sold back 494,480 shares to us at a price equal to the</w:t>
            </w:r>
          </w:p>
        </w:tc>
      </w:tr>
    </w:tbl>
    <w:p>
      <w:pPr>
        <w:jc w:val="both"/>
        <w:ind w:left="3640" w:right="539"/>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10164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9850" cy="10164445"/>
                    </a:xfrm>
                    <a:prstGeom prst="rect">
                      <a:avLst/>
                    </a:prstGeom>
                    <a:noFill/>
                  </pic:spPr>
                </pic:pic>
              </a:graphicData>
            </a:graphic>
          </wp:anchor>
        </w:drawing>
        <w:t>amount paid for such shares. We subsequently sold an aggregate of 494,480 shares of our common stock for $8,599.65, or approximately $.02 per share, to M SPAC Holdings I LLC and M SPAC Holdings II LLC, each of which is controlled by Joshua Sason. The 1,437,500 insider shares held or controlled by our insiders include an aggregate of up to 187,500 shares subject to forfeiture to the extent that the underwriters’ over-allotment option is not exercised in full or in part, so that our insiders will collectively own or control 20.0% of our issued and outstanding shares after this offering (excluding the sale of the private units and assuming our insiders do not purchase units in this offering). The purchase price of the insider shares was determined by dividing the amount of cash contributed to the company by the number of insider shares issued. If we increase or decrease the size of the offering pursuant to Rule 462(b) under the Securities Act, we will effect a stock dividend or share contribution back to capital, as applicable, immediately prior to the consummation of the offering in such amount as to maintain the ownership of our stockholders prior to this offering at 25% of the number of shares sold in this offering. Our insiders will collectively beneficially own approximately 24.8% of our issued and outstanding shares after this offering (assuming they do not purchase any public units in this offering and the underwriters do not exercise all or a portion of the over-allotment option). Up to 187,500 insider shares will be subject to forfeiture by our insiders and their designees (and/or their permitted transferees) depending on the extent to which the underwriters’ over-allotment option is exercised.</w:t>
      </w:r>
    </w:p>
    <w:p>
      <w:pPr>
        <w:sectPr>
          <w:pgSz w:w="11900" w:h="16838" w:orient="portrait"/>
          <w:cols w:equalWidth="0" w:num="1">
            <w:col w:w="9019"/>
          </w:cols>
          <w:pgMar w:left="1440" w:top="328" w:right="144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0" w:gutter="0" w:footer="0" w:header="0"/>
          <w:type w:val="continuous"/>
        </w:sectPr>
      </w:pPr>
    </w:p>
    <w:bookmarkStart w:id="14" w:name="page15"/>
    <w:bookmarkEnd w:id="14"/>
    <w:p>
      <w:pPr>
        <w:ind w:left="3640" w:right="559"/>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272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9850" cy="9272270"/>
                    </a:xfrm>
                    <a:prstGeom prst="rect">
                      <a:avLst/>
                    </a:prstGeom>
                    <a:noFill/>
                  </pic:spPr>
                </pic:pic>
              </a:graphicData>
            </a:graphic>
          </wp:anchor>
        </w:drawing>
        <w:t>The insider shares are identical to the shares of common stock included in the units being sold in this offering, except that:</w:t>
      </w:r>
    </w:p>
    <w:p>
      <w:pPr>
        <w:spacing w:after="0" w:line="174" w:lineRule="exact"/>
        <w:rPr>
          <w:sz w:val="20"/>
          <w:szCs w:val="20"/>
          <w:color w:val="auto"/>
        </w:rPr>
      </w:pPr>
    </w:p>
    <w:p>
      <w:pPr>
        <w:jc w:val="both"/>
        <w:ind w:left="4080" w:right="559" w:hanging="215"/>
        <w:spacing w:after="0" w:line="277" w:lineRule="auto"/>
        <w:tabs>
          <w:tab w:leader="none" w:pos="4060" w:val="left"/>
        </w:tabs>
        <w:rPr>
          <w:sz w:val="20"/>
          <w:szCs w:val="20"/>
          <w:color w:val="auto"/>
        </w:rPr>
      </w:pPr>
      <w:r>
        <w:rPr>
          <w:rFonts w:ascii="Arial" w:cs="Arial" w:eastAsia="Arial" w:hAnsi="Arial"/>
          <w:sz w:val="18"/>
          <w:szCs w:val="18"/>
          <w:color w:val="auto"/>
        </w:rPr>
        <w:t>•</w:t>
        <w:tab/>
        <w:t>the insider shares are subject to certain transfer restrictions, as described in more detail below, and</w:t>
      </w:r>
    </w:p>
    <w:p>
      <w:pPr>
        <w:spacing w:after="0" w:line="197" w:lineRule="exact"/>
        <w:rPr>
          <w:sz w:val="20"/>
          <w:szCs w:val="20"/>
          <w:color w:val="auto"/>
        </w:rPr>
      </w:pPr>
    </w:p>
    <w:p>
      <w:pPr>
        <w:jc w:val="both"/>
        <w:ind w:left="4080" w:right="539" w:hanging="215"/>
        <w:spacing w:after="0" w:line="287" w:lineRule="auto"/>
        <w:tabs>
          <w:tab w:leader="none" w:pos="4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insiders, officers and directors have entered into letter agreements with us, pursuant to which they have agreed (i) to waive their conversion rights with respect to their insider shares and any public shares they purchase in connection with the completion of our initial business combination and (ii) to waive their redemption rights with respect to their insider shares if we fail to complete our initial business combination within 18 months (or 21 months, as applicable) from the closing of this offering (although they will be entitled to redemption rights with respect to any public shares they hold if we fail to complete our business combination within the prescribed time frame).</w:t>
      </w:r>
    </w:p>
    <w:p>
      <w:pPr>
        <w:spacing w:after="0" w:line="196" w:lineRule="exact"/>
        <w:rPr>
          <w:sz w:val="20"/>
          <w:szCs w:val="20"/>
          <w:color w:val="auto"/>
        </w:rPr>
      </w:pPr>
    </w:p>
    <w:p>
      <w:pPr>
        <w:jc w:val="both"/>
        <w:ind w:left="4080" w:right="559" w:hanging="215"/>
        <w:spacing w:after="0" w:line="257" w:lineRule="auto"/>
        <w:tabs>
          <w:tab w:leader="none" w:pos="4060" w:val="left"/>
        </w:tabs>
        <w:rPr>
          <w:sz w:val="20"/>
          <w:szCs w:val="20"/>
          <w:color w:val="auto"/>
        </w:rPr>
      </w:pPr>
      <w:r>
        <w:rPr>
          <w:rFonts w:ascii="Arial" w:cs="Arial" w:eastAsia="Arial" w:hAnsi="Arial"/>
          <w:sz w:val="18"/>
          <w:szCs w:val="18"/>
          <w:color w:val="auto"/>
        </w:rPr>
        <w:t>•</w:t>
        <w:tab/>
        <w:t>If we submit our initial business combination to our public stockholders for a vote, our insiders have agreed to vote their insider shares, private shares and any public shares purchased during or after this offering in favor of our initial business combination.</w:t>
      </w:r>
    </w:p>
    <w:p>
      <w:pPr>
        <w:spacing w:after="0" w:line="211" w:lineRule="exact"/>
        <w:rPr>
          <w:sz w:val="20"/>
          <w:szCs w:val="20"/>
          <w:color w:val="auto"/>
        </w:rPr>
      </w:pPr>
    </w:p>
    <w:p>
      <w:pPr>
        <w:jc w:val="both"/>
        <w:ind w:left="3640" w:right="539" w:hanging="3092"/>
        <w:spacing w:after="0" w:line="283" w:lineRule="auto"/>
        <w:tabs>
          <w:tab w:leader="none" w:pos="3620" w:val="left"/>
        </w:tabs>
        <w:rPr>
          <w:sz w:val="20"/>
          <w:szCs w:val="20"/>
          <w:color w:val="auto"/>
        </w:rPr>
      </w:pPr>
      <w:r>
        <w:rPr>
          <w:rFonts w:ascii="Arial" w:cs="Arial" w:eastAsia="Arial" w:hAnsi="Arial"/>
          <w:sz w:val="18"/>
          <w:szCs w:val="18"/>
          <w:b w:val="1"/>
          <w:bCs w:val="1"/>
          <w:color w:val="auto"/>
        </w:rPr>
        <w:t>Transfer restrictions on insider shares</w:t>
      </w:r>
      <w:r>
        <w:rPr>
          <w:sz w:val="20"/>
          <w:szCs w:val="20"/>
          <w:color w:val="auto"/>
        </w:rPr>
        <w:tab/>
      </w:r>
      <w:r>
        <w:rPr>
          <w:rFonts w:ascii="Arial" w:cs="Arial" w:eastAsia="Arial" w:hAnsi="Arial"/>
          <w:sz w:val="16"/>
          <w:szCs w:val="16"/>
          <w:color w:val="auto"/>
        </w:rPr>
        <w:t>Our insiders have agreed not to transfer, assign or sell any of the insider shares (except to certain permitted transferees) until, with respect to 50% of the insider shares, the earlier of six months after the date of the consummation of our initial business combination and the date on which the closing price of our common stock equals or exceeds $12.50 per share for any 20 trading days within a 30-trading day period following the consummation of our initial business combination and, with respect to the remaining 50% of the insider shares, six months after the date of the consummation of our initial business combination, or earlier in each case if, subsequent to our initial business combination, we complete a liquidation, merger, stock exchange or other similar transaction which results in all of our stockholders having the right to exchange their shares of common stock for cash, securities or other property. The insider shares will be held in escrow with Continental Stock Transfer &amp; Trust Company during the period in</w:t>
      </w:r>
    </w:p>
    <w:p>
      <w:pPr>
        <w:spacing w:after="0" w:line="4"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0"/>
              </w:rPr>
              <w:t>which they are subject to the transfer restrictions described above.</w:t>
            </w:r>
          </w:p>
        </w:tc>
      </w:tr>
      <w:tr>
        <w:trPr>
          <w:trHeight w:val="431"/>
        </w:trPr>
        <w:tc>
          <w:tcPr>
            <w:tcW w:w="2660" w:type="dxa"/>
            <w:vAlign w:val="bottom"/>
          </w:tcPr>
          <w:p>
            <w:pPr>
              <w:spacing w:after="0"/>
              <w:rPr>
                <w:sz w:val="20"/>
                <w:szCs w:val="20"/>
                <w:color w:val="auto"/>
              </w:rPr>
            </w:pPr>
            <w:r>
              <w:rPr>
                <w:rFonts w:ascii="Arial" w:cs="Arial" w:eastAsia="Arial" w:hAnsi="Arial"/>
                <w:sz w:val="18"/>
                <w:szCs w:val="18"/>
                <w:b w:val="1"/>
                <w:bCs w:val="1"/>
                <w:color w:val="auto"/>
              </w:rPr>
              <w:t>Private units</w:t>
            </w:r>
          </w:p>
        </w:tc>
        <w:tc>
          <w:tcPr>
            <w:tcW w:w="5240" w:type="dxa"/>
            <w:vAlign w:val="bottom"/>
          </w:tcPr>
          <w:p>
            <w:pPr>
              <w:ind w:left="420"/>
              <w:spacing w:after="0"/>
              <w:rPr>
                <w:sz w:val="20"/>
                <w:szCs w:val="20"/>
                <w:color w:val="auto"/>
              </w:rPr>
            </w:pPr>
            <w:r>
              <w:rPr>
                <w:rFonts w:ascii="Arial" w:cs="Arial" w:eastAsia="Arial" w:hAnsi="Arial"/>
                <w:sz w:val="18"/>
                <w:szCs w:val="18"/>
                <w:color w:val="auto"/>
                <w:w w:val="94"/>
              </w:rPr>
              <w:t>M SPAC LLC, M SPAC Holdings I LLC and M SPAC Holdings II</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5"/>
              </w:rPr>
              <w:t>LLC, an entity controlled by Joshua Sason, our Chief Executive</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0"/>
              </w:rPr>
              <w:t>Officer, (and/or its designees) has committed, pursuant to a written</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2"/>
              </w:rPr>
              <w:t>agreement, to purchase an aggregate of 402,500 private units (or</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3"/>
              </w:rPr>
              <w:t>447,500 if the over-allotment option is exercised in full) at a price</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2"/>
              </w:rPr>
              <w:t>of $10.00 per unit ($4,025,000 or $4,475,000 if the over-allotment</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6"/>
              </w:rPr>
              <w:t>option is exercised in full) in a private placement that will occur</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8"/>
              </w:rPr>
              <w:t>simultaneously with the closing of this offering. The purchase</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5"/>
              </w:rPr>
              <w:t>price of the private units will be added to the proceeds from this</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4"/>
              </w:rPr>
              <w:t>offering to pay for the expenses of this offering and to be held in</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the trust account. If we do not complete our initial business</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3"/>
              </w:rPr>
              <w:t>combination within 18 months from the closing of this offering (or</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2"/>
              </w:rPr>
              <w:t>21 months, as applicable), the proceeds of the sale of the private</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9"/>
              </w:rPr>
              <w:t>units will be used to fund the redemption of our public shares</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7"/>
              </w:rPr>
              <w:t>(subject to the requirements of applicable law) and the private</w:t>
            </w:r>
          </w:p>
        </w:tc>
      </w:tr>
      <w:tr>
        <w:trPr>
          <w:trHeight w:val="230"/>
        </w:trPr>
        <w:tc>
          <w:tcPr>
            <w:tcW w:w="2660" w:type="dxa"/>
            <w:vAlign w:val="bottom"/>
          </w:tcPr>
          <w:p>
            <w:pPr>
              <w:spacing w:after="0"/>
              <w:rPr>
                <w:sz w:val="20"/>
                <w:szCs w:val="20"/>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units will be worthless.</w:t>
            </w:r>
          </w:p>
        </w:tc>
      </w:tr>
      <w:tr>
        <w:trPr>
          <w:trHeight w:val="445"/>
        </w:trPr>
        <w:tc>
          <w:tcPr>
            <w:tcW w:w="2660" w:type="dxa"/>
            <w:vAlign w:val="bottom"/>
          </w:tcPr>
          <w:p>
            <w:pPr>
              <w:spacing w:after="0"/>
              <w:rPr>
                <w:sz w:val="20"/>
                <w:szCs w:val="20"/>
                <w:color w:val="auto"/>
              </w:rPr>
            </w:pPr>
            <w:r>
              <w:rPr>
                <w:rFonts w:ascii="Arial" w:cs="Arial" w:eastAsia="Arial" w:hAnsi="Arial"/>
                <w:sz w:val="18"/>
                <w:szCs w:val="18"/>
                <w:b w:val="1"/>
                <w:bCs w:val="1"/>
                <w:color w:val="auto"/>
              </w:rPr>
              <w:t>Limited payments to insiders</w:t>
            </w:r>
          </w:p>
        </w:tc>
        <w:tc>
          <w:tcPr>
            <w:tcW w:w="5240" w:type="dxa"/>
            <w:vAlign w:val="bottom"/>
          </w:tcPr>
          <w:p>
            <w:pPr>
              <w:ind w:left="420"/>
              <w:spacing w:after="0"/>
              <w:rPr>
                <w:sz w:val="20"/>
                <w:szCs w:val="20"/>
                <w:color w:val="auto"/>
              </w:rPr>
            </w:pPr>
            <w:r>
              <w:rPr>
                <w:rFonts w:ascii="Arial" w:cs="Arial" w:eastAsia="Arial" w:hAnsi="Arial"/>
                <w:sz w:val="18"/>
                <w:szCs w:val="18"/>
                <w:color w:val="auto"/>
                <w:w w:val="89"/>
              </w:rPr>
              <w:t>There will be no fees, reimbursements or other cash payments paid</w:t>
            </w:r>
          </w:p>
        </w:tc>
      </w:tr>
      <w:tr>
        <w:trPr>
          <w:trHeight w:val="216"/>
        </w:trPr>
        <w:tc>
          <w:tcPr>
            <w:tcW w:w="266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88"/>
              </w:rPr>
              <w:t>to our insiders or any of the members of our management team prior</w:t>
            </w:r>
          </w:p>
        </w:tc>
      </w:tr>
      <w:tr>
        <w:trPr>
          <w:trHeight w:val="230"/>
        </w:trPr>
        <w:tc>
          <w:tcPr>
            <w:tcW w:w="2660" w:type="dxa"/>
            <w:vAlign w:val="bottom"/>
          </w:tcPr>
          <w:p>
            <w:pPr>
              <w:spacing w:after="0"/>
              <w:rPr>
                <w:sz w:val="20"/>
                <w:szCs w:val="20"/>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to, or for any services they render in order to effectuate, the</w:t>
            </w:r>
          </w:p>
        </w:tc>
      </w:tr>
    </w:tbl>
    <w:p>
      <w:pPr>
        <w:ind w:left="3640" w:right="539"/>
        <w:spacing w:after="0" w:line="261" w:lineRule="auto"/>
        <w:rPr>
          <w:sz w:val="20"/>
          <w:szCs w:val="20"/>
          <w:color w:val="auto"/>
        </w:rPr>
      </w:pPr>
      <w:r>
        <w:rPr>
          <w:rFonts w:ascii="Arial" w:cs="Arial" w:eastAsia="Arial" w:hAnsi="Arial"/>
          <w:sz w:val="18"/>
          <w:szCs w:val="18"/>
          <w:color w:val="auto"/>
        </w:rPr>
        <w:t>consummation of our initial business combination (regardless of the type of transaction that it is) other than:</w:t>
      </w:r>
    </w:p>
    <w:p>
      <w:pPr>
        <w:sectPr>
          <w:pgSz w:w="11900" w:h="16838" w:orient="portrait"/>
          <w:cols w:equalWidth="0" w:num="1">
            <w:col w:w="9019"/>
          </w:cols>
          <w:pgMar w:left="1440" w:top="328" w:right="1440"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15" w:name="page16"/>
    <w:bookmarkEnd w:id="15"/>
    <w:p>
      <w:pPr>
        <w:jc w:val="both"/>
        <w:ind w:left="4340" w:right="539" w:hanging="218"/>
        <w:spacing w:after="0" w:line="259" w:lineRule="auto"/>
        <w:tabs>
          <w:tab w:leader="none" w:pos="4364"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8607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9850" cy="8860790"/>
                    </a:xfrm>
                    <a:prstGeom prst="rect">
                      <a:avLst/>
                    </a:prstGeom>
                    <a:noFill/>
                  </pic:spPr>
                </pic:pic>
              </a:graphicData>
            </a:graphic>
          </wp:anchor>
        </w:drawing>
        <w:t>repayment at the closing of this offering of non-interest bearing loans in an amount of $35,000 made by M SPAC LLC, an entity controlled by Joshua Sason, our Chief Executive Officer;</w:t>
      </w:r>
    </w:p>
    <w:p>
      <w:pPr>
        <w:spacing w:after="0" w:line="213" w:lineRule="exact"/>
        <w:rPr>
          <w:rFonts w:ascii="Arial" w:cs="Arial" w:eastAsia="Arial" w:hAnsi="Arial"/>
          <w:sz w:val="18"/>
          <w:szCs w:val="18"/>
          <w:color w:val="auto"/>
        </w:rPr>
      </w:pPr>
    </w:p>
    <w:p>
      <w:pPr>
        <w:jc w:val="both"/>
        <w:ind w:left="4340" w:right="539" w:hanging="218"/>
        <w:spacing w:after="0" w:line="259" w:lineRule="auto"/>
        <w:tabs>
          <w:tab w:leader="none" w:pos="4383"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payment of $10,000 per month to Magna Management LLC, a company wholly owned by our insiders, for office space and related services, subject to deferral as described herein;</w:t>
      </w:r>
    </w:p>
    <w:p>
      <w:pPr>
        <w:spacing w:after="0" w:line="213" w:lineRule="exact"/>
        <w:rPr>
          <w:rFonts w:ascii="Arial" w:cs="Arial" w:eastAsia="Arial" w:hAnsi="Arial"/>
          <w:sz w:val="18"/>
          <w:szCs w:val="18"/>
          <w:color w:val="auto"/>
        </w:rPr>
      </w:pPr>
    </w:p>
    <w:p>
      <w:pPr>
        <w:jc w:val="both"/>
        <w:ind w:left="4340" w:right="559" w:hanging="218"/>
        <w:spacing w:after="0" w:line="276" w:lineRule="auto"/>
        <w:tabs>
          <w:tab w:leader="none" w:pos="4425" w:val="left"/>
        </w:tabs>
        <w:numPr>
          <w:ilvl w:val="0"/>
          <w:numId w:val="7"/>
        </w:numPr>
        <w:rPr>
          <w:rFonts w:ascii="Arial" w:cs="Arial" w:eastAsia="Arial" w:hAnsi="Arial"/>
          <w:sz w:val="17"/>
          <w:szCs w:val="17"/>
          <w:color w:val="auto"/>
        </w:rPr>
      </w:pPr>
      <w:r>
        <w:rPr>
          <w:rFonts w:ascii="Arial" w:cs="Arial" w:eastAsia="Arial" w:hAnsi="Arial"/>
          <w:sz w:val="17"/>
          <w:szCs w:val="17"/>
          <w:color w:val="auto"/>
        </w:rPr>
        <w:t>reimbursement of out-of-pocket expenses incurred by insiders, officers, directors or any of its or their affiliates in connection with certain activities on our behalf, such as identifying and investigating possible business targets and business combinations; and</w:t>
      </w:r>
    </w:p>
    <w:p>
      <w:pPr>
        <w:spacing w:after="0" w:line="199" w:lineRule="exact"/>
        <w:rPr>
          <w:rFonts w:ascii="Arial" w:cs="Arial" w:eastAsia="Arial" w:hAnsi="Arial"/>
          <w:sz w:val="17"/>
          <w:szCs w:val="17"/>
          <w:color w:val="auto"/>
        </w:rPr>
      </w:pPr>
    </w:p>
    <w:p>
      <w:pPr>
        <w:jc w:val="both"/>
        <w:ind w:left="4340" w:right="559" w:hanging="218"/>
        <w:spacing w:after="0" w:line="257" w:lineRule="auto"/>
        <w:tabs>
          <w:tab w:leader="none" w:pos="4361"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repayment of loans which may be made by our insiders, officers, directors or any of its or their affiliates to finance transaction costs in connection with an initial business combination, the terms of which have not been determined.</w:t>
      </w:r>
    </w:p>
    <w:p>
      <w:pPr>
        <w:spacing w:after="0" w:line="215" w:lineRule="exact"/>
        <w:rPr>
          <w:sz w:val="20"/>
          <w:szCs w:val="20"/>
          <w:color w:val="auto"/>
        </w:rPr>
      </w:pPr>
    </w:p>
    <w:p>
      <w:pPr>
        <w:jc w:val="both"/>
        <w:ind w:left="3900" w:right="539"/>
        <w:spacing w:after="0" w:line="285" w:lineRule="auto"/>
        <w:rPr>
          <w:sz w:val="20"/>
          <w:szCs w:val="20"/>
          <w:color w:val="auto"/>
        </w:rPr>
      </w:pPr>
      <w:r>
        <w:rPr>
          <w:rFonts w:ascii="Arial" w:cs="Arial" w:eastAsia="Arial" w:hAnsi="Arial"/>
          <w:sz w:val="16"/>
          <w:szCs w:val="16"/>
          <w:color w:val="auto"/>
        </w:rPr>
        <w:t>There is no limit on the amount of out-of-pocket expenses reimbursable by us; provided, however, that to the extent such expenses exceed the available proceeds not deposited in the trust account and the interest income earned on the amounts held in the trust account that may be released to us, such expenses would not be reimbursed by us unless we consummate an initial business combination. We have no policy which prohibits our insiders or any member of our management team from negotiating the reimbursement of such expenses by a target business. Our audit committee will review and approve all reimbursements and payments made to any insider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Potential revisions to agreements</w:t>
      </w:r>
    </w:p>
    <w:p>
      <w:pPr>
        <w:spacing w:after="0" w:line="27" w:lineRule="exact"/>
        <w:rPr>
          <w:sz w:val="20"/>
          <w:szCs w:val="20"/>
          <w:color w:val="auto"/>
        </w:rPr>
      </w:pPr>
    </w:p>
    <w:p>
      <w:pPr>
        <w:jc w:val="both"/>
        <w:ind w:left="3900" w:right="539" w:hanging="3186"/>
        <w:spacing w:after="0" w:line="266" w:lineRule="auto"/>
        <w:tabs>
          <w:tab w:leader="none" w:pos="3880" w:val="left"/>
        </w:tabs>
        <w:rPr>
          <w:sz w:val="20"/>
          <w:szCs w:val="20"/>
          <w:color w:val="auto"/>
        </w:rPr>
      </w:pPr>
      <w:r>
        <w:rPr>
          <w:rFonts w:ascii="Arial" w:cs="Arial" w:eastAsia="Arial" w:hAnsi="Arial"/>
          <w:sz w:val="18"/>
          <w:szCs w:val="18"/>
          <w:b w:val="1"/>
          <w:bCs w:val="1"/>
          <w:color w:val="auto"/>
        </w:rPr>
        <w:t>with insiders</w:t>
      </w:r>
      <w:r>
        <w:rPr>
          <w:sz w:val="20"/>
          <w:szCs w:val="20"/>
          <w:color w:val="auto"/>
        </w:rPr>
        <w:tab/>
      </w:r>
      <w:r>
        <w:rPr>
          <w:rFonts w:ascii="Arial" w:cs="Arial" w:eastAsia="Arial" w:hAnsi="Arial"/>
          <w:sz w:val="17"/>
          <w:szCs w:val="17"/>
          <w:color w:val="auto"/>
        </w:rPr>
        <w:t>We could seek to amend certain agreements made by our management team disclosed in this prospectus without the approval of stockholders, although we have no intention to do so. For example, restrictions on our executives relating to the voting of securities owned by them, the agreement of our management team to remain with us until the closing of a business combination, the obligation of our management team to not propose certain changes to our organizational documents or the obligation of the management team and its affiliates to not receive any compensation in connection with a business combination could be modified without obtaining stockholder approval. Although stockholders would not be given the opportunity to redeem their shares in connection with such changes, in no event would we be able to modify the redemption or liquidation rights of our stockholders without permitting our stockholders the right to redeem their shares in connection with any such change. We will not agree to any such changes unless we believed that such changes were in the best interests of our stockholders (for example, if such a modification were necessary to complete a business combination).</w:t>
      </w:r>
    </w:p>
    <w:p>
      <w:pPr>
        <w:sectPr>
          <w:pgSz w:w="11900" w:h="16838" w:orient="portrait"/>
          <w:cols w:equalWidth="0" w:num="1">
            <w:col w:w="9019"/>
          </w:cols>
          <w:pgMar w:left="1440" w:top="328"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16" w:name="page17"/>
    <w:bookmarkEnd w:id="16"/>
    <w:p>
      <w:pPr>
        <w:ind w:left="740" w:hanging="179"/>
        <w:spacing w:after="0" w:line="314" w:lineRule="auto"/>
        <w:rPr>
          <w:sz w:val="20"/>
          <w:szCs w:val="20"/>
          <w:color w:val="auto"/>
        </w:rPr>
      </w:pPr>
      <w:r>
        <w:rPr>
          <w:rFonts w:ascii="Arial" w:cs="Arial" w:eastAsia="Arial" w:hAnsi="Arial"/>
          <w:sz w:val="16"/>
          <w:szCs w:val="16"/>
          <w:b w:val="1"/>
          <w:bCs w:val="1"/>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both"/>
        <w:ind w:right="539"/>
        <w:spacing w:after="0" w:line="284" w:lineRule="auto"/>
        <w:rPr>
          <w:sz w:val="20"/>
          <w:szCs w:val="20"/>
          <w:color w:val="auto"/>
        </w:rPr>
      </w:pPr>
      <w:r>
        <w:rPr>
          <w:rFonts w:ascii="Arial" w:cs="Arial" w:eastAsia="Arial" w:hAnsi="Arial"/>
          <w:sz w:val="16"/>
          <w:szCs w:val="16"/>
          <w:color w:val="auto"/>
        </w:rPr>
        <w:t>In connection with any proposed initial business combination, we will either (1) seek stockholder approval of such initial business combination at a meeting called for such purpose at which stockholders may seek to convert their shares into the right to receive cash from the trust account, regardless of whether they vote for or against the proposed business combination;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our proposed business combination or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-3849370</wp:posOffset>
            </wp:positionV>
            <wp:extent cx="5149850" cy="10147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9850" cy="10147300"/>
                    </a:xfrm>
                    <a:prstGeom prst="rect">
                      <a:avLst/>
                    </a:prstGeom>
                    <a:noFill/>
                  </pic:spPr>
                </pic:pic>
              </a:graphicData>
            </a:graphic>
          </wp:anchor>
        </w:drawing>
      </w:r>
    </w:p>
    <w:p>
      <w:pPr>
        <w:spacing w:after="0" w:line="398" w:lineRule="exact"/>
        <w:rPr>
          <w:sz w:val="20"/>
          <w:szCs w:val="20"/>
          <w:color w:val="auto"/>
        </w:rPr>
      </w:pPr>
    </w:p>
    <w:p>
      <w:pPr>
        <w:jc w:val="both"/>
        <w:ind w:right="539"/>
        <w:spacing w:after="0" w:line="283" w:lineRule="auto"/>
        <w:rPr>
          <w:sz w:val="20"/>
          <w:szCs w:val="20"/>
          <w:color w:val="auto"/>
        </w:rPr>
      </w:pPr>
      <w:r>
        <w:rPr>
          <w:rFonts w:ascii="Arial" w:cs="Arial" w:eastAsia="Arial" w:hAnsi="Arial"/>
          <w:sz w:val="16"/>
          <w:szCs w:val="16"/>
          <w:color w:val="auto"/>
        </w:rPr>
        <w:t>In addition, we will not consummate our initial business combination if public stockholders exercise conversion rights in an amount that would cause our net tangible assets to be less than $5,000,001 (so that this offering is not subject to Rule 419 promulgated under the Securities Act) or if we do not satisfy any greater net tangible asset or cash requirement which may be contained in the agreement relating to our initial business combination. For example, the proposed business combination may require: (i) cash consideration to be paid to the target or its owners,</w:t>
      </w:r>
    </w:p>
    <w:p>
      <w:pPr>
        <w:spacing w:after="0" w:line="7" w:lineRule="exact"/>
        <w:rPr>
          <w:sz w:val="20"/>
          <w:szCs w:val="20"/>
          <w:color w:val="auto"/>
        </w:rPr>
      </w:pPr>
    </w:p>
    <w:p>
      <w:pPr>
        <w:jc w:val="both"/>
        <w:ind w:right="539" w:firstLine="10"/>
        <w:spacing w:after="0" w:line="283" w:lineRule="auto"/>
        <w:tabs>
          <w:tab w:leader="none" w:pos="273" w:val="left"/>
        </w:tabs>
        <w:numPr>
          <w:ilvl w:val="0"/>
          <w:numId w:val="8"/>
        </w:numPr>
        <w:rPr>
          <w:rFonts w:ascii="Arial" w:cs="Arial" w:eastAsia="Arial" w:hAnsi="Arial"/>
          <w:sz w:val="16"/>
          <w:szCs w:val="16"/>
          <w:color w:val="auto"/>
        </w:rPr>
      </w:pPr>
      <w:r>
        <w:rPr>
          <w:rFonts w:ascii="Arial" w:cs="Arial" w:eastAsia="Arial" w:hAnsi="Arial"/>
          <w:sz w:val="16"/>
          <w:szCs w:val="16"/>
          <w:color w:val="auto"/>
        </w:rPr>
        <w:t>cash to be transferred to the target for working capital or other general corporate purposes or (iii) the retention of cash to satisfy other conditions in accordance with the terms of the proposed business combination. In the event the aggregate cash consideration needed to satisfy cash conditions pursuant to the terms of the proposed business combination exceeds the aggregate amount of cash available to us (including any cash we may obtain from financing from third parties or our insiders, officers, directors or their affiliates, which may not be available on terms acceptable to us or at all), we will not complete the business combination (as we may be required to have a lesser number of shares converted). As a result, we may not be able to locate another suitable target within the applicable time period, if at all. However, if we seek stockholder approval of a business combination and if a significant number of public stockholders properly seek to convert their public shares in connection with a proposed business combination, we or our insiders or their affiliates could purchase some or all of such shares in the open market or in private transactions in order to seek to satisfy the cash conditions. However, they have no current commitments, plans or intentions to engage in such transactions and have not formulated any terms or conditions for any such transactions. No funds from the trust account can be released from the trust account prior to the consummation of a business combination to make such purchases (although such purchases could be made using funds available to us after the closing of a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Notwithstanding the foregoing, we or our insiders and their affiliates will not make purchases of shares of common</w:t>
      </w:r>
    </w:p>
    <w:p>
      <w:pPr>
        <w:spacing w:after="0" w:line="200" w:lineRule="exact"/>
        <w:rPr>
          <w:sz w:val="20"/>
          <w:szCs w:val="20"/>
          <w:color w:val="auto"/>
        </w:rPr>
      </w:pPr>
    </w:p>
    <w:p>
      <w:pPr>
        <w:sectPr>
          <w:pgSz w:w="11900" w:h="16838" w:orient="portrait"/>
          <w:cols w:equalWidth="0" w:num="2">
            <w:col w:w="3220" w:space="420"/>
            <w:col w:w="5379"/>
          </w:cols>
          <w:pgMar w:left="1440" w:top="324" w:right="1440" w:bottom="0" w:gutter="0" w:footer="0" w:header="0"/>
        </w:sectPr>
      </w:pPr>
    </w:p>
    <w:p>
      <w:pPr>
        <w:spacing w:after="0" w:line="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0" w:gutter="0" w:footer="0" w:header="0"/>
          <w:type w:val="continuous"/>
        </w:sectPr>
      </w:pPr>
    </w:p>
    <w:bookmarkStart w:id="17" w:name="page18"/>
    <w:bookmarkEnd w:id="17"/>
    <w:p>
      <w:pPr>
        <w:jc w:val="both"/>
        <w:ind w:left="3640" w:right="539"/>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4957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9850" cy="9495790"/>
                    </a:xfrm>
                    <a:prstGeom prst="rect">
                      <a:avLst/>
                    </a:prstGeom>
                    <a:noFill/>
                  </pic:spPr>
                </pic:pic>
              </a:graphicData>
            </a:graphic>
          </wp:anchor>
        </w:drawing>
        <w:t>stock if the purchases would violate Sections 9(a)(2) or 10(b) of the Exchange Act or Regulation M, which are rules that prohibit manipulation of a company’s stock, and we and they will comply with Rule 10b-18 under the Exchange Act in connection with any open-market purchases. If purchases cannot be made without violating applicable law, no such purchases will be made.</w:t>
      </w:r>
    </w:p>
    <w:p>
      <w:pPr>
        <w:spacing w:after="0" w:line="192" w:lineRule="exact"/>
        <w:rPr>
          <w:sz w:val="20"/>
          <w:szCs w:val="20"/>
          <w:color w:val="auto"/>
        </w:rPr>
      </w:pPr>
    </w:p>
    <w:p>
      <w:pPr>
        <w:jc w:val="both"/>
        <w:ind w:left="3640" w:right="539"/>
        <w:spacing w:after="0" w:line="283" w:lineRule="auto"/>
        <w:rPr>
          <w:sz w:val="20"/>
          <w:szCs w:val="20"/>
          <w:color w:val="auto"/>
        </w:rPr>
      </w:pPr>
      <w:r>
        <w:rPr>
          <w:rFonts w:ascii="Arial" w:cs="Arial" w:eastAsia="Arial" w:hAnsi="Arial"/>
          <w:sz w:val="16"/>
          <w:szCs w:val="16"/>
          <w:color w:val="auto"/>
        </w:rPr>
        <w:t>Our insiders have agreed (A) to vote their insider shares,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insider shares and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insider shares and private shares shall not be entitled to be redeemed for a pro rata portion of the funds held in the trust account if a business combination is not consummated. Depending on how a business combination was structured, any stockholder approval requirement could be satisfied by obtaining the approval of either (i) a majority of the shares of our common stock that were voted at the meeting (assuming a quorum was present at the meeting), or (ii) a majority of the outstanding shares of our common stock. Because our insiders, officers and directors will collectively beneficially own approximately 24.8% of our issued and outstanding shares of common stock (assuming they do not purchase any units in this offering and assuming the over-allotment option has not been exercised and an aggregate of 187,500 insider shares have been forfeited as a result thereof) upon consummation of this offering and the sale of the private units, a minimum of approximately 10,626, or 0.2% (if the approval requirement was a majority of shares voted and the minimum number of shares required for a quorum attended the meeting), and a maximum of approximately 1,673,751, or 27.9% (assuming that a majority of the outstanding shares was required to approve the initial business combination), of the outstanding shares of our common stock not owned by our insiders, officers or directors would need to be voted in favor a business combination in order for it to be approved.</w:t>
      </w:r>
    </w:p>
    <w:p>
      <w:pPr>
        <w:spacing w:after="0" w:line="202" w:lineRule="exact"/>
        <w:rPr>
          <w:sz w:val="20"/>
          <w:szCs w:val="20"/>
          <w:color w:val="auto"/>
        </w:rPr>
      </w:pPr>
    </w:p>
    <w:p>
      <w:pPr>
        <w:jc w:val="both"/>
        <w:ind w:left="3640" w:right="559"/>
        <w:spacing w:after="0" w:line="287" w:lineRule="auto"/>
        <w:rPr>
          <w:sz w:val="20"/>
          <w:szCs w:val="20"/>
          <w:color w:val="auto"/>
        </w:rPr>
      </w:pPr>
      <w:r>
        <w:rPr>
          <w:rFonts w:ascii="Arial" w:cs="Arial" w:eastAsia="Arial" w:hAnsi="Arial"/>
          <w:sz w:val="16"/>
          <w:szCs w:val="16"/>
          <w:color w:val="auto"/>
        </w:rPr>
        <w:t>None of our insiders, officers, directors, director nominees or their affiliates has committed to purchase units in this offering or any units or shares of common stock in the open market or in private transactions. In addition, if a significant number of stockholders vote, or indicate an intention to vote, against a proposed business combination, our insiders, officers, directors or their affiliates could make such purchases in the open market or in private transactions in order to influence the vote. Notwithstanding the foregoing, our insiders, officers, directors and their affiliates will not make purchases of shares of common stock if the purchases would violate Section 9(a)(2) or Rule 10b-5 of the Exchange Act.</w:t>
      </w:r>
    </w:p>
    <w:p>
      <w:pPr>
        <w:sectPr>
          <w:pgSz w:w="11900" w:h="16838" w:orient="portrait"/>
          <w:cols w:equalWidth="0" w:num="1">
            <w:col w:w="9019"/>
          </w:cols>
          <w:pgMar w:left="1440" w:top="328" w:right="1440" w:bottom="879"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879" w:gutter="0" w:footer="0" w:header="0"/>
          <w:type w:val="continuous"/>
        </w:sectPr>
      </w:pPr>
    </w:p>
    <w:bookmarkStart w:id="18" w:name="page19"/>
    <w:bookmarkEnd w:id="18"/>
    <w:tbl>
      <w:tblPr>
        <w:tblLayout w:type="fixed"/>
        <w:tblInd w:w="56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b w:val="1"/>
                <w:bCs w:val="1"/>
                <w:color w:val="auto"/>
                <w:w w:val="95"/>
              </w:rPr>
              <w:t>Conditions to completing our initial</w:t>
            </w:r>
          </w:p>
        </w:tc>
        <w:tc>
          <w:tcPr>
            <w:tcW w:w="5000" w:type="dxa"/>
            <w:vAlign w:val="bottom"/>
          </w:tcPr>
          <w:p>
            <w:pPr>
              <w:spacing w:after="0"/>
              <w:rPr>
                <w:sz w:val="18"/>
                <w:szCs w:val="18"/>
                <w:color w:val="auto"/>
              </w:rPr>
            </w:pPr>
          </w:p>
        </w:tc>
      </w:tr>
      <w:tr>
        <w:trPr>
          <w:trHeight w:val="220"/>
        </w:trPr>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business combination</w:t>
            </w:r>
          </w:p>
        </w:tc>
        <w:tc>
          <w:tcPr>
            <w:tcW w:w="5000" w:type="dxa"/>
            <w:vAlign w:val="bottom"/>
          </w:tcPr>
          <w:p>
            <w:pPr>
              <w:ind w:left="160"/>
              <w:spacing w:after="0"/>
              <w:rPr>
                <w:sz w:val="20"/>
                <w:szCs w:val="20"/>
                <w:color w:val="auto"/>
              </w:rPr>
            </w:pPr>
            <w:r>
              <w:rPr>
                <w:rFonts w:ascii="Arial" w:cs="Arial" w:eastAsia="Arial" w:hAnsi="Arial"/>
                <w:sz w:val="18"/>
                <w:szCs w:val="18"/>
                <w:color w:val="auto"/>
              </w:rPr>
              <w:t>There is no limitation on our ability to raise funds privately or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through loans in connection with our initial business combination.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9"/>
              </w:rPr>
              <w:t>Our initial business combination must occur with one or more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89"/>
              </w:rPr>
              <w:t>target businesses that together have an aggregate fair market value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of at least 80% of the value of the trust account (excluding any</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9"/>
              </w:rPr>
              <w:t>deferred underwriter’s fees and taxes payable on the income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earned on the trust account) at the time of the agreement to enter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into the initial business combination. If we are no longer listed on</w:t>
            </w:r>
          </w:p>
        </w:tc>
      </w:tr>
      <w:tr>
        <w:trPr>
          <w:trHeight w:val="230"/>
        </w:trPr>
        <w:tc>
          <w:tcPr>
            <w:tcW w:w="29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Nasdaq, we will not be required to satisfy the 80% test.</w:t>
            </w:r>
          </w:p>
        </w:tc>
      </w:tr>
      <w:tr>
        <w:trPr>
          <w:trHeight w:val="445"/>
        </w:trPr>
        <w:tc>
          <w:tcPr>
            <w:tcW w:w="2920" w:type="dxa"/>
            <w:vAlign w:val="bottom"/>
          </w:tcPr>
          <w:p>
            <w:pPr>
              <w:spacing w:after="0"/>
              <w:rPr>
                <w:sz w:val="24"/>
                <w:szCs w:val="24"/>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If our board is not able to independently determine the fair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market value of the target business or businesses, we may obtain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an  opinion  from  an  independent  investment  banking  or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accounting firm as to the fair market value of the target business.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We will complete our initial business combination only if the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5"/>
              </w:rPr>
              <w:t>post-transaction company in which our public stockholders own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shares will own or acquire 50% or more of the outstanding voting</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securities of the target or otherwise acquires a controlling interest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8"/>
              </w:rPr>
              <w:t>in the target sufficient for it not to be required to register as an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investment company under the Investment Company Act. Even if</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the post-transaction company owns 50% or more of the voting</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9"/>
              </w:rPr>
              <w:t>securities of the target, our stockholders prior to the business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combination may collectively own a minority interest in the post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business combination company, depending on valuations ascribed</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to the target and us in the business combination transaction. If</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less than 100% of the equity interests or assets of a target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business or businesses are owned or acquired by the post-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transaction company, the portion of such business or businesses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that is owned or acquired is what will be valued for purposes of</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5"/>
              </w:rPr>
              <w:t>the  80%  test,  provided  that  in  the  event  that  the  business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combination involves more than one target business, the 80% test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will  be  based  on  the  aggregate  value  of  all  of  the  target</w:t>
            </w:r>
          </w:p>
        </w:tc>
      </w:tr>
      <w:tr>
        <w:trPr>
          <w:trHeight w:val="230"/>
        </w:trPr>
        <w:tc>
          <w:tcPr>
            <w:tcW w:w="29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businesses.</w:t>
            </w:r>
          </w:p>
        </w:tc>
      </w:tr>
      <w:tr>
        <w:trPr>
          <w:trHeight w:val="445"/>
        </w:trPr>
        <w:tc>
          <w:tcPr>
            <w:tcW w:w="2920" w:type="dxa"/>
            <w:vAlign w:val="bottom"/>
          </w:tcPr>
          <w:p>
            <w:pPr>
              <w:spacing w:after="0"/>
              <w:rPr>
                <w:sz w:val="20"/>
                <w:szCs w:val="20"/>
                <w:color w:val="auto"/>
              </w:rPr>
            </w:pPr>
            <w:r>
              <w:rPr>
                <w:rFonts w:ascii="Arial" w:cs="Arial" w:eastAsia="Arial" w:hAnsi="Arial"/>
                <w:sz w:val="18"/>
                <w:szCs w:val="18"/>
                <w:b w:val="1"/>
                <w:bCs w:val="1"/>
                <w:color w:val="auto"/>
              </w:rPr>
              <w:t>Conversion rights</w:t>
            </w: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In connection with a business combination, public stockholders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will have the right to convert their shares into an amount equal to</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(1) the number of public shares being converted by such public</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5"/>
              </w:rPr>
              <w:t>holder divided by the total number of public shares multiplied by</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(2) the amount then in the trust account (initially $10.30 per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share), which includes the deferred underwriting commission, plus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4"/>
              </w:rPr>
              <w:t>a pro rata portion of any interest earned on the funds held in the</w:t>
            </w:r>
          </w:p>
        </w:tc>
      </w:tr>
      <w:tr>
        <w:trPr>
          <w:trHeight w:val="230"/>
        </w:trPr>
        <w:tc>
          <w:tcPr>
            <w:tcW w:w="29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0"/>
              </w:rPr>
              <w:t>trust account and not previously released to us or necessary to pay</w:t>
            </w:r>
          </w:p>
        </w:tc>
      </w:tr>
    </w:tbl>
    <w:p>
      <w:pPr>
        <w:jc w:val="both"/>
        <w:ind w:left="3640" w:right="559"/>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357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9850" cy="9357995"/>
                    </a:xfrm>
                    <a:prstGeom prst="rect">
                      <a:avLst/>
                    </a:prstGeom>
                    <a:noFill/>
                  </pic:spPr>
                </pic:pic>
              </a:graphicData>
            </a:graphic>
          </wp:anchor>
        </w:drawing>
        <w:t>our taxes. At any meeting called to approve an initial business combination, public stockholders may elect to convert their share regardless of whether or not they vote to approve the business combination.</w:t>
      </w:r>
    </w:p>
    <w:p>
      <w:pPr>
        <w:spacing w:after="0" w:line="217" w:lineRule="exact"/>
        <w:rPr>
          <w:sz w:val="20"/>
          <w:szCs w:val="20"/>
          <w:color w:val="auto"/>
        </w:rPr>
      </w:pPr>
    </w:p>
    <w:p>
      <w:pPr>
        <w:jc w:val="both"/>
        <w:ind w:left="3640" w:right="559"/>
        <w:spacing w:after="0" w:line="285" w:lineRule="auto"/>
        <w:rPr>
          <w:sz w:val="20"/>
          <w:szCs w:val="20"/>
          <w:color w:val="auto"/>
        </w:rPr>
      </w:pPr>
      <w:r>
        <w:rPr>
          <w:rFonts w:ascii="Arial" w:cs="Arial" w:eastAsia="Arial" w:hAnsi="Arial"/>
          <w:sz w:val="16"/>
          <w:szCs w:val="16"/>
          <w:color w:val="auto"/>
        </w:rPr>
        <w:t>As described above under “— Stockholder approval of, or tender offer in connection with, initial business combination —,” we will consummate our initial business combination only if public stockholders do not exercise conversion rights in an amount that would cause our net tangible assets to be less than $5,000,001 (so that this offering is not subject to Rule 419 promulgated under the Securities Act). As a result, if stockholders owning approximately 89.3% (or approximately 90.5% if the over-allotment option is exercised in full) or more of the shares of common stock sold in this offering exercise conversion rights, the business combination will not be consummated. However, the actual percentages will only be able to be determined once a target business is located and we can assess all of the assets and liabilities of the combined company upon consummation of the proposed business combination (which would include the deferred underwriting discounts and commissions payable to the underwriters in an amount equal to 2% of the total gross proceeds raised in the offering as described elsewhere</w:t>
      </w:r>
    </w:p>
    <w:p>
      <w:pPr>
        <w:sectPr>
          <w:pgSz w:w="11900" w:h="16838" w:orient="portrait"/>
          <w:cols w:equalWidth="0" w:num="1">
            <w:col w:w="9019"/>
          </w:cols>
          <w:pgMar w:left="1440" w:top="324" w:right="1440" w:bottom="1095"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1095" w:gutter="0" w:footer="0" w:header="0"/>
          <w:type w:val="continuous"/>
        </w:sectPr>
      </w:pPr>
    </w:p>
    <w:bookmarkStart w:id="19" w:name="page20"/>
    <w:bookmarkEnd w:id="19"/>
    <w:p>
      <w:pPr>
        <w:jc w:val="both"/>
        <w:ind w:left="3640" w:right="559"/>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655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9850" cy="8655050"/>
                    </a:xfrm>
                    <a:prstGeom prst="rect">
                      <a:avLst/>
                    </a:prstGeom>
                    <a:noFill/>
                  </pic:spPr>
                </pic:pic>
              </a:graphicData>
            </a:graphic>
          </wp:anchor>
        </w:drawing>
        <w:t>in this prospectus, any out-of-pocket expenses incurred by our insiders, officers, directors or their affiliates in connection with certain activities on our behalf, such as identifying and investigating possible business targets and business combinations that have not been repaid at that time, as well as any other liabilities of ours and the liabilities of the target business). As a result, the actual percentages of shares that can be converted may be significantly lower than our estimates. In addition, in order to satisfy any greater net tangible asset or cash condition which may be contained in the agreement relating to our initial business combination, we may not be able to consummate a business combination unless the number of shares of common stock seeking conversion rights is significantly less than the 89.3% (or 90.5% if the over-allotment option is exercised in full) indicated above. As a result, we may not be able to consummate such initial business combination and we may not be able to locate another suitable target within the applicable time period, if at all.</w:t>
      </w:r>
    </w:p>
    <w:p>
      <w:pPr>
        <w:spacing w:after="0" w:line="202" w:lineRule="exact"/>
        <w:rPr>
          <w:sz w:val="20"/>
          <w:szCs w:val="20"/>
          <w:color w:val="auto"/>
        </w:rPr>
      </w:pPr>
    </w:p>
    <w:p>
      <w:pPr>
        <w:jc w:val="both"/>
        <w:ind w:left="3640" w:right="539"/>
        <w:spacing w:after="0" w:line="285" w:lineRule="auto"/>
        <w:rPr>
          <w:sz w:val="20"/>
          <w:szCs w:val="20"/>
          <w:color w:val="auto"/>
        </w:rPr>
      </w:pPr>
      <w:r>
        <w:rPr>
          <w:rFonts w:ascii="Arial" w:cs="Arial" w:eastAsia="Arial" w:hAnsi="Arial"/>
          <w:sz w:val="16"/>
          <w:szCs w:val="16"/>
          <w:color w:val="auto"/>
        </w:rPr>
        <w:t>Notwithstanding the foregoing,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this offering without our prior written consent. We believe this restriction will prevent an individual stockholder or “group” from accumulating large blocks of shares before the vote held to approve a proposed business combination and attempt to use the conversion right as a means to force us or our management to purchase its shares at a significant premium to the then current market price. By not allowing a stockholder to convert more than 20% of the shares of common stock sold in this offering, we believe we have limited the ability of a small group of stockholders to unreasonably attempt to block a transaction which is favored by our other public stockholders.</w:t>
      </w:r>
    </w:p>
    <w:p>
      <w:pPr>
        <w:spacing w:after="0" w:line="205" w:lineRule="exact"/>
        <w:rPr>
          <w:sz w:val="20"/>
          <w:szCs w:val="20"/>
          <w:color w:val="auto"/>
        </w:rPr>
      </w:pPr>
    </w:p>
    <w:p>
      <w:pPr>
        <w:jc w:val="both"/>
        <w:ind w:left="3640" w:right="539"/>
        <w:spacing w:after="0" w:line="284" w:lineRule="auto"/>
        <w:rPr>
          <w:sz w:val="20"/>
          <w:szCs w:val="20"/>
          <w:color w:val="auto"/>
        </w:rPr>
      </w:pPr>
      <w:r>
        <w:rPr>
          <w:rFonts w:ascii="Arial" w:cs="Arial" w:eastAsia="Arial" w:hAnsi="Arial"/>
          <w:sz w:val="16"/>
          <w:szCs w:val="16"/>
          <w:color w:val="auto"/>
        </w:rPr>
        <w:t>We may require public stockholders seeking to convert their shares in connection with a stockholder vote on a business combination, whether they are a record holder or hold their shares in “street name,” to either tender their certificates to our transfer agent or to deliver their shares to the transfer agent electronically using Depository Trust Company’s DWAC (Deposit/Withdrawal At Custodian) System, at the holder’s option, at least two business days prior to the vote on the initial business combination (a tender of shares is always required in connection with a tender offer). The requirement for physical or electronic delivery prior to the meeting ensures that a holder’s election to convert his or her shares is irrevocable once the business combination is approved. 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to deliver their shares prior to the vote on the business combination in order to exercise conversion rights. This is because a holder would need to deliver shares to exercise conversion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w:t>
      </w:r>
    </w:p>
    <w:p>
      <w:pPr>
        <w:sectPr>
          <w:pgSz w:w="11900" w:h="16838" w:orient="portrait"/>
          <w:cols w:equalWidth="0" w:num="1">
            <w:col w:w="9019"/>
          </w:cols>
          <w:pgMar w:left="1440" w:top="328" w:right="1440" w:bottom="144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20" w:name="page21"/>
    <w:bookmarkEnd w:id="20"/>
    <w:p>
      <w:pPr>
        <w:ind w:left="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2435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9850" cy="8243570"/>
                    </a:xfrm>
                    <a:prstGeom prst="rect">
                      <a:avLst/>
                    </a:prstGeom>
                    <a:noFill/>
                  </pic:spPr>
                </pic:pic>
              </a:graphicData>
            </a:graphic>
          </wp:anchor>
        </w:drawing>
        <w:t>Release of funds in trust account on</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closing of our initial</w:t>
      </w:r>
    </w:p>
    <w:p>
      <w:pPr>
        <w:spacing w:after="0" w:line="9" w:lineRule="exact"/>
        <w:rPr>
          <w:sz w:val="20"/>
          <w:szCs w:val="20"/>
          <w:color w:val="auto"/>
        </w:rPr>
      </w:pPr>
    </w:p>
    <w:p>
      <w:pPr>
        <w:jc w:val="both"/>
        <w:ind w:left="3640" w:right="539" w:hanging="2912"/>
        <w:spacing w:after="0" w:line="284" w:lineRule="auto"/>
        <w:tabs>
          <w:tab w:leader="none" w:pos="3620" w:val="left"/>
        </w:tabs>
        <w:rPr>
          <w:sz w:val="20"/>
          <w:szCs w:val="20"/>
          <w:color w:val="auto"/>
        </w:rPr>
      </w:pPr>
      <w:r>
        <w:rPr>
          <w:rFonts w:ascii="Arial" w:cs="Arial" w:eastAsia="Arial" w:hAnsi="Arial"/>
          <w:sz w:val="18"/>
          <w:szCs w:val="18"/>
          <w:b w:val="1"/>
          <w:bCs w:val="1"/>
          <w:color w:val="auto"/>
        </w:rPr>
        <w:t>business combination</w:t>
      </w:r>
      <w:r>
        <w:rPr>
          <w:sz w:val="20"/>
          <w:szCs w:val="20"/>
          <w:color w:val="auto"/>
        </w:rPr>
        <w:tab/>
      </w:r>
      <w:r>
        <w:rPr>
          <w:rFonts w:ascii="Arial" w:cs="Arial" w:eastAsia="Arial" w:hAnsi="Arial"/>
          <w:sz w:val="16"/>
          <w:szCs w:val="16"/>
          <w:color w:val="auto"/>
        </w:rPr>
        <w:t>On the completion of our initial business combination, all amounts held in the trust account will be released to us. We will use these funds to pay amounts due to any public stockholders who exercise their conversion rights as described above under “— Conversion rights,” to pay the underwriters their deferred underwriting commissions, to pay all or a portion of the consideration payable to the target or targets or owners of the target or targets of our initial business combination and to pay other expenses associated with our initial business combination. If our initial business combination is paid for using stock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20" w:type="dxa"/>
            <w:vAlign w:val="bottom"/>
          </w:tcPr>
          <w:p>
            <w:pPr>
              <w:ind w:left="100"/>
              <w:spacing w:after="0"/>
              <w:rPr>
                <w:sz w:val="20"/>
                <w:szCs w:val="20"/>
                <w:color w:val="auto"/>
              </w:rPr>
            </w:pPr>
            <w:r>
              <w:rPr>
                <w:rFonts w:ascii="Arial" w:cs="Arial" w:eastAsia="Arial" w:hAnsi="Arial"/>
                <w:sz w:val="18"/>
                <w:szCs w:val="18"/>
                <w:b w:val="1"/>
                <w:bCs w:val="1"/>
                <w:color w:val="auto"/>
              </w:rPr>
              <w:t>Liquidation</w:t>
            </w:r>
          </w:p>
        </w:tc>
        <w:tc>
          <w:tcPr>
            <w:tcW w:w="460" w:type="dxa"/>
            <w:vAlign w:val="bottom"/>
          </w:tcPr>
          <w:p>
            <w:pPr>
              <w:ind w:left="160"/>
              <w:spacing w:after="0"/>
              <w:rPr>
                <w:sz w:val="20"/>
                <w:szCs w:val="20"/>
                <w:color w:val="auto"/>
              </w:rPr>
            </w:pPr>
            <w:r>
              <w:rPr>
                <w:rFonts w:ascii="Arial" w:cs="Arial" w:eastAsia="Arial" w:hAnsi="Arial"/>
                <w:sz w:val="18"/>
                <w:szCs w:val="18"/>
                <w:b w:val="1"/>
                <w:bCs w:val="1"/>
                <w:color w:val="auto"/>
              </w:rPr>
              <w:t>if</w:t>
            </w:r>
          </w:p>
        </w:tc>
        <w:tc>
          <w:tcPr>
            <w:tcW w:w="560" w:type="dxa"/>
            <w:vAlign w:val="bottom"/>
          </w:tcPr>
          <w:p>
            <w:pPr>
              <w:ind w:left="180"/>
              <w:spacing w:after="0"/>
              <w:rPr>
                <w:sz w:val="20"/>
                <w:szCs w:val="20"/>
                <w:color w:val="auto"/>
              </w:rPr>
            </w:pPr>
            <w:r>
              <w:rPr>
                <w:rFonts w:ascii="Arial" w:cs="Arial" w:eastAsia="Arial" w:hAnsi="Arial"/>
                <w:sz w:val="18"/>
                <w:szCs w:val="18"/>
                <w:b w:val="1"/>
                <w:bCs w:val="1"/>
                <w:color w:val="auto"/>
              </w:rPr>
              <w:t>no</w:t>
            </w:r>
          </w:p>
        </w:tc>
        <w:tc>
          <w:tcPr>
            <w:tcW w:w="5880" w:type="dxa"/>
            <w:vAlign w:val="bottom"/>
          </w:tcPr>
          <w:p>
            <w:pPr>
              <w:ind w:left="180"/>
              <w:spacing w:after="0"/>
              <w:rPr>
                <w:sz w:val="20"/>
                <w:szCs w:val="20"/>
                <w:color w:val="auto"/>
              </w:rPr>
            </w:pPr>
            <w:r>
              <w:rPr>
                <w:rFonts w:ascii="Arial" w:cs="Arial" w:eastAsia="Arial" w:hAnsi="Arial"/>
                <w:sz w:val="18"/>
                <w:szCs w:val="18"/>
                <w:b w:val="1"/>
                <w:bCs w:val="1"/>
                <w:color w:val="auto"/>
                <w:w w:val="99"/>
              </w:rPr>
              <w:t xml:space="preserve">business  </w:t>
            </w:r>
            <w:r>
              <w:rPr>
                <w:rFonts w:ascii="Arial" w:cs="Arial" w:eastAsia="Arial" w:hAnsi="Arial"/>
                <w:sz w:val="18"/>
                <w:szCs w:val="18"/>
                <w:color w:val="auto"/>
                <w:w w:val="99"/>
              </w:rPr>
              <w:t>If we are unable to complete our initial business combination</w:t>
            </w:r>
          </w:p>
        </w:tc>
      </w:tr>
      <w:tr>
        <w:trPr>
          <w:trHeight w:val="220"/>
        </w:trPr>
        <w:tc>
          <w:tcPr>
            <w:tcW w:w="1220" w:type="dxa"/>
            <w:vAlign w:val="bottom"/>
          </w:tcPr>
          <w:p>
            <w:pPr>
              <w:ind w:left="100"/>
              <w:spacing w:after="0"/>
              <w:rPr>
                <w:sz w:val="20"/>
                <w:szCs w:val="20"/>
                <w:color w:val="auto"/>
              </w:rPr>
            </w:pPr>
            <w:r>
              <w:rPr>
                <w:rFonts w:ascii="Arial" w:cs="Arial" w:eastAsia="Arial" w:hAnsi="Arial"/>
                <w:sz w:val="18"/>
                <w:szCs w:val="18"/>
                <w:b w:val="1"/>
                <w:bCs w:val="1"/>
                <w:color w:val="auto"/>
              </w:rPr>
              <w:t>combination</w:t>
            </w: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8"/>
              </w:rPr>
              <w:t>within 18 months from the closing of this offering (or 21 months</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rPr>
              <w:t>from the closing of this offering if we have executed a letter of</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7"/>
              </w:rPr>
              <w:t>intent or definitive agreement for a business combination within</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rPr>
              <w:t>18  months  from  the  closing  of  this  offering  but  have  not</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4"/>
              </w:rPr>
              <w:t>completed such business combination with the 18-month period),</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6"/>
              </w:rPr>
              <w:t>we will (i) cease all operations except for the purpose of winding</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6"/>
              </w:rPr>
              <w:t>up, (ii) as promptly as reasonably possible but not more than ten</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4"/>
              </w:rPr>
              <w:t>business days thereafter, redeem 100% of the outstanding public</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5"/>
              </w:rPr>
              <w:t>shares for a pro rata portion of the funds held in the trust account</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6"/>
              </w:rPr>
              <w:t>which redemption will completely extinguish public stockholders’</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rPr>
              <w:t>rights as stockholders (including the right to receive further</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5"/>
              </w:rPr>
              <w:t>liquidation distributions, if any), subject to applicable law, and (iii)</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8"/>
              </w:rPr>
              <w:t>as promptly as reasonably possible following such redemption,</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4"/>
              </w:rPr>
              <w:t>subject to the approval of our remaining holders of common stock</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6"/>
              </w:rPr>
              <w:t>and our board of directors, dissolve and liquidate, subject (in the</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5"/>
              </w:rPr>
              <w:t>case of (ii) and (iii) above) to our obligations under Delaware law</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9"/>
              </w:rPr>
              <w:t>to provide for claims of creditors and the requirements of other</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rPr>
              <w:t>applicable law. If we execute a letter of intent or definitive</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6"/>
              </w:rPr>
              <w:t>agreement for our initial business combination within 18 months</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2"/>
              </w:rPr>
              <w:t>and we are unable to consummate that transaction for any reason,</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2"/>
              </w:rPr>
              <w:t>we would be free to consummate another business combination so</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6"/>
              </w:rPr>
              <w:t>long as we complete such transaction within 21 months from the</w:t>
            </w:r>
          </w:p>
        </w:tc>
      </w:tr>
      <w:tr>
        <w:trPr>
          <w:trHeight w:val="230"/>
        </w:trPr>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rPr>
              <w:t>closing of this offering.</w:t>
            </w:r>
          </w:p>
        </w:tc>
      </w:tr>
      <w:tr>
        <w:trPr>
          <w:trHeight w:val="445"/>
        </w:trPr>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rPr>
              <w:t>In connection with our redemption of 100% of our outstanding</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4"/>
              </w:rPr>
              <w:t>public shares, each holder will receive an amount equal to (1) the</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8"/>
              </w:rPr>
              <w:t>number of public shares being converted by such public holder</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6"/>
              </w:rPr>
              <w:t>divided by the total number of public shares multiplied by (2) the</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3"/>
              </w:rPr>
              <w:t>amount then in the trust account (initially $10.30 per share), which</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9"/>
              </w:rPr>
              <w:t>includes the deferred underwriting commission, plus a pro rata</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2"/>
              </w:rPr>
              <w:t>portion of any interest earned on the funds held in the trust account</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7"/>
              </w:rPr>
              <w:t>and not previously released to us or necessary to pay our taxes</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9"/>
              </w:rPr>
              <w:t>(subject in each case to our obligations under Delaware law to</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3"/>
              </w:rPr>
              <w:t>provide for claims of creditors). Holders of warrants will receive no</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7"/>
              </w:rPr>
              <w:t>proceeds in connection with the liquidation with respect to such</w:t>
            </w:r>
          </w:p>
        </w:tc>
      </w:tr>
      <w:tr>
        <w:trPr>
          <w:trHeight w:val="230"/>
        </w:trPr>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rPr>
              <w:t>warrants, which will expire worthless.</w:t>
            </w:r>
          </w:p>
        </w:tc>
      </w:tr>
      <w:tr>
        <w:trPr>
          <w:trHeight w:val="172"/>
        </w:trPr>
        <w:tc>
          <w:tcPr>
            <w:tcW w:w="1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80" w:type="dxa"/>
            <w:vAlign w:val="bottom"/>
            <w:tcBorders>
              <w:bottom w:val="single" w:sz="8" w:color="auto"/>
            </w:tcBorders>
          </w:tcPr>
          <w:p>
            <w:pPr>
              <w:spacing w:after="0"/>
              <w:rPr>
                <w:sz w:val="14"/>
                <w:szCs w:val="14"/>
                <w:color w:val="auto"/>
              </w:rPr>
            </w:pPr>
          </w:p>
        </w:tc>
      </w:tr>
      <w:tr>
        <w:trPr>
          <w:trHeight w:val="348"/>
        </w:trPr>
        <w:tc>
          <w:tcPr>
            <w:tcW w:w="1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9019"/>
          </w:cols>
          <w:pgMar w:left="1440" w:top="324" w:right="1440" w:bottom="1440" w:gutter="0" w:footer="0" w:header="0"/>
        </w:sectPr>
      </w:pPr>
    </w:p>
    <w:bookmarkStart w:id="21" w:name="page22"/>
    <w:bookmarkEnd w:id="21"/>
    <w:p>
      <w:pPr>
        <w:jc w:val="both"/>
        <w:ind w:left="3640" w:right="539"/>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62198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9850" cy="6219825"/>
                    </a:xfrm>
                    <a:prstGeom prst="rect">
                      <a:avLst/>
                    </a:prstGeom>
                    <a:noFill/>
                  </pic:spPr>
                </pic:pic>
              </a:graphicData>
            </a:graphic>
          </wp:anchor>
        </w:drawing>
        <w:t>The proceeds deposited in the trust account could, however, become subject to claims of our creditors that are in preference to the claims of our stockholders. We may not have funds sufficient to pay or provide for all creditors’ claims. Although we will seek to have all third parties (including any vendors or other entities we engage after this offering) and any prospective target businesses enter into valid and enforceable agreements with us waiving any right, title, interest or claim of any kind in or to any monies held in the trust account, there is no guarantee that they will execute such agreements. There is also no guarantee that the third parties would not challenge the enforceability of these waivers and bring claims against the trust account for monies owed them.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the actual per-share redemption price may be less than $10.30.</w:t>
      </w:r>
    </w:p>
    <w:p>
      <w:pPr>
        <w:spacing w:after="0" w:line="200" w:lineRule="exact"/>
        <w:rPr>
          <w:sz w:val="20"/>
          <w:szCs w:val="20"/>
          <w:color w:val="auto"/>
        </w:rPr>
      </w:pPr>
    </w:p>
    <w:p>
      <w:pPr>
        <w:spacing w:after="0" w:line="206" w:lineRule="exact"/>
        <w:rPr>
          <w:sz w:val="20"/>
          <w:szCs w:val="20"/>
          <w:color w:val="auto"/>
        </w:rPr>
      </w:pPr>
    </w:p>
    <w:p>
      <w:pPr>
        <w:jc w:val="both"/>
        <w:ind w:left="3640" w:right="559"/>
        <w:spacing w:after="0" w:line="264" w:lineRule="auto"/>
        <w:rPr>
          <w:sz w:val="20"/>
          <w:szCs w:val="20"/>
          <w:color w:val="auto"/>
        </w:rPr>
      </w:pPr>
      <w:r>
        <w:rPr>
          <w:rFonts w:ascii="Arial" w:cs="Arial" w:eastAsia="Arial" w:hAnsi="Arial"/>
          <w:sz w:val="18"/>
          <w:szCs w:val="18"/>
          <w:color w:val="auto"/>
        </w:rPr>
        <w:t>The holders of the insider shares and private units will not participate in any redemption with respect to their insider shares or private shares.</w:t>
      </w:r>
    </w:p>
    <w:p>
      <w:pPr>
        <w:spacing w:after="0" w:line="208" w:lineRule="exact"/>
        <w:rPr>
          <w:sz w:val="20"/>
          <w:szCs w:val="20"/>
          <w:color w:val="auto"/>
        </w:rPr>
      </w:pPr>
    </w:p>
    <w:p>
      <w:pPr>
        <w:jc w:val="both"/>
        <w:ind w:left="3640" w:right="539"/>
        <w:spacing w:after="0" w:line="276" w:lineRule="auto"/>
        <w:rPr>
          <w:sz w:val="20"/>
          <w:szCs w:val="20"/>
          <w:color w:val="auto"/>
        </w:rPr>
      </w:pPr>
      <w:r>
        <w:rPr>
          <w:rFonts w:ascii="Arial" w:cs="Arial" w:eastAsia="Arial" w:hAnsi="Arial"/>
          <w:sz w:val="17"/>
          <w:szCs w:val="17"/>
          <w:color w:val="auto"/>
        </w:rPr>
        <w:t>If we are unable to conclude our initial business combination and we expend all of the net proceeds of this offering not deposited in the trust account, without taking into account any interest earned on the trust account, we expect that the initial per-share redemption price will be approximately $10.30.</w:t>
      </w:r>
    </w:p>
    <w:p>
      <w:pPr>
        <w:spacing w:after="0" w:line="200" w:lineRule="exact"/>
        <w:rPr>
          <w:sz w:val="20"/>
          <w:szCs w:val="20"/>
          <w:color w:val="auto"/>
        </w:rPr>
      </w:pPr>
    </w:p>
    <w:p>
      <w:pPr>
        <w:jc w:val="both"/>
        <w:ind w:left="3640" w:right="559"/>
        <w:spacing w:after="0" w:line="293" w:lineRule="auto"/>
        <w:rPr>
          <w:sz w:val="20"/>
          <w:szCs w:val="20"/>
          <w:color w:val="auto"/>
        </w:rPr>
      </w:pPr>
      <w:r>
        <w:rPr>
          <w:rFonts w:ascii="Arial" w:cs="Arial" w:eastAsia="Arial" w:hAnsi="Arial"/>
          <w:sz w:val="16"/>
          <w:szCs w:val="16"/>
          <w:color w:val="auto"/>
        </w:rPr>
        <w:t>We will pay the costs of any liquidation following the redemptions from our remaining assets outside of the trust account. If such funds are insufficient, our insiders have agreed to pay the funds necessary to complete such liquidation (currently anticipated to be no more than approximately $15,000) and have agreed not to seek repayment for such expenses.</w:t>
      </w:r>
    </w:p>
    <w:p>
      <w:pPr>
        <w:spacing w:after="0" w:line="192" w:lineRule="exact"/>
        <w:rPr>
          <w:sz w:val="20"/>
          <w:szCs w:val="20"/>
          <w:color w:val="auto"/>
        </w:rPr>
      </w:pPr>
    </w:p>
    <w:p>
      <w:pPr>
        <w:jc w:val="both"/>
        <w:ind w:left="3640" w:right="539"/>
        <w:spacing w:after="0" w:line="255" w:lineRule="auto"/>
        <w:rPr>
          <w:sz w:val="20"/>
          <w:szCs w:val="20"/>
          <w:color w:val="auto"/>
        </w:rPr>
      </w:pPr>
      <w:r>
        <w:rPr>
          <w:rFonts w:ascii="Arial" w:cs="Arial" w:eastAsia="Arial" w:hAnsi="Arial"/>
          <w:sz w:val="18"/>
          <w:szCs w:val="18"/>
          <w:color w:val="auto"/>
        </w:rPr>
        <w:t>The underwriters have agreed to waive their rights to the deferred underwriting commissions held in the trust account in the event we do not consummate a business combination within 18 months from the closing of this offering (or 21 months, as applicable) and in such event, such amounts will be included with the funds held in the trust account that will be available to fund the redemption of our public shares.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2017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9850" cy="2017395"/>
                    </a:xfrm>
                    <a:prstGeom prst="rect">
                      <a:avLst/>
                    </a:prstGeom>
                    <a:noFill/>
                  </pic:spPr>
                </pic:pic>
              </a:graphicData>
            </a:graphic>
          </wp:anchor>
        </w:drawing>
        <w:t>Risks</w:t>
      </w:r>
    </w:p>
    <w:p>
      <w:pPr>
        <w:spacing w:after="0" w:line="189" w:lineRule="exact"/>
        <w:rPr>
          <w:sz w:val="20"/>
          <w:szCs w:val="20"/>
          <w:color w:val="auto"/>
        </w:rPr>
      </w:pPr>
    </w:p>
    <w:p>
      <w:pPr>
        <w:jc w:val="both"/>
        <w:ind w:left="560" w:right="539"/>
        <w:spacing w:after="0" w:line="270" w:lineRule="auto"/>
        <w:rPr>
          <w:sz w:val="20"/>
          <w:szCs w:val="20"/>
          <w:color w:val="auto"/>
        </w:rPr>
      </w:pPr>
      <w:r>
        <w:rPr>
          <w:rFonts w:ascii="Arial" w:cs="Arial" w:eastAsia="Arial" w:hAnsi="Arial"/>
          <w:sz w:val="17"/>
          <w:szCs w:val="17"/>
          <w:color w:val="auto"/>
        </w:rPr>
        <w:t>We are a newly formed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 Comparison to offerings of blank check companies subject to Rule 419.” You should carefully consider these and the other risks set forth in the section entitled “Risk Factors” beginning on page 20 of this prospectus.</w:t>
      </w: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53105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9850" cy="5310505"/>
                    </a:xfrm>
                    <a:prstGeom prst="rect">
                      <a:avLst/>
                    </a:prstGeom>
                    <a:noFill/>
                  </pic:spPr>
                </pic:pic>
              </a:graphicData>
            </a:graphic>
          </wp:anchor>
        </w:drawing>
        <w:t>SUMMARY FINANCIAL DATA</w:t>
      </w:r>
    </w:p>
    <w:p>
      <w:pPr>
        <w:spacing w:after="0" w:line="189" w:lineRule="exact"/>
        <w:rPr>
          <w:sz w:val="20"/>
          <w:szCs w:val="20"/>
          <w:color w:val="auto"/>
        </w:rPr>
      </w:pPr>
    </w:p>
    <w:p>
      <w:pPr>
        <w:jc w:val="both"/>
        <w:ind w:left="560" w:right="539"/>
        <w:spacing w:after="0" w:line="264"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and accordingly only balance sheet data is presented.</w:t>
      </w:r>
    </w:p>
    <w:p>
      <w:pPr>
        <w:spacing w:after="0" w:line="150"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December 31, 2015</w:t>
            </w:r>
          </w:p>
        </w:tc>
        <w:tc>
          <w:tcPr>
            <w:tcW w:w="228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June 30, 2016</w:t>
            </w: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1"/>
                <w:szCs w:val="21"/>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Actual</w:t>
            </w:r>
          </w:p>
        </w:tc>
        <w:tc>
          <w:tcPr>
            <w:tcW w:w="140" w:type="dxa"/>
            <w:vAlign w:val="bottom"/>
          </w:tcPr>
          <w:p>
            <w:pPr>
              <w:spacing w:after="0"/>
              <w:rPr>
                <w:sz w:val="21"/>
                <w:szCs w:val="21"/>
                <w:color w:val="auto"/>
              </w:rPr>
            </w:pPr>
          </w:p>
        </w:tc>
        <w:tc>
          <w:tcPr>
            <w:tcW w:w="9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Actual</w:t>
            </w:r>
          </w:p>
        </w:tc>
        <w:tc>
          <w:tcPr>
            <w:tcW w:w="1140" w:type="dxa"/>
            <w:vAlign w:val="bottom"/>
            <w:tcBorders>
              <w:top w:val="single" w:sz="8" w:color="auto"/>
            </w:tcBorders>
          </w:tcPr>
          <w:p>
            <w:pPr>
              <w:jc w:val="right"/>
              <w:spacing w:after="0" w:line="251" w:lineRule="exact"/>
              <w:rPr>
                <w:sz w:val="20"/>
                <w:szCs w:val="20"/>
                <w:color w:val="auto"/>
              </w:rPr>
            </w:pPr>
            <w:r>
              <w:rPr>
                <w:rFonts w:ascii="Arial" w:cs="Arial" w:eastAsia="Arial" w:hAnsi="Arial"/>
                <w:sz w:val="18"/>
                <w:szCs w:val="18"/>
                <w:b w:val="1"/>
                <w:bCs w:val="1"/>
                <w:color w:val="auto"/>
                <w:w w:val="85"/>
              </w:rPr>
              <w:t>As Adjusted</w:t>
            </w:r>
            <w:r>
              <w:rPr>
                <w:rFonts w:ascii="Arial" w:cs="Arial" w:eastAsia="Arial" w:hAnsi="Arial"/>
                <w:sz w:val="29"/>
                <w:szCs w:val="29"/>
                <w:b w:val="1"/>
                <w:bCs w:val="1"/>
                <w:color w:val="auto"/>
                <w:w w:val="85"/>
                <w:vertAlign w:val="superscript"/>
              </w:rPr>
              <w:t>(1)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Working capital (deficiency)</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(164,183)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(186,447)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51,032,610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183,957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194,230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52,032,610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Total liabilities</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169,183</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186,720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1,000,000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Value of common stock subject to possible</w:t>
            </w:r>
          </w:p>
        </w:tc>
        <w:tc>
          <w:tcPr>
            <w:tcW w:w="1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46,032,606</w:t>
            </w:r>
          </w:p>
        </w:tc>
        <w:tc>
          <w:tcPr>
            <w:tcW w:w="0" w:type="dxa"/>
            <w:vAlign w:val="bottom"/>
          </w:tcPr>
          <w:p>
            <w:pPr>
              <w:spacing w:after="0"/>
              <w:rPr>
                <w:sz w:val="1"/>
                <w:szCs w:val="1"/>
                <w:color w:val="auto"/>
              </w:rPr>
            </w:pPr>
          </w:p>
        </w:tc>
      </w:tr>
      <w:tr>
        <w:trPr>
          <w:trHeight w:val="29"/>
        </w:trPr>
        <w:tc>
          <w:tcPr>
            <w:tcW w:w="4040" w:type="dxa"/>
            <w:vAlign w:val="bottom"/>
            <w:shd w:val="clear" w:color="auto" w:fill="CCEEFF"/>
          </w:tcPr>
          <w:p>
            <w:pPr>
              <w:spacing w:after="0" w:line="30" w:lineRule="exact"/>
              <w:rPr>
                <w:sz w:val="20"/>
                <w:szCs w:val="20"/>
                <w:color w:val="auto"/>
              </w:rPr>
            </w:pPr>
            <w:r>
              <w:rPr>
                <w:rFonts w:ascii="Arial" w:cs="Arial" w:eastAsia="Arial" w:hAnsi="Arial"/>
                <w:sz w:val="3"/>
                <w:szCs w:val="3"/>
                <w:color w:val="auto"/>
              </w:rPr>
              <w:t>conversion/tender</w:t>
            </w:r>
          </w:p>
        </w:tc>
        <w:tc>
          <w:tcPr>
            <w:tcW w:w="1580" w:type="dxa"/>
            <w:vAlign w:val="bottom"/>
            <w:gridSpan w:val="2"/>
            <w:vMerge w:val="continue"/>
            <w:shd w:val="clear" w:color="auto" w:fill="CCEEFF"/>
          </w:tcPr>
          <w:p>
            <w:pPr>
              <w:spacing w:after="0"/>
              <w:rPr>
                <w:sz w:val="2"/>
                <w:szCs w:val="2"/>
                <w:color w:val="auto"/>
              </w:rPr>
            </w:pPr>
          </w:p>
        </w:tc>
        <w:tc>
          <w:tcPr>
            <w:tcW w:w="960" w:type="dxa"/>
            <w:vAlign w:val="bottom"/>
            <w:gridSpan w:val="2"/>
            <w:vMerge w:val="continue"/>
            <w:shd w:val="clear" w:color="auto" w:fill="CCEEFF"/>
          </w:tcPr>
          <w:p>
            <w:pPr>
              <w:spacing w:after="0"/>
              <w:rPr>
                <w:sz w:val="2"/>
                <w:szCs w:val="2"/>
                <w:color w:val="auto"/>
              </w:rPr>
            </w:pPr>
          </w:p>
        </w:tc>
        <w:tc>
          <w:tcPr>
            <w:tcW w:w="132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0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5"/>
        </w:trPr>
        <w:tc>
          <w:tcPr>
            <w:tcW w:w="4040" w:type="dxa"/>
            <w:vAlign w:val="bottom"/>
          </w:tcPr>
          <w:p>
            <w:pPr>
              <w:spacing w:after="0" w:line="195" w:lineRule="exact"/>
              <w:rPr>
                <w:sz w:val="20"/>
                <w:szCs w:val="20"/>
                <w:color w:val="auto"/>
              </w:rPr>
            </w:pPr>
            <w:r>
              <w:rPr>
                <w:rFonts w:ascii="Arial" w:cs="Arial" w:eastAsia="Arial" w:hAnsi="Arial"/>
                <w:sz w:val="18"/>
                <w:szCs w:val="18"/>
                <w:color w:val="auto"/>
              </w:rPr>
              <w:t>Stockholders’ equity</w:t>
            </w:r>
          </w:p>
        </w:tc>
        <w:tc>
          <w:tcPr>
            <w:tcW w:w="1580" w:type="dxa"/>
            <w:vAlign w:val="bottom"/>
            <w:gridSpan w:val="2"/>
          </w:tcPr>
          <w:p>
            <w:pPr>
              <w:jc w:val="right"/>
              <w:ind w:right="140"/>
              <w:spacing w:after="0" w:line="195" w:lineRule="exact"/>
              <w:rPr>
                <w:sz w:val="20"/>
                <w:szCs w:val="20"/>
                <w:color w:val="auto"/>
              </w:rPr>
            </w:pPr>
            <w:r>
              <w:rPr>
                <w:rFonts w:ascii="Arial" w:cs="Arial" w:eastAsia="Arial" w:hAnsi="Arial"/>
                <w:sz w:val="18"/>
                <w:szCs w:val="18"/>
                <w:color w:val="auto"/>
              </w:rPr>
              <w:t>14,774</w:t>
            </w:r>
          </w:p>
        </w:tc>
        <w:tc>
          <w:tcPr>
            <w:tcW w:w="960" w:type="dxa"/>
            <w:vAlign w:val="bottom"/>
            <w:gridSpan w:val="2"/>
          </w:tcPr>
          <w:p>
            <w:pPr>
              <w:jc w:val="right"/>
              <w:ind w:right="140"/>
              <w:spacing w:after="0" w:line="195" w:lineRule="exact"/>
              <w:rPr>
                <w:sz w:val="20"/>
                <w:szCs w:val="20"/>
                <w:color w:val="auto"/>
              </w:rPr>
            </w:pPr>
            <w:r>
              <w:rPr>
                <w:rFonts w:ascii="Arial" w:cs="Arial" w:eastAsia="Arial" w:hAnsi="Arial"/>
                <w:sz w:val="18"/>
                <w:szCs w:val="18"/>
                <w:color w:val="auto"/>
              </w:rPr>
              <w:t>7,510</w:t>
            </w:r>
          </w:p>
        </w:tc>
        <w:tc>
          <w:tcPr>
            <w:tcW w:w="132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rPr>
              <w:t>5,000,004</w:t>
            </w:r>
          </w:p>
        </w:tc>
        <w:tc>
          <w:tcPr>
            <w:tcW w:w="0" w:type="dxa"/>
            <w:vAlign w:val="bottom"/>
          </w:tcPr>
          <w:p>
            <w:pPr>
              <w:spacing w:after="0"/>
              <w:rPr>
                <w:sz w:val="1"/>
                <w:szCs w:val="1"/>
                <w:color w:val="auto"/>
              </w:rPr>
            </w:pPr>
          </w:p>
        </w:tc>
      </w:tr>
      <w:tr>
        <w:trPr>
          <w:trHeight w:val="266"/>
        </w:trPr>
        <w:tc>
          <w:tcPr>
            <w:tcW w:w="4040" w:type="dxa"/>
            <w:vAlign w:val="bottom"/>
          </w:tcPr>
          <w:p>
            <w:pPr>
              <w:spacing w:after="0"/>
              <w:rPr>
                <w:sz w:val="20"/>
                <w:szCs w:val="20"/>
                <w:color w:val="auto"/>
              </w:rPr>
            </w:pPr>
            <w:r>
              <w:rPr>
                <w:rFonts w:ascii="Arial" w:cs="Arial" w:eastAsia="Arial" w:hAnsi="Arial"/>
                <w:sz w:val="22"/>
                <w:szCs w:val="22"/>
                <w:color w:val="auto"/>
              </w:rPr>
              <w:t>____________</w:t>
            </w: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880" w:hanging="328"/>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$4,025,000 we will receive from the sale of the private units.</w:t>
      </w:r>
    </w:p>
    <w:p>
      <w:pPr>
        <w:spacing w:after="0" w:line="7" w:lineRule="exact"/>
        <w:rPr>
          <w:rFonts w:ascii="Arial" w:cs="Arial" w:eastAsia="Arial" w:hAnsi="Arial"/>
          <w:sz w:val="18"/>
          <w:szCs w:val="18"/>
          <w:color w:val="auto"/>
        </w:rPr>
      </w:pPr>
    </w:p>
    <w:p>
      <w:pPr>
        <w:ind w:left="880" w:hanging="328"/>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“as adjusted” liabilities represents up to $1,000,000 of deferred underwriting commissions.</w:t>
      </w:r>
    </w:p>
    <w:p>
      <w:pPr>
        <w:spacing w:after="0" w:line="9" w:lineRule="exact"/>
        <w:rPr>
          <w:rFonts w:ascii="Arial" w:cs="Arial" w:eastAsia="Arial" w:hAnsi="Arial"/>
          <w:sz w:val="18"/>
          <w:szCs w:val="18"/>
          <w:color w:val="auto"/>
        </w:rPr>
      </w:pPr>
    </w:p>
    <w:p>
      <w:pPr>
        <w:jc w:val="both"/>
        <w:ind w:left="880" w:right="539" w:hanging="328"/>
        <w:spacing w:after="0" w:line="273" w:lineRule="auto"/>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“as adjusted” value of common stock which may be subject to possible conversion/tender for cash is derived by taking 4,469,185 shares of common stock which may be converted, representing the maximum number of shares that may be converted or sold while maintaining at least $5,000,001 in net tangible assets after this offering, multiplied by a conversion price of $10.30.</w:t>
      </w:r>
    </w:p>
    <w:p>
      <w:pPr>
        <w:spacing w:after="0" w:line="150" w:lineRule="exact"/>
        <w:rPr>
          <w:sz w:val="20"/>
          <w:szCs w:val="20"/>
          <w:color w:val="auto"/>
        </w:rPr>
      </w:pPr>
    </w:p>
    <w:p>
      <w:pPr>
        <w:jc w:val="both"/>
        <w:ind w:left="560" w:right="539"/>
        <w:spacing w:after="0" w:line="302" w:lineRule="auto"/>
        <w:rPr>
          <w:sz w:val="20"/>
          <w:szCs w:val="20"/>
          <w:color w:val="auto"/>
        </w:rPr>
      </w:pPr>
      <w:r>
        <w:rPr>
          <w:rFonts w:ascii="Arial" w:cs="Arial" w:eastAsia="Arial" w:hAnsi="Arial"/>
          <w:sz w:val="16"/>
          <w:szCs w:val="16"/>
          <w:color w:val="auto"/>
        </w:rPr>
        <w:t>The “as adjusted” column gives effect to the sale of the units we are offering, including the application of the related gross proceeds and the payment of the estimated remaining costs from such sale and the repayment of the accrued and other liabilities required to be repaid such that we have at least $5,000,001 of net tangible assets upon consummation of this offering and upon consummation of our initial business combination.</w:t>
      </w:r>
    </w:p>
    <w:p>
      <w:pPr>
        <w:spacing w:after="0" w:line="114" w:lineRule="exact"/>
        <w:rPr>
          <w:sz w:val="20"/>
          <w:szCs w:val="20"/>
          <w:color w:val="auto"/>
        </w:rPr>
      </w:pPr>
    </w:p>
    <w:p>
      <w:pPr>
        <w:jc w:val="both"/>
        <w:ind w:left="560" w:right="539"/>
        <w:spacing w:after="0" w:line="271" w:lineRule="auto"/>
        <w:rPr>
          <w:sz w:val="20"/>
          <w:szCs w:val="20"/>
          <w:color w:val="auto"/>
        </w:rPr>
      </w:pPr>
      <w:r>
        <w:rPr>
          <w:rFonts w:ascii="Arial" w:cs="Arial" w:eastAsia="Arial" w:hAnsi="Arial"/>
          <w:sz w:val="17"/>
          <w:szCs w:val="17"/>
          <w:color w:val="auto"/>
        </w:rPr>
        <w:t>The “as adjusted” working capital amount includes the $51,500,000 to be held in the trust account, less the deferred underwriting commission of $1,000,000, which, except for limited situations described in this prospectus, will be available to us only upon the consummation of our initial business combination within the time period described in this prospectus. The “as adjusted” total assets amount includes the $51,500,000 to be held in the trust account, including the deferred underwriting commission of $1,000,000. If our initial business combination is not so consummated, the trust account, less amounts we are permitted to withdraw as described in this prospectus, will be distributed solely to our public stockholders (subject to our obligations under Delaware law to provide for claims of creditors).</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i w:val="1"/>
          <w:iCs w:val="1"/>
          <w:color w:val="auto"/>
        </w:rPr>
        <w:t>An investment in our securities involves a high degree of risk. You should consider carefully all of the risks described below, which we believe represent the material risks related to the offering,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 This prospectus also contains forward-looking statements that involve risks and uncertainties. Our actual results could differ materially from those anticipated in the forward-looking statements as a result of specific factors, including the risks described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are a newly formed early stage company with no operating history and, accordingly, you have no basis on which to evaluate our ability to achieve our business objective.</w:t>
      </w:r>
    </w:p>
    <w:p>
      <w:pPr>
        <w:spacing w:after="0" w:line="143"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are a newly formed early stage company with no operating results, and we will not commence operations until obtaining funding through this offering. Because we lack an operating history, you have no basis upon which to evaluate our ability to achieve our business objective, which is to complete our initial business combination with one or more target businesses. We have not engaged in any substantive discussions and we have no plans, arrangements or understandings with any prospective target business concerning a business combination and may be unable to complete our business combination. If we fail to complete our business combination, we will never generate any operating revenues.</w:t>
      </w:r>
    </w:p>
    <w:p>
      <w:pPr>
        <w:spacing w:after="0" w:line="178"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Our independent registered public accounting firm’s report contains an explanatory paragraph that expresses substantial doubt about our ability to continue as a “going concern.”</w:t>
      </w:r>
    </w:p>
    <w:p>
      <w:pPr>
        <w:spacing w:after="0" w:line="10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As of June 30, 2016, we had $273 in cash and a working capital deficiency of $186,447. Further, we have incurred and expect to continue to incur significant costs in pursuit of our acquisition plans. Management’s plans to address this need for capital through this offering are discussed in the section of this prospectus titled “Management’s Discussion and Analysis of Financial Condition and Results of Operations.” Our plans to raise capital and to consummate our initial business combination may not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7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we are unable to consummate our initial business combination, our public stockholders may be forced to wait more than 21 months before receiving distributions from the trust account.</w:t>
      </w:r>
    </w:p>
    <w:p>
      <w:pPr>
        <w:spacing w:after="0" w:line="130"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We will have until 18 months from the closing of this offering (or 21 months from the closing of this offering if we have executed a letter of intent or definitive agreement for an initial business combination within 18 months from the closing of this offering but have not completed the initial business combination within such 18-month period) to consummate our initial business combination. We have no obligation to return funds to investors prior to such date unless we consummate our initial business combination prior thereto and only then in cases where investors have sought to convert their shares. Only after the expiration of this full time period will holders of our common stock be entitled to distributions from the trust account if we are unable to complete our initial business combination. Accordingly, investors’ funds may be unavailable to them until after such date and to liquidate your investment, public security holders may be forced to sell their public shares, potentially at a loss.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public stockholders may not be afforded an opportunity to vote on our proposed business combination.</w:t>
      </w:r>
    </w:p>
    <w:p>
      <w:pPr>
        <w:spacing w:after="0" w:line="23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will either (1) seek stockholder approval of our initial business combination at a meeting called for such purpose at which public stockholders may seek to convert their shares, regardless of whether they vote for or against the proposed business combination, into their pro rata share of the aggregate amount then on deposit in the trust account (net of taxes payable), or (2) provide our public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elsewhere in this prospectus. Accordingly, it is possible that we will consummate our initial business combination even if holders of a majority of our public shares do not approve of the business combination. The decision as to whether we will seek stockholder approval of a proposed business combination or will allow stockholders to sell their shares to us in a tender offer will be made by us, solely in our discretion, and will be based on a variety</w:t>
      </w:r>
    </w:p>
    <w:p>
      <w:pPr>
        <w:sectPr>
          <w:pgSz w:w="11900" w:h="16838" w:orient="portrait"/>
          <w:cols w:equalWidth="0" w:num="1">
            <w:col w:w="9019"/>
          </w:cols>
          <w:pgMar w:left="1440" w:top="337" w:right="1440"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25" w:name="page26"/>
    <w:bookmarkEnd w:id="25"/>
    <w:p>
      <w:pPr>
        <w:jc w:val="both"/>
        <w:ind w:left="460" w:right="459"/>
        <w:spacing w:after="0" w:line="255" w:lineRule="auto"/>
        <w:rPr>
          <w:sz w:val="20"/>
          <w:szCs w:val="20"/>
          <w:color w:val="auto"/>
        </w:rPr>
      </w:pPr>
      <w:r>
        <w:rPr>
          <w:rFonts w:ascii="Arial" w:cs="Arial" w:eastAsia="Arial" w:hAnsi="Arial"/>
          <w:sz w:val="18"/>
          <w:szCs w:val="18"/>
          <w:color w:val="auto"/>
        </w:rPr>
        <w:t>of factors such as the timing of the transaction and whether the terms of the transaction would otherwise require us to seek stockholder approval. For instance, Nasdaq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instead of conducting a tender offer.</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You will not be entitled to protections normally afforded to investors of blank check companies.</w:t>
      </w:r>
    </w:p>
    <w:p>
      <w:pPr>
        <w:spacing w:after="0" w:line="21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Since the net proceeds of this offering are intended to be used to complete our initial business combination with a target business that has not been identified, we may be deemed to be a “blank check” company under the United States securities laws. However, since we will have net tangible assets in excess of $5,000,001 upon the successful consummation of this offering and will file a Current Report on Form 8-K, including an audited balance sheet demonstrating this fact, we are exempt from rules promulgated by the SEC to protect investors of blank check companies such as Rule 419. Accordingly, investors will not be afforded the benefits or protections of those rules which would, for example, completely restrict the transferability of our securities, require us to complete our initial business combination within 18 months of the effective date of the initial registration statement and restrict the use of interest earned on the funds held in the trust account. Because we are not subject to Rule 419, our units will be immediately tradable, we will be entitled to withdraw amounts from the funds held in the trust account prior to the completion of our initial business combination and we may have a longer period of time to complete such a business combination than we would if we were subject to such rule.</w:t>
      </w:r>
    </w:p>
    <w:p>
      <w:pPr>
        <w:spacing w:after="0" w:line="16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we determine to amend certain agreements made by our management team, many of the disclosures contained in this prospectus regarding those agreements would no longer apply.</w:t>
      </w:r>
    </w:p>
    <w:p>
      <w:pPr>
        <w:spacing w:after="0" w:line="13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could seek to amend certain agreements with our management team disclosed in this prospectus without the approval of our stockholders, although we have no current intention to do so. For example, restrictions on our executives relating to the voting of securities owned by them, the agreement of our management team to remain with us until the closing of a business combination, the obligation of our management team to not propose certain changes to our organizational documents or the obligation of the management team and its affiliates to not receive any compensation in connection with a business combination could be modified without obtaining stockholder approval. Although stockholders would not be given the opportunity to redeem their shares in connection with such changes, in no event would we be able to modify the redemption or liquidation rights of our stockholders without permitting our stockholders the right to redeem their shares in connection with any such change. We will not agree to any such changes unless we believed that such changes were in the best interests of our stockholders (for example, if such a modification were necessary to complete a business combination).</w:t>
      </w:r>
    </w:p>
    <w:p>
      <w:pPr>
        <w:spacing w:after="0" w:line="18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deviate from the acquisition criteria or guidelines set forth in this prospectus, investors in this offering may have rescission rights or may bring an action for damages against us or we could be subject to civil or criminal actions taken by governmental authorities.</w:t>
      </w:r>
    </w:p>
    <w:p>
      <w:pPr>
        <w:spacing w:after="0" w:line="141"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If we were to elect to deviate from the acquisition criteria or guidelines set forth in this prospectus, each person who purchased units in this offering and still held such securities upon learning of the facts relating to the deviation may seek rescission of the purchase of the units he or she acquired in the offering (under which a successful claimant has the right to receive the total amount paid for his or her securities pursuant to an allegedly deficient prospectus, plus interest and less any income earned on the securities, in exchange for surrender of the securities) or bring an action for damages against us (compensation for loss on an investment caused by alleged material misrepresentations or omissions in the sale of a security). In such event, we could also be subject to civil or criminal actions taken by governmental authorities. For instance, the SEC can seek injunctions under Section 20(b) of the Securities Act if it believes a violation under the Securities Act has occurred or is imminent. The SEC can also seek civil penalties under Sections 20(d) and 24 if a party has violated the Securities Act or an injunctive action taken by the SEC or if a party willfully, in a registration statement filed under the Securities Act, makes any untrue statement of a material fact or omits to state any material fact required to be stated therein or necessary to make the statements therein not misleading. Furthermore, Section 20 allows the SEC to refer matters to the attorney general to bring criminal penalties against an issuer.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26" w:name="page27"/>
    <w:bookmarkEnd w:id="26"/>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We may issue shares of our capital stock to complete our initial business combination, which would reduce the equity interest of our stockholders and likely cause a change in control of our ownership.</w:t>
      </w:r>
    </w:p>
    <w:p>
      <w:pPr>
        <w:spacing w:after="0" w:line="83"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amended and restated certificate of incorporation currently authorizes the issuance of up to 50,000,000 shares of common stock, par value $0.001 per share, and 1,000,000 shares of preferred stock, par value $0.001 per share. Immediately after this offering and the purchase of the private units (assuming no exercise of the underwriters’ over-allotment option), there will be approximately 36,945,000 authorized but unissued shares of common stock available for issuance (after appropriate reservation for the issuance of the shares (i) underlying the public warrants and private warrants issuable upon consummation of our initial business combination, and</w:t>
      </w:r>
    </w:p>
    <w:p>
      <w:pPr>
        <w:spacing w:after="0" w:line="5" w:lineRule="exact"/>
        <w:rPr>
          <w:sz w:val="20"/>
          <w:szCs w:val="20"/>
          <w:color w:val="auto"/>
        </w:rPr>
      </w:pPr>
    </w:p>
    <w:p>
      <w:pPr>
        <w:jc w:val="both"/>
        <w:ind w:left="460" w:right="459" w:firstLine="2"/>
        <w:spacing w:after="0" w:line="253" w:lineRule="auto"/>
        <w:tabs>
          <w:tab w:leader="none" w:pos="7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underlying the unit purchase option being issued to Chardan Capital Markets, LLC and/or its designees). Although we have no commitment as of the date of this offering, we may issue a substantial number of additional shares of common stock or shares of preferred stock, or a combination of common stock and preferred stock, to complete our initial business combination. The issuance of additional shares of common stock or preferred stock:</w:t>
      </w:r>
    </w:p>
    <w:p>
      <w:pPr>
        <w:spacing w:after="0" w:line="164" w:lineRule="exact"/>
        <w:rPr>
          <w:rFonts w:ascii="Arial" w:cs="Arial" w:eastAsia="Arial" w:hAnsi="Arial"/>
          <w:sz w:val="18"/>
          <w:szCs w:val="18"/>
          <w:color w:val="auto"/>
        </w:rPr>
      </w:pPr>
    </w:p>
    <w:p>
      <w:pPr>
        <w:ind w:left="1080" w:hanging="293"/>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investors in this offering;</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13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129" w:lineRule="exact"/>
        <w:rPr>
          <w:rFonts w:ascii="Arial" w:cs="Arial" w:eastAsia="Arial" w:hAnsi="Arial"/>
          <w:sz w:val="18"/>
          <w:szCs w:val="18"/>
          <w:color w:val="auto"/>
        </w:rPr>
      </w:pPr>
    </w:p>
    <w:p>
      <w:pPr>
        <w:jc w:val="both"/>
        <w:ind w:left="1120" w:right="459" w:hanging="333"/>
        <w:spacing w:after="0" w:line="286" w:lineRule="auto"/>
        <w:tabs>
          <w:tab w:leader="none" w:pos="1178" w:val="left"/>
        </w:tabs>
        <w:numPr>
          <w:ilvl w:val="1"/>
          <w:numId w:val="10"/>
        </w:numPr>
        <w:rPr>
          <w:rFonts w:ascii="Arial" w:cs="Arial" w:eastAsia="Arial" w:hAnsi="Arial"/>
          <w:sz w:val="17"/>
          <w:szCs w:val="17"/>
          <w:color w:val="auto"/>
        </w:rPr>
      </w:pPr>
      <w:r>
        <w:rPr>
          <w:rFonts w:ascii="Arial" w:cs="Arial" w:eastAsia="Arial" w:hAnsi="Arial"/>
          <w:sz w:val="17"/>
          <w:szCs w:val="17"/>
          <w:color w:val="auto"/>
        </w:rPr>
        <w:t>may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138" w:lineRule="exact"/>
        <w:rPr>
          <w:rFonts w:ascii="Arial" w:cs="Arial" w:eastAsia="Arial" w:hAnsi="Arial"/>
          <w:sz w:val="17"/>
          <w:szCs w:val="17"/>
          <w:color w:val="auto"/>
        </w:rPr>
      </w:pPr>
    </w:p>
    <w:p>
      <w:pPr>
        <w:ind w:left="1080" w:hanging="293"/>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shares of common stock.</w:t>
      </w:r>
    </w:p>
    <w:p>
      <w:pPr>
        <w:spacing w:after="0" w:line="22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14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Although we have no commitments as of the date of this prospectus to issue any notes or other debt securities, or to otherwise incur outstanding debt, we may choose to incur substantial debt to complete our business combination. However, the incurrence of debt could have a variety of negative effects, including:</w:t>
      </w:r>
    </w:p>
    <w:p>
      <w:pPr>
        <w:spacing w:after="0" w:line="125" w:lineRule="exact"/>
        <w:rPr>
          <w:sz w:val="20"/>
          <w:szCs w:val="20"/>
          <w:color w:val="auto"/>
        </w:rPr>
      </w:pPr>
    </w:p>
    <w:p>
      <w:pPr>
        <w:ind w:left="1120" w:right="459" w:hanging="333"/>
        <w:spacing w:after="0" w:line="277" w:lineRule="auto"/>
        <w:tabs>
          <w:tab w:leader="none" w:pos="10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our initial business combination are insufficient to repay our debt obligations;</w:t>
      </w:r>
    </w:p>
    <w:p>
      <w:pPr>
        <w:spacing w:after="0" w:line="143" w:lineRule="exact"/>
        <w:rPr>
          <w:rFonts w:ascii="Arial" w:cs="Arial" w:eastAsia="Arial" w:hAnsi="Arial"/>
          <w:sz w:val="18"/>
          <w:szCs w:val="18"/>
          <w:color w:val="auto"/>
        </w:rPr>
      </w:pPr>
    </w:p>
    <w:p>
      <w:pPr>
        <w:jc w:val="both"/>
        <w:ind w:left="1120" w:right="459" w:hanging="333"/>
        <w:spacing w:after="0" w:line="264" w:lineRule="auto"/>
        <w:tabs>
          <w:tab w:leader="none" w:pos="12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40" w:lineRule="exact"/>
        <w:rPr>
          <w:rFonts w:ascii="Arial" w:cs="Arial" w:eastAsia="Arial" w:hAnsi="Arial"/>
          <w:sz w:val="18"/>
          <w:szCs w:val="18"/>
          <w:color w:val="auto"/>
        </w:rPr>
      </w:pPr>
    </w:p>
    <w:p>
      <w:pPr>
        <w:ind w:left="1120" w:right="459" w:hanging="333"/>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29" w:lineRule="exact"/>
        <w:rPr>
          <w:rFonts w:ascii="Arial" w:cs="Arial" w:eastAsia="Arial" w:hAnsi="Arial"/>
          <w:sz w:val="18"/>
          <w:szCs w:val="18"/>
          <w:color w:val="auto"/>
        </w:rPr>
      </w:pPr>
    </w:p>
    <w:p>
      <w:pPr>
        <w:ind w:left="1120" w:right="459" w:hanging="333"/>
        <w:spacing w:after="0" w:line="277" w:lineRule="auto"/>
        <w:tabs>
          <w:tab w:leader="none" w:pos="11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 and</w:t>
      </w:r>
    </w:p>
    <w:p>
      <w:pPr>
        <w:spacing w:after="0" w:line="143" w:lineRule="exact"/>
        <w:rPr>
          <w:rFonts w:ascii="Arial" w:cs="Arial" w:eastAsia="Arial" w:hAnsi="Arial"/>
          <w:sz w:val="18"/>
          <w:szCs w:val="18"/>
          <w:color w:val="auto"/>
        </w:rPr>
      </w:pPr>
    </w:p>
    <w:p>
      <w:pPr>
        <w:jc w:val="both"/>
        <w:ind w:left="1120" w:right="459" w:hanging="333"/>
        <w:spacing w:after="0" w:line="264" w:lineRule="auto"/>
        <w:tabs>
          <w:tab w:leader="none" w:pos="10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8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The funds held in the trust account may not earn significant interest and, as a result, we may be limited to the funds held outside of the trust account to fund our search for target businesses, to pay our tax obligations and to complete our initial business combination.</w:t>
      </w:r>
    </w:p>
    <w:p>
      <w:pPr>
        <w:spacing w:after="0" w:line="141"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Of the net proceeds of this offering, $525,000 is anticipated to be available to us initially outside the trust account to fund our working capital requirements. We will depend on sufficient interest being earned on the proceeds held in the trust account to provide us with additional working capital we will need to identify one or more target businesses and to complete our initial business combination, as well as to pay any tax obligations that we may owe. Interest rates on permissible investments for us have been less than 1% over the last several years. Accordingly, if we do not earn a sufficient amount of interest on the funds held in the trust account and use all of the funds held outside of the trust account, we may not have sufficient funds available</w:t>
      </w:r>
    </w:p>
    <w:p>
      <w:pPr>
        <w:sectPr>
          <w:pgSz w:w="11900" w:h="16838" w:orient="portrait"/>
          <w:cols w:equalWidth="0" w:num="1">
            <w:col w:w="9019"/>
          </w:cols>
          <w:pgMar w:left="1440" w:top="341" w:right="1440" w:bottom="1440" w:gutter="0" w:footer="0" w:header="0"/>
        </w:sectPr>
      </w:pP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27" w:name="page28"/>
    <w:bookmarkEnd w:id="27"/>
    <w:p>
      <w:pPr>
        <w:jc w:val="both"/>
        <w:ind w:left="460" w:right="459"/>
        <w:spacing w:after="0" w:line="257" w:lineRule="auto"/>
        <w:rPr>
          <w:sz w:val="20"/>
          <w:szCs w:val="20"/>
          <w:color w:val="auto"/>
        </w:rPr>
      </w:pPr>
      <w:r>
        <w:rPr>
          <w:rFonts w:ascii="Arial" w:cs="Arial" w:eastAsia="Arial" w:hAnsi="Arial"/>
          <w:sz w:val="18"/>
          <w:szCs w:val="18"/>
          <w:color w:val="auto"/>
        </w:rPr>
        <w:t>with which to structure, negotiate or close our initial business combination. In such event, we would need to borrow funds from our insiders, officers or directors to operate or may be forced to liquidate. Our insiders, officers and directors are under no obligation to loan us any funds. If we are unable to obtain the funds necessary, we may be forced to cease searching for a target business and may be unable to complete our initial business combination.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have sufficient working capital to cover our operating expenses.</w:t>
      </w:r>
    </w:p>
    <w:p>
      <w:pPr>
        <w:spacing w:after="0" w:line="19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As set forth in this prospectus under “Use of Proceeds,” we anticipate that we will incur operating expenses of approximately $525,000 after the initial public offering. These expenses include $150,000 of third party expenses related to the search for target businesses and the due diligence investigation, structuring and negotiation of our initial business combination; $10,000 of expenses related to due diligence of prospective target businesses; $40,000 of legal and accounting fees related to SEC reporting obligations; $210,000 of administrative fees payable to Magna Management LLC ($10,000 per month for up to 21 months), subject to deferral as described below; and $115,000 of working capital to cover miscellaneous expenses, D&amp;O insurance, liquidation obligations, reserves and for general corporate purposes. Following the consummation of this offering, the amounts available to us to pay our operating expenses will consist only of the approximately $525,000 initially held outside of the trust account and any interest earned on the funds in the trust account remaining after interest is released to pay our income or other tax obligations. Therefore, if our expenses exceed our estimates, we will not have sufficient funds outside the trust account to cover our expenses. In such event, we would need to borrow funds from our insiders, officers or directors or from third parties to continue to operate. However, our insiders, officers and directors and third parties are under no obligation to loan us any funds. If we are unable to obtain the necessary funds, we may be forced to cease searching for a target business and liquidate without completing our initial business combination.</w:t>
      </w:r>
    </w:p>
    <w:p>
      <w:pPr>
        <w:spacing w:after="0" w:line="178"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b w:val="1"/>
          <w:bCs w:val="1"/>
          <w:i w:val="1"/>
          <w:iCs w:val="1"/>
          <w:color w:val="auto"/>
        </w:rPr>
        <w:t>Reimbursement of out-of-pocket expenses incurred by our insiders, officers, directors or any of their affiliates in connection with certain activities on our behalf, such as identifying and investigating possible business targets and business combinations, could reduce the funds available to us to consummate a business combination. In addition, an indemnification claim by one or more of our officers and directors in the event that any of them are sued in their capacity as an officer or director could also reduce the funds available to us outside of the trust account.</w:t>
      </w:r>
    </w:p>
    <w:p>
      <w:pPr>
        <w:spacing w:after="0" w:line="13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We may reimburse our insiders, officers, directors or any of their affiliates for out-of-pocket expenses incurred in connection with certain activities on our behalf, such as identifying and investigating possible business targets and business combinations. There is no limit on the amount of out-of-pocket expenses reimbursable by us; provided, that, to the extent such expenses exceed the available proceeds not deposited in the trust account and the interest income earned on the amounts held in the trust account that may be released to us, such expenses would not be reimbursed by us unless we consummate an initial business combination. In addition, pursuant to our certificate of incorporation and Delaware law, we may be required to indemnify our officers and directors in the event that any of them are sued in their capacity as an officer or director. We will also enter into agreements with our officers and directors to provide contractual indemnification in addition to the indemnification provided for in our certificate of incorporation and under Delaware law. In the event that we reimburse our insiders, officers, directors or any of their affiliates for out-of-pocket expenses prior to the consummation of a business combination or are required to indemnify any of our officers or directors pursuant to our certificate of incorporation, Delaware law, or the indemnity agreements that we will enter into with them, we would use funds available to us outside of the trust account or interest released to us from the trust account for our working capital requirements. Any reduction in the funds available to us could have a material adverse effect on our ability to locate and investigate prospective target businesses and to structure, negotiate, conduct due diligence in connection with or consummate our initial business combination.</w:t>
      </w:r>
    </w:p>
    <w:p>
      <w:pPr>
        <w:spacing w:after="0" w:line="175"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If third parties bring claims against us, the proceeds held in the trust account could be reduced and the per-share redemption price received by stockholders may be less than approximately $10.30.</w:t>
      </w:r>
    </w:p>
    <w:p>
      <w:pPr>
        <w:spacing w:after="0" w:line="10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placing of funds in the trust account may not protect those funds from third party claims against us. Although we will seek to have all vendors and service providers we engage and prospective target businesses we negotiate with execute agreements with us waiving any right, title, interest or claim of any kind in or to any monies held in the trust account for the benefit of our public stockholders, they may not execute such agreements. Furthermore, even if such entities execute such agreements with us, they may seek recourse against the trust account. A court may not uphold the validity of such agreements. Accordingly, the proceeds held in the trust account could be subject to claims which could take priority over those of our public stockholders. If we are unable to complete an initial business combination within the required time period, our insiders have agreed that they will be jointly and severally liable to ensure that the proceeds in the trust account are not reduced by the claims of target businesses or claims of vendors or other entities that are owed money by us for services rendered or contracted for or products</w:t>
      </w:r>
    </w:p>
    <w:p>
      <w:pPr>
        <w:sectPr>
          <w:pgSz w:w="11900" w:h="16838" w:orient="portrait"/>
          <w:cols w:equalWidth="0" w:num="1">
            <w:col w:w="9019"/>
          </w:cols>
          <w:pgMar w:left="1440" w:top="301" w:right="1440"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28" w:name="page29"/>
    <w:bookmarkEnd w:id="28"/>
    <w:p>
      <w:pPr>
        <w:jc w:val="both"/>
        <w:ind w:left="460" w:right="459"/>
        <w:spacing w:after="0" w:line="272" w:lineRule="auto"/>
        <w:rPr>
          <w:sz w:val="20"/>
          <w:szCs w:val="20"/>
          <w:color w:val="auto"/>
        </w:rPr>
      </w:pPr>
      <w:r>
        <w:rPr>
          <w:rFonts w:ascii="Arial" w:cs="Arial" w:eastAsia="Arial" w:hAnsi="Arial"/>
          <w:sz w:val="17"/>
          <w:szCs w:val="17"/>
          <w:color w:val="auto"/>
        </w:rPr>
        <w:t>sold to us, but only if such a vendor or prospective target business does not execute such a waiver. However, our insiders may not be able to meet such obligation as we have not required our insider to retain any assets to provide for their indemnification obligations, nor have we taken any further steps to ensure that our insiders will be able to satisfy any indemnification obligations that arise. Moreover, our insiders will not be liable to our public stockholders if they should fail to satisfy their obligations under this agreement and instead will only be liable to us. Therefore, the per share redemption or conversion amount received by public stockholders may be less than approximately $10.30 due to such claims.</w:t>
      </w:r>
    </w:p>
    <w:p>
      <w:pPr>
        <w:spacing w:after="0" w:line="151"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Additionally, 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$10.30.</w:t>
      </w:r>
    </w:p>
    <w:p>
      <w:pPr>
        <w:spacing w:after="0" w:line="17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w:t>
      </w:r>
    </w:p>
    <w:p>
      <w:pPr>
        <w:spacing w:after="0" w:line="13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we have not completed our initial business combination within 18 months from the closing of this offering (or 21 months from the closing of this offering if we have entered into a letter of intent or definitive agreement with a target business for a business combination within 18 months from the closing of this offering but the business combination has not been consummated within such 18-month period), we will (i) cease all operations except for the purpose of winding up, (ii) as promptly as reasonably possible but not more than ten business days thereafter, redeem 100% of the outstanding public shares for a pro rata portion of the funds held in the trust account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holders of common stock and our board of directors, dissolve and liquidate, subject (in the case of (ii) and (iii) above) to our obligations under Delaware law to provide for claims of creditors and the requirements of other applicable law. We may not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third parties may seek to recover from our stockholders amounts owed to them by us.</w:t>
      </w:r>
    </w:p>
    <w:p>
      <w:pPr>
        <w:spacing w:after="0" w:line="169"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3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67" w:lineRule="exact"/>
        <w:rPr>
          <w:sz w:val="20"/>
          <w:szCs w:val="20"/>
          <w:color w:val="auto"/>
        </w:rPr>
      </w:pPr>
    </w:p>
    <w:p>
      <w:pPr>
        <w:jc w:val="both"/>
        <w:ind w:left="460" w:right="459"/>
        <w:spacing w:after="0" w:line="327"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13"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 of warrants will not have redemption rights.</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If we are unable to complete an initial business combination within the required time period and we redeem the funds held in the trust account, the warrants will expire and holders will not receive any of the amounts held in the trust account in exchange for such warrants.</w:t>
      </w:r>
    </w:p>
    <w:p>
      <w:pPr>
        <w:sectPr>
          <w:pgSz w:w="11900" w:h="16838" w:orient="portrait"/>
          <w:cols w:equalWidth="0" w:num="1">
            <w:col w:w="9019"/>
          </w:cols>
          <w:pgMar w:left="1440" w:top="301" w:right="1440"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29" w:name="page30"/>
    <w:bookmarkEnd w:id="29"/>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Since we have not yet selected a particular industry or target business with which to complete our initial business combination, we are unable to currently ascertain the merits or risks of the industry or business in which we may ultimately operate.</w:t>
      </w:r>
    </w:p>
    <w:p>
      <w:pPr>
        <w:spacing w:after="0" w:line="141"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Although we intend to focus our search on target businesses operating in technology, media and telecommunications industries, we may consummate our initial business combination with a target business in any industry we choose and are not limited to any particular industry or type of business. Accordingly, there is no current basis for you to evaluate the possible merits or risks of the particular industry in which we may ultimately operate or the target business which we may ultimately consummate our initial business combination. To the extent we complete our initial business combination with a financially unstable company or an entity in its development stage, we may be affected by numerous risks inherent in the business operations of those entities. If we complete our initial business combination with an entity in an industry characterized by a high level of risk, we may be affected by the currently unascertainable risks of that industry. We may not properly ascertain or assess all of the significant risk factors. An investment in our shares may not ultimately prove to be more favorable to investors in this offering than a direct investment, if an opportunity were available, in a target business.</w:t>
      </w:r>
    </w:p>
    <w:p>
      <w:pPr>
        <w:spacing w:after="0" w:line="180"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The requirement that our initial business combination occur with one or more target businesses having an aggregate fair market value equal to at least 80% of the value of the trust account at the time of the execution of a definitive agreement for our initial business combination may limit the type and number of companies that we may complete such a business combination with.</w:t>
      </w:r>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Pursuant to the Nasdaq listing rules, our initial business combination must occur with one or more target businesses having an aggregate fair market value equal to at least 80% of the value of the trust account (excluding any deferred underwriter’s fees and taxes payable on the income earned on the trust account) at the time of the execution of a definitive agreement for our initial business combination. This restriction may limit the type and number of companies that we may complete a business combination with. If we are unable to locate a target business or businesses that satisfy this fair market value test, we may be forced to liquidate and you will only be entitled to receive your pro rata portion of the funds in the trust account. If we are no longer listed on Nasdaq, we will not be required to satisfy the 80% test.</w:t>
      </w:r>
    </w:p>
    <w:p>
      <w:pPr>
        <w:spacing w:after="0" w:line="179" w:lineRule="exact"/>
        <w:rPr>
          <w:sz w:val="20"/>
          <w:szCs w:val="20"/>
          <w:color w:val="auto"/>
        </w:rPr>
      </w:pPr>
    </w:p>
    <w:p>
      <w:pPr>
        <w:jc w:val="both"/>
        <w:ind w:left="460" w:right="459"/>
        <w:spacing w:after="0" w:line="340" w:lineRule="auto"/>
        <w:rPr>
          <w:sz w:val="20"/>
          <w:szCs w:val="20"/>
          <w:color w:val="auto"/>
        </w:rPr>
      </w:pPr>
      <w:r>
        <w:rPr>
          <w:rFonts w:ascii="Arial" w:cs="Arial" w:eastAsia="Arial" w:hAnsi="Arial"/>
          <w:sz w:val="15"/>
          <w:szCs w:val="15"/>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9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may structure our initial business combination such that the post-transaction company owns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 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w:t>
      </w:r>
    </w:p>
    <w:p>
      <w:pPr>
        <w:spacing w:after="0" w:line="385"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b w:val="1"/>
          <w:bCs w:val="1"/>
          <w:i w:val="1"/>
          <w:iCs w:val="1"/>
          <w:color w:val="auto"/>
        </w:rPr>
        <w:t>Our ability to successfully effect our initial business combination and to be successful thereafter will be totally dependent upon the efforts of our key personnel, some of whom may join us following our initial business combination. While we intend to closely scrutinize any individuals we engage after our initial business combination, our assessment of these individuals may not prove to be correct.</w:t>
      </w:r>
    </w:p>
    <w:p>
      <w:pPr>
        <w:spacing w:after="0" w:line="11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ability to successfully effect our initial business combination is dependent upon the efforts of our key personnel. We believe that our success depends on the continued service of our key personnel, at least until we have consummated our initial business combination. None of our officers are required to commit any specified amount of time to our affairs (although we expect them to devote approximately 10 hours per week to our business) and, accordingly, they will have conflicts of interest in allocating management time among various business activities, including identifying potential business combinations and monitoring the related due diligence. If our officers’ and directors’ other business affairs require them to devote more substantial amounts of</w:t>
      </w:r>
    </w:p>
    <w:p>
      <w:pPr>
        <w:sectPr>
          <w:pgSz w:w="11900" w:h="16838" w:orient="portrait"/>
          <w:cols w:equalWidth="0" w:num="1">
            <w:col w:w="9019"/>
          </w:cols>
          <w:pgMar w:left="1440" w:top="341" w:right="1440"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0" w:name="page31"/>
    <w:bookmarkEnd w:id="30"/>
    <w:p>
      <w:pPr>
        <w:jc w:val="both"/>
        <w:ind w:left="460" w:right="459"/>
        <w:spacing w:after="0" w:line="259" w:lineRule="auto"/>
        <w:rPr>
          <w:sz w:val="20"/>
          <w:szCs w:val="20"/>
          <w:color w:val="auto"/>
        </w:rPr>
      </w:pPr>
      <w:r>
        <w:rPr>
          <w:rFonts w:ascii="Arial" w:cs="Arial" w:eastAsia="Arial" w:hAnsi="Arial"/>
          <w:sz w:val="18"/>
          <w:szCs w:val="18"/>
          <w:color w:val="auto"/>
        </w:rPr>
        <w:t>time to their other business activities, it could limit their ability to devote time to our affairs and could have a negative impact on our ability to consummate our initial business combination. In addition, we do not have employment agreements with, or key-man insurance on the life of, any of our officers. The unexpected loss of the services of our key personnel could have a detrimental effect on us.</w:t>
      </w:r>
    </w:p>
    <w:p>
      <w:pPr>
        <w:spacing w:after="0" w:line="16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role of our key personnel after our initial business combination, however, remains to be determined. Although some of our key personnel serve in senior management or advisory positions following our initial business combination, it is likely that most, if not all, of the management of the target business will remain in place. These individuals may be unfamiliar with the requirements of operating a public company which could cause us to have to expend time and resources helping them become familiar with such requirements. This could be expensive and time-consuming and could lead to various regulatory issues which may adversely affect our operations.</w:t>
      </w:r>
    </w:p>
    <w:p>
      <w:pPr>
        <w:spacing w:after="0" w:line="189"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Our officers and directors may not have significant experience or knowledge regarding the jurisdiction or industry of the target business we may seek to consummate our initial business combination with.</w:t>
      </w:r>
    </w:p>
    <w:p>
      <w:pPr>
        <w:spacing w:after="0" w:line="83"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We may consummate a business combination with a target business in any geographic location or industry we choose. Our officers and directors may not have enough experience or sufficient knowledge relating to the jurisdiction of the target or its industry to make an informed decision regarding our initial business combination.</w:t>
      </w:r>
    </w:p>
    <w:p>
      <w:pPr>
        <w:spacing w:after="0" w:line="147"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1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key personnel may be able to remain with the company after the completion of our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The personal and financial interests of such individuals may influence their motivation in identifying and selecting a target business.</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Our insiders, officers, directors and their affiliates may be owed reimbursement for out-of-pocket expenses which may cause them to have conflicts of interest in determining whether a particular business combination is most advantageous.</w:t>
      </w:r>
    </w:p>
    <w:p>
      <w:pPr>
        <w:spacing w:after="0" w:line="154"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Our insiders, officers, directors and their affiliates may incur out-of-pocket expenses in connection with certain activities on our behalf, such as identifying and investigating possible business targets and combinations. We have no policy that would prohibit these individuals and their affiliates from negotiating the reimbursement of such expenses by a target business. As a result, the personal and financial interests of such individuals may influence their motivation in identifying and selecting a target business.</w:t>
      </w:r>
    </w:p>
    <w:p>
      <w:pPr>
        <w:spacing w:after="0" w:line="17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Members of our management team may have affiliations with entities engaged in business activities similar to those intended to be conducted by us and accordingly, may have conflicts of interest in determining to which entity a particular business opportunity should be presented.</w:t>
      </w:r>
    </w:p>
    <w:p>
      <w:pPr>
        <w:spacing w:after="0" w:line="125"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Members of our management team may have affiliations with companies, including companies that are engaged in business activities similar to those intended to be conducted by us. Accordingly, they may participate in transactions and have obligations that may be in conflict or competition with our consummation of our initial business combination. As a result, a potential target business may be presented by our management team to another entity prior to its presentation to us and we may not be afforded the opportunity to engage in a transaction with such target business. For a more detailed description of the potential conflicts of interest of our management, see the section titled “Management — Conflicts of Interest.”</w:t>
      </w:r>
    </w:p>
    <w:p>
      <w:pPr>
        <w:spacing w:after="0" w:line="167"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our executive officers, directors or insiders, which may raise potential conflicts of interest.</w:t>
      </w:r>
    </w:p>
    <w:p>
      <w:pPr>
        <w:spacing w:after="0" w:line="14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In light of the involvement of our insiders, officers, directors and director nominees with other entities, we may decide to acquire one or more businesses affiliated with our insiders, officers, directors and director nominees. Our directors and director nominees also serve as officers and board members for other entities, including, without limitation, those described under “Management — Conflicts of Interest.” Our insiders, officers, directors and director nominees are not currently aware of any</w:t>
      </w:r>
    </w:p>
    <w:p>
      <w:pPr>
        <w:sectPr>
          <w:pgSz w:w="11900" w:h="16838" w:orient="portrait"/>
          <w:cols w:equalWidth="0" w:num="1">
            <w:col w:w="9019"/>
          </w:cols>
          <w:pgMar w:left="1440" w:top="301" w:right="1440"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1" w:name="page32"/>
    <w:bookmarkEnd w:id="31"/>
    <w:p>
      <w:pPr>
        <w:jc w:val="both"/>
        <w:ind w:left="460" w:right="459"/>
        <w:spacing w:after="0" w:line="268" w:lineRule="auto"/>
        <w:rPr>
          <w:sz w:val="20"/>
          <w:szCs w:val="20"/>
          <w:color w:val="auto"/>
        </w:rPr>
      </w:pPr>
      <w:r>
        <w:rPr>
          <w:rFonts w:ascii="Arial" w:cs="Arial" w:eastAsia="Arial" w:hAnsi="Arial"/>
          <w:sz w:val="17"/>
          <w:szCs w:val="17"/>
          <w:color w:val="auto"/>
        </w:rPr>
        <w:t>specific opportunities for us to complete our business combination with any entities with which they are affiliated, and there have been no preliminary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 Selection of a Target Business and Structuring of Our Initial Business Combination,” such transaction was approved by a majority of our disinterested and independent directors (if we have any at that time), and we obtain an opinion from an independent investment banking firm that the business combination is fair to our unaffiliated stockholders from a financial point of view. Despite our agreement to obtain an opinion from an independent investment banking firm regarding the fairness to our company from a financial point of view of a business combination with one or more domestic or international businesses affiliated with our officers, directors or insiders, potential conflicts of interest still may exist and, as a result, the terms of the business combination may not be as advantageous to our public stockholders as they would be absent any conflicts of interest.</w:t>
      </w:r>
    </w:p>
    <w:p>
      <w:pPr>
        <w:spacing w:after="0" w:line="18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The shares beneficially owned by our insiders, officers and directors will not participate in a redemption and, therefore, our insiders, officers and directors may have a conflict of interest in determining whether a particular target business is appropriate for our initial business combination.</w:t>
      </w:r>
    </w:p>
    <w:p>
      <w:pPr>
        <w:spacing w:after="0" w:line="13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insiders, officers and directors have waived their right to convert their insider shares and private shares in connection with a business combination and their redemption rights with respect to their insider shares and private shares if we are unable to consummate our initial business combination. Accordingly, these securities will be worthless if we do not consummate our initial business combination. Any warrants they hold, like those held by the public, will also be worthless if we do not consummate an initial business combination. 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7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are unable to consummate a business combination, any loans made by our insiders, officers, directors or their affiliates would not be repaid, resulting in a potential conflict of interest in determining whether a potential transaction is in our stockholders’ best interest.</w:t>
      </w:r>
    </w:p>
    <w:p>
      <w:pPr>
        <w:spacing w:after="0" w:line="141"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 order to meet our working capital needs following the consummation of this offering, our insiders, officers, directors or their affiliates may, but are not obligated to, loan us funds, from time to time or at any time, in whatever amount they deem reasonable in their sole discretion. The loans would be non-interest bearing and would be payable at the consummation of a business combination. If we fail to consummate a business combination within the required time period, the loans would not be repaid. Consequently, our directors and officers may have a conflict of interest in determining whether the terms, conditions and timing of a particular business combination are appropriate and in our stockholders’ best interest.</w:t>
      </w:r>
    </w:p>
    <w:p>
      <w:pPr>
        <w:spacing w:after="0" w:line="17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quotation on its exchange which could limit investors’ ability to make transactions in our securities and subject us to additional trading restrictions.</w:t>
      </w:r>
    </w:p>
    <w:p>
      <w:pPr>
        <w:spacing w:after="0" w:line="130"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anticipate that our securities will be listed on Nasdaq, a national securities exchange, upon consummation of this offering.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and our stockholders’ equity would generally be required to be at least $5.0 million. We cannot assure you that we will be able to meet those initial listing requirements at that time.</w:t>
      </w:r>
    </w:p>
    <w:p>
      <w:pPr>
        <w:spacing w:after="0" w:line="16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Nasdaq delists our securities from trading on its exchange, we could face significant material adverse consequences, including:</w:t>
      </w:r>
    </w:p>
    <w:p>
      <w:pPr>
        <w:spacing w:after="0" w:line="130" w:lineRule="exact"/>
        <w:rPr>
          <w:sz w:val="20"/>
          <w:szCs w:val="20"/>
          <w:color w:val="auto"/>
        </w:rPr>
      </w:pPr>
    </w:p>
    <w:p>
      <w:pPr>
        <w:ind w:left="1080" w:hanging="29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ectPr>
          <w:pgSz w:w="11900" w:h="16838" w:orient="portrait"/>
          <w:cols w:equalWidth="0" w:num="1">
            <w:col w:w="9019"/>
          </w:cols>
          <w:pgMar w:left="1440" w:top="301"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2" w:name="page33"/>
    <w:bookmarkEnd w:id="32"/>
    <w:p>
      <w:pPr>
        <w:ind w:left="1080" w:hanging="29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198" w:lineRule="exact"/>
        <w:rPr>
          <w:rFonts w:ascii="Arial" w:cs="Arial" w:eastAsia="Arial" w:hAnsi="Arial"/>
          <w:sz w:val="18"/>
          <w:szCs w:val="18"/>
          <w:color w:val="auto"/>
        </w:rPr>
      </w:pPr>
    </w:p>
    <w:p>
      <w:pPr>
        <w:jc w:val="both"/>
        <w:ind w:left="1120" w:right="459" w:hanging="333"/>
        <w:spacing w:after="0" w:line="264" w:lineRule="auto"/>
        <w:tabs>
          <w:tab w:leader="none" w:pos="11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determination that our shares are a “penny stock,” which will require brokers trading in our shares to adhere to more stringent rules, possibly resulting in a reduced level of trading activity in the secondary trading market for our shares;</w:t>
      </w:r>
    </w:p>
    <w:p>
      <w:pPr>
        <w:spacing w:after="0" w:line="140" w:lineRule="exact"/>
        <w:rPr>
          <w:rFonts w:ascii="Arial" w:cs="Arial" w:eastAsia="Arial" w:hAnsi="Arial"/>
          <w:sz w:val="18"/>
          <w:szCs w:val="18"/>
          <w:color w:val="auto"/>
        </w:rPr>
      </w:pPr>
    </w:p>
    <w:p>
      <w:pPr>
        <w:ind w:left="1080" w:hanging="29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which will cause us to be solely dependent on a single business which may have a limited number of products or services.</w:t>
      </w:r>
    </w:p>
    <w:p>
      <w:pPr>
        <w:spacing w:after="0" w:line="15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It is likely we will consummate our initial business combination with a single target business, although we have the ability to simultaneously consummate our initial business combination with several target businesses. By consummating a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37" w:lineRule="exact"/>
        <w:rPr>
          <w:sz w:val="20"/>
          <w:szCs w:val="20"/>
          <w:color w:val="auto"/>
        </w:rPr>
      </w:pPr>
    </w:p>
    <w:p>
      <w:pPr>
        <w:ind w:left="1080" w:hanging="293"/>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or</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2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4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This lack of diversification may subject us to numerous economic, competitive and regulatory developments, any or all of which may have a substantial adverse impact upon the particular industry in which we may operate subsequent to our initial business combination.</w:t>
      </w:r>
    </w:p>
    <w:p>
      <w:pPr>
        <w:spacing w:after="0" w:line="141"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Alternatively, if we determine to simultaneously consummate our initial business combination with several businesses and such businesses are owned by different sellers, we will need for each of such sellers to agree that our purchase of its business is contingent on the simultaneous closings of the other business combinations, which may make it more difficult for us, and delay our ability, to complete the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target companies in a single operating business. If we are unable to adequately address these risks, it could negatively impact our profitability and results of operations.</w:t>
      </w:r>
    </w:p>
    <w:p>
      <w:pPr>
        <w:spacing w:after="0" w:line="18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exercise their conversion rights may not allow us to effectuate the most desirable business combination or optimize our capital structure.</w:t>
      </w:r>
    </w:p>
    <w:p>
      <w:pPr>
        <w:spacing w:after="0" w:line="13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If our initial business combination requires us to use substantially all of our cash to pay the purchase price, because we will not know how many public stockholders may exercise conversion rights, we may either need to reserve part of the trust account for possible payment upon such conversion, or we may need to arrange third party financing to help fund our initial business combination. In the event that the business combination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7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We may be unable to consummate an initial business combination if a target business requires that we have a certain amount of cash at closing, in which case public stockholders may have to remain stockholders of our company and wait until our redemption of the public shares to receive a pro rata share of the trust account or attempt to sell their shares in the open market.</w:t>
      </w:r>
    </w:p>
    <w:p>
      <w:pPr>
        <w:spacing w:after="0" w:line="14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A potential target may make it a closing condition to our initial business combination that we have a certain amount of cash in excess of the $5,000,001 of net tangible assets we are required to have pursuant to our organizational documents available at the time of closing. If the number of our public stockholders electing to exercise their conversion rights has the effect of reducing the amount of money available to us to consummate an initial business combination below such minimum amount required by the target business and we are not able to locate an alternative source of funding, we will not be able to consummate such initial</w:t>
      </w:r>
    </w:p>
    <w:p>
      <w:pPr>
        <w:sectPr>
          <w:pgSz w:w="11900" w:h="16838" w:orient="portrait"/>
          <w:cols w:equalWidth="0" w:num="1">
            <w:col w:w="9019"/>
          </w:cols>
          <w:pgMar w:left="1440" w:top="301" w:right="1440" w:bottom="1440" w:gutter="0" w:footer="0" w:header="0"/>
        </w:sectPr>
      </w:pP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3" w:name="page34"/>
    <w:bookmarkEnd w:id="33"/>
    <w:p>
      <w:pPr>
        <w:jc w:val="both"/>
        <w:ind w:left="460" w:right="459"/>
        <w:spacing w:after="0" w:line="257" w:lineRule="auto"/>
        <w:rPr>
          <w:sz w:val="20"/>
          <w:szCs w:val="20"/>
          <w:color w:val="auto"/>
        </w:rPr>
      </w:pPr>
      <w:r>
        <w:rPr>
          <w:rFonts w:ascii="Arial" w:cs="Arial" w:eastAsia="Arial" w:hAnsi="Arial"/>
          <w:sz w:val="18"/>
          <w:szCs w:val="18"/>
          <w:color w:val="auto"/>
        </w:rPr>
        <w:t>business combination and we may not be able to locate another suitable target within the applicable time period, if at all. In that case, public stockholders may have to remain stockholders of our company and wait the full 21 months in order to be able to receive a portion of the trust account, or attempt to sell their shares in the open market prior to such time, in which case they may receive less than they would have in a liquidation of the trust account.</w:t>
      </w:r>
    </w:p>
    <w:p>
      <w:pPr>
        <w:spacing w:after="0" w:line="18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Public stockholders, together with any affiliates of theirs or any other person with whom they are acting in concert or as a “group,” will be restricted from seeking conversion rights with respect to more than 20% of the shares of common stock sold in this offering.</w:t>
      </w:r>
    </w:p>
    <w:p>
      <w:pPr>
        <w:spacing w:after="0" w:line="15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In connection with any meeting held to approve an initial business combination, we will offer each public stockholder (but not our insiders, officers or directors) the right to have his, her, or its shares of common stock converted into cash. Notwithstanding the foregoing, a public stockholder, together with any affiliate of his or hers, or any other person with whom he or she is acting in concert or as a “group” will be restricted from seeking conversion rights with respect to more than 20% of the shares of common stock sold in this offering. Generally, in this context, a stockholder will be deemed to be acting in concert or as a group with another stockholder when such stockholders agree to act together for the purpose of acquiring, voting, holding or disposing of our equity securities. Accordingly, if you purchase more than 20% of the shares of common stock sold in this offering and our proposed business combination is approved, you will not be able to seek conversion rights with respect to the full amount of your shares and may be forced to hold such additional shares of common stock or sell them in the open market. The value of such additional shares may not appreciate over time following our initial business combination, and the market price of our shares of common stock may not exceed the per-share conversion price.</w:t>
      </w:r>
    </w:p>
    <w:p>
      <w:pPr>
        <w:spacing w:after="0" w:line="18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We may require public stockholders who wish to convert their shares of common stock in connection with a vote of stockholders on a proposed business combination to comply with specific requirements for conversion that may make it more difficult for them to exercise their conversion rights prior to the deadline for exercising their rights.</w:t>
      </w:r>
    </w:p>
    <w:p>
      <w:pPr>
        <w:spacing w:after="0" w:line="14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In connection with any stockholder meeting called to approve a proposed initial business combination, each public stockholder will have the right, regardless of whether he or she is voting for or against such proposed business combination, to demand that we convert his or her shares of common stock into a share of the trust account. We may require public stockholders seeking to convert their shares in connection with a stockholder vote on a proposed business combination, whether they are a record holder or hold their shares in “street name,” to either tender their certificates to our transfer agent or to deliver their shares to the transfer agent electronically using Depository Trust Company’s DWAC (Deposit/Withdrawal At Custodian) System, at the holder’s option, at least two business days on the initial business combination (a tender of shares is always required in connection with a tender offer).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this may not be the case. Under Delaware law and our bylaws, we are required to provide at least 10 days advance notice of any stockholder meeting, which would be the minimum amount of time a public stockholder would have to determine whether to exercise conversion rights. Accordingly, if it takes longer than we anticipate for stockholders to deliver their shares, stockholders who wish to convert may be unable to meet the deadline for exercising their conversion rights and thus may be unable to convert their shares.</w:t>
      </w:r>
    </w:p>
    <w:p>
      <w:pPr>
        <w:spacing w:after="0" w:line="190" w:lineRule="exact"/>
        <w:rPr>
          <w:sz w:val="20"/>
          <w:szCs w:val="20"/>
          <w:color w:val="auto"/>
        </w:rPr>
      </w:pPr>
    </w:p>
    <w:p>
      <w:pPr>
        <w:jc w:val="both"/>
        <w:ind w:left="460" w:right="459"/>
        <w:spacing w:after="0" w:line="340" w:lineRule="auto"/>
        <w:rPr>
          <w:sz w:val="20"/>
          <w:szCs w:val="20"/>
          <w:color w:val="auto"/>
        </w:rPr>
      </w:pPr>
      <w:r>
        <w:rPr>
          <w:rFonts w:ascii="Arial" w:cs="Arial" w:eastAsia="Arial" w:hAnsi="Arial"/>
          <w:sz w:val="15"/>
          <w:szCs w:val="15"/>
          <w:b w:val="1"/>
          <w:bCs w:val="1"/>
          <w:i w:val="1"/>
          <w:iCs w:val="1"/>
          <w:color w:val="auto"/>
        </w:rPr>
        <w:t>If we require public stockholders who wish to convert their shares of common stock to comply with the delivery requirements discussed above for conversion, such converting stockholders may be unable to sell their securities when they wish to in the event that the proposed business combination is not approved.</w:t>
      </w:r>
    </w:p>
    <w:p>
      <w:pPr>
        <w:spacing w:after="0" w:line="91"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If we require public stockholders who wish to convert their shares of common stock to comply with the delivery requirements discussed above for conversion and such proposed business combination is not consummated, we will promptly return such certificates to the tendering public stockholders. Accordingly, investors who attempted to convert their shares in such a circumstance will be unable to sell their securities after the failed business combination until we have returned their securities to them. The market price for our shares of common stock may decline during this time and you may not be able to sell your securities when you wish to, even while other stockholders that did not seek conversion may be able to sell their securities.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34" w:name="page35"/>
    <w:bookmarkEnd w:id="34"/>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Because of our structure, other companies may have a competitive advantage and we may not be able to consummate an attractive business combination.</w:t>
      </w:r>
    </w:p>
    <w:p>
      <w:pPr>
        <w:spacing w:after="0" w:line="13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consummating our initial business combination with certain sizable target businesses may be limited by our available financial resources. This inherent competitive limitation gives others an advantage in pursuing a business combination with certain target businesses. Furthermore, seeking stockholder approval of our initial business combination may delay the consummation of a transaction. Additionally, our warrants, and the future dilution they represent (entitling the holders to receive shares of our common stock on exercise of the warrants), may not be viewed favorably by certain target businesses. Any of the foregoing may place us at a competitive disadvantage in successfully negotiating our initial business combination.</w:t>
      </w:r>
    </w:p>
    <w:p>
      <w:pPr>
        <w:spacing w:after="0" w:line="17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ability to consummate an attractive business combination may be impacted by the market for initial public offerings.</w:t>
      </w:r>
    </w:p>
    <w:p>
      <w:pPr>
        <w:spacing w:after="0" w:line="143"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efforts to identify a prospective target business will not be limited to any particular industry or geographic region, although it is very likely that our target will be a company or companies operating in or providing services to the technology, media and telecommunications industries and will want to be a public reporting company. If the market for initial public offerings is limited, we believe there will be a greater number of attractive target businesses open to consummating an initial business combination with us as a means to achieve publicly held status. Alternatively, if the market for initial public offerings is robust, we believe that there will be fewer attractive target businesses amenable to consummating an initial business combination with us to become a public reporting company. Accordingly, during periods with strong public offering markets, it may be more difficult for us to complete an initial business combination.</w:t>
      </w:r>
    </w:p>
    <w:p>
      <w:pPr>
        <w:spacing w:after="0" w:line="18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be unable to obtain additional financing, if required, to complete our initial business combination or to fund the operations and growth of the target business, which could compel us to restructure or abandon a particular business combination.</w:t>
      </w:r>
    </w:p>
    <w:p>
      <w:pPr>
        <w:spacing w:after="0" w:line="14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Although we believe that the net proceeds of this offering will be sufficient to allow us to consummate a business combination, because we have not yet identified any prospective target business, the capital requirements for any particular transaction remain to be determined. If the net proceeds of this offering prove to be insufficient, either because of the size of the business combination, the depletion of the available net proceeds in search of a target business, or the obligation to convert into cash a significant number of shares of common stock, we will be required to seek additional financing. Such financing may not be available on acceptable terms, if at all. To the extent that additional financing proves to be unavailable when needed to consummate a particular business combination, we would be compelled to either restructure the transaction or abandon that particular business combination and seek an alternative target business candidate. In addition, if we consummate a business combination, we may require additional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7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insiders, officers and directors, will control a substantial interest in us and thus may influence certain actions requiring a stockholder vote.</w:t>
      </w:r>
    </w:p>
    <w:p>
      <w:pPr>
        <w:spacing w:after="0" w:line="13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Upon consummation of our offering and sale of the private units, our insiders, officers and directors, will collectively beneficially own approximately 24.8% of our issued and outstanding shares of common stock (assuming they do not purchase any units in this offering and assuming the over-allotment option has not been exercised and an aggregate of 187,500 insider shares have been forfeited as a result thereof). None of our insiders, officers, directors, director nominees or their affiliates has committed to purchase units in this offering or any units or shares from persons in the open market or in private transactions. In addition, our insiders, officers, directors or their affiliates could determine in the future to make such purchases in the open market or in private transactions, to the extent permitted by law, in order to influence the vote. In connection with any vote for a proposed business combination, our insiders, officers and directors have agreed to vote the shares of common stock owned by them immediately before this offering as well as the private shares and any shares of common stock acquired in this offering or in the aftermarket in favor of such proposed business combination, and therefore will have a significant influence on the vote.</w:t>
      </w:r>
    </w:p>
    <w:p>
      <w:pPr>
        <w:sectPr>
          <w:pgSz w:w="11900" w:h="16838" w:orient="portrait"/>
          <w:cols w:equalWidth="0" w:num="1">
            <w:col w:w="9019"/>
          </w:cols>
          <w:pgMar w:left="1440" w:top="341" w:right="1440"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5" w:name="page36"/>
    <w:bookmarkEnd w:id="35"/>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board of directors is divided into three classes and, therefore, our insiders will continue to exert control over us until the closing of a business combination.</w:t>
      </w:r>
    </w:p>
    <w:p>
      <w:pPr>
        <w:spacing w:after="0" w:line="130"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board of directors is and will be divided into three classes, each of which will generally serve for a term of three years with only one class of directors being elected in each year. It is unlikely that there will be an annual meeting of stockholders to elect new directors prior to the consummation of our initial business combination, in which case all of the current directors will continue in office until at least the consummation of the business combination. Accordingly, you may not be able to exercise your voting rights under corporate law for up to 21 months. If there is an annual meeting, as a consequence of our “staggered” board of directors, fewer than half of the board of directors will be considered for election and our insiders, because of their ownership position, will have considerable influence regarding the outcome. Accordingly, our insiders will continue to exert control at least until the consummation of our initial business combination.</w:t>
      </w:r>
    </w:p>
    <w:p>
      <w:pPr>
        <w:spacing w:after="0" w:line="18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may not hold an annual meeting of stockholders until after the consummation of our initial business combination.</w:t>
      </w:r>
    </w:p>
    <w:p>
      <w:pPr>
        <w:spacing w:after="0" w:line="143"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In accordance with Nasdaq corporate governance requirements, we are not required to hold an annual meeting until one year after our first fiscal year end following our listing on Nasdaq. Under Section 211(b) of the Delaware General Corporation Law, we are, however, required to hold an annual meeting of stockholders for the purposes of electing directors in accordance with our bylaws unless such election is made by written consent in lieu of such a meeting. It is unlikely that there will be an annual meeting of stockholders to elect new directors prior to the consummation of our initial business combination, and thus we may not be in compliance with Section 211(b) of the Delaware General Corporation Law,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Delaware General Corporation Law.</w:t>
      </w:r>
    </w:p>
    <w:p>
      <w:pPr>
        <w:spacing w:after="0" w:line="169"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b w:val="1"/>
          <w:bCs w:val="1"/>
          <w:i w:val="1"/>
          <w:iCs w:val="1"/>
          <w:color w:val="auto"/>
        </w:rPr>
        <w:t>Our insiders paid an aggregate of $25,000, or approximately $0.02 per share, for the insider shares and our insiders (and/or their designees) will pay $10.00 per unit for the private units, for an average price of approximately $1.68 per share (assuming the over-allotment option has not been exercised and an aggregate of 187,500 insider shares have been forfeited as a result thereof), and, accordingly, you will experience immediate and substantial dilution from the purchase of our shares of common stock.</w:t>
      </w:r>
    </w:p>
    <w:p>
      <w:pPr>
        <w:spacing w:after="0" w:line="11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difference between the public offering price per share and the pro forma net tangible book value per share of common stock after this offering constitutes the dilution to the investors in this offering. Our insiders acquired the insider shares and our insiders (and/or their designees) will acquire the private shares for $10.00 per share, significantly contributing to this dilution. Upon consummation of this offering, you and the other new investors will incur an immediate and substantial dilution of approximately 77.1% or $7.71 per share (the difference between the pro forma net tangible book value per share of $2.29, and the initial offering price of $10.00 per share), taking into account that the net tangible book value per share prior to this offering was ($0.15). This is because investors in this offering will be contributing approximately 92.5% of the total amount paid to us for our outstanding shares of common stock after this offering but will only own 75.2% of our outstanding shares of common stock. Accordingly, the per-share purchase price you will be paying substantially exceeds our per share net tangible book value.</w:t>
      </w:r>
    </w:p>
    <w:p>
      <w:pPr>
        <w:spacing w:after="0" w:line="18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our insiders exercise their registration rights, it may have an adverse effect on the market price of our shares of common stock and the existence of these rights may make it more difficult to effect our initial business combination.</w:t>
      </w:r>
    </w:p>
    <w:p>
      <w:pPr>
        <w:spacing w:after="0" w:line="141"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insiders are entitled to make a demand that we register the resale of the insider shares at any time commencing three months prior to the date on which their shares may be released from escrow. Additionally, the purchasers of the private units and our insiders, officers, directors or their affiliates are entitled to demand that we register the resale of the private units (and underlying securities of each) and any units our insiders, officers, directors or their affiliates may be issued in payment of working capital loans made to us commencing on the date that we consummate our initial business combination. The presence of these additional shares of common stock trading in the public market may have an adverse effect on the market price of our securities. In addition, the existence of these rights may make it more difficult to effectuate our initial business combination or increase the cost of consummating our initial business combination with the target business, as the stockholders of the target business may be discouraged from entering into a business combination with us or will request a higher price for their securities because of the potential effect the exercise of such rights may have on the trading market for our shares of common stock.</w:t>
      </w:r>
    </w:p>
    <w:p>
      <w:pPr>
        <w:sectPr>
          <w:pgSz w:w="11900" w:h="16838" w:orient="portrait"/>
          <w:cols w:equalWidth="0" w:num="1">
            <w:col w:w="9019"/>
          </w:cols>
          <w:pgMar w:left="1440" w:top="341" w:right="1440"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6" w:name="page37"/>
    <w:bookmarkEnd w:id="36"/>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enter into agreements with consultants or financial advisers that provide for the payment of fees upon the consummation of our initial business combination, and, therefore, such consultants or financial advisers may have conflicts of interest.</w:t>
      </w:r>
    </w:p>
    <w:p>
      <w:pPr>
        <w:spacing w:after="0" w:line="141"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may enter into agreements with consultants or financial advisers that provide for the payment of fees upon the consummation of our initial business combination. If we pay consultants or financial advisers fees that are tied to the consummation of our initial business combination, they may have conflicts of interest when providing services to us, and their interests in such fees may influence their advice with respect to a potential business combination. For example, if a consultant’s or financial advisor’s fee is based on the size of the transaction, then they may be influenced to present us larger transactions that may have lower growth opportunities or long-term value versus smaller transactions that may have greater growth opportunities or provide greater value to our stockholders. Similarly, consultants whose fees are based on consummation of a business combination may be influenced to present potential business combinations to us regardless of whether they provide longer-term value for our stockholders. While we will endeavor to structure agreements with consultants and financial advisors to minimize the possibility and extent of these conflicts of interest, we cannot assure you that we will be able to do so and that we will not be impacted by the adverse influences they create.</w:t>
      </w:r>
    </w:p>
    <w:p>
      <w:pPr>
        <w:spacing w:after="0" w:line="16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are deemed to be an investment company, we may be required to institute burdensome compliance requirements and our activities may be restricted, which may make it difficult for us to complete our initial business combination.</w:t>
      </w:r>
    </w:p>
    <w:p>
      <w:pPr>
        <w:spacing w:after="0" w:line="15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30" w:lineRule="exact"/>
        <w:rPr>
          <w:sz w:val="20"/>
          <w:szCs w:val="20"/>
          <w:color w:val="auto"/>
        </w:rPr>
      </w:pPr>
    </w:p>
    <w:p>
      <w:pPr>
        <w:ind w:left="1080" w:hanging="29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which may make it difficult for us to complete our business combination.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may have imposed upon us certain burdensome requirements, including:</w:t>
      </w:r>
    </w:p>
    <w:p>
      <w:pPr>
        <w:spacing w:after="0" w:line="185" w:lineRule="exact"/>
        <w:rPr>
          <w:sz w:val="20"/>
          <w:szCs w:val="20"/>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reporting, record keeping, voting, proxy and disclosure requirements and other rules and regulations.</w:t>
      </w:r>
    </w:p>
    <w:p>
      <w:pPr>
        <w:spacing w:after="0" w:line="20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52"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earlier to occur of either: (i) the completion of our primary business objective, which is a business combination; or (ii) absent a business combination,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w:t>
      </w:r>
    </w:p>
    <w:p>
      <w:pPr>
        <w:sectPr>
          <w:pgSz w:w="11900" w:h="16838" w:orient="portrait"/>
          <w:cols w:equalWidth="0" w:num="1">
            <w:col w:w="9019"/>
          </w:cols>
          <w:pgMar w:left="1440" w:top="341" w:right="1440"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7" w:name="page38"/>
    <w:bookmarkEnd w:id="37"/>
    <w:p>
      <w:pPr>
        <w:jc w:val="both"/>
        <w:ind w:left="460" w:right="459"/>
        <w:spacing w:after="0" w:line="286" w:lineRule="auto"/>
        <w:rPr>
          <w:sz w:val="20"/>
          <w:szCs w:val="20"/>
          <w:color w:val="auto"/>
        </w:rPr>
      </w:pPr>
      <w:r>
        <w:rPr>
          <w:rFonts w:ascii="Arial" w:cs="Arial" w:eastAsia="Arial" w:hAnsi="Arial"/>
          <w:sz w:val="17"/>
          <w:szCs w:val="17"/>
          <w:color w:val="auto"/>
        </w:rPr>
        <w:t>have not allotted funds and may hinder our ability to complete a business combination. If we are unable to complete our initial business combination, our public stockholders may receive only approximately $10.30 per share on the liquidation of our trust account and our public warrants will expire worthless.</w:t>
      </w:r>
    </w:p>
    <w:p>
      <w:pPr>
        <w:spacing w:after="0" w:line="166"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4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common stock and warrants underlying the units, include:</w:t>
      </w:r>
    </w:p>
    <w:p>
      <w:pPr>
        <w:spacing w:after="0" w:line="149" w:lineRule="exact"/>
        <w:rPr>
          <w:sz w:val="20"/>
          <w:szCs w:val="20"/>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history of other similarly structured blank check companies;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0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prospects for consummating an initial business combination with an operating business at attractive values;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securities exchange listing requirements;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demand;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liquidity of our securities;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 and</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we have no historical operations or financial results to compare them to.</w:t>
      </w:r>
    </w:p>
    <w:p>
      <w:pPr>
        <w:spacing w:after="0" w:line="18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18 or 21 months from the closing of this offering may give potential target businesses leverage over us in negotiating our initial business combination.</w:t>
      </w:r>
    </w:p>
    <w:p>
      <w:pPr>
        <w:spacing w:after="0" w:line="141"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We have 18 months from the closing of this offering (or 21 months from the closing of this offering if we have executed a letter of intent or definitive agreement for an initial business combination within 18 months from the closing of this offering but have not completed the business combination within such 18-month period) to complete our initial business combination. Any potential target business with which we enter into negotiations concerning a business combination will be aware of this requirement. Consequently, such target business may obtain leverage over us in negotiating a business combination, knowing that if we do not complete a business combination with that particular target business, we may be unable to complete a business combination with any other target business. This risk will increase as we get closer to the time limit referenced above.</w:t>
      </w:r>
    </w:p>
    <w:p>
      <w:pPr>
        <w:spacing w:after="0" w:line="166"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not obtain a fairness opinion with respect to the target business that we seek to consummate our initial business combination with and therefore you may be relying solely on the judgment of our board of directors in approving a proposed business combination.</w:t>
      </w:r>
    </w:p>
    <w:p>
      <w:pPr>
        <w:spacing w:after="0" w:line="15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will only be required to obtain a fairness opinion with respect to the target business that we seek to consummate our initial business combination with if it is an entity that is affiliated with any of our insiders, officers or directors. In all other instances, we will have no obligation to obtain an opinion. If no opinion is obtained, our stockholders will be relying on the judgment of our board of directors, who will determine fair market value based on standards generally accepted by the financial community.</w:t>
      </w:r>
    </w:p>
    <w:p>
      <w:pPr>
        <w:sectPr>
          <w:pgSz w:w="11900" w:h="16838" w:orient="portrait"/>
          <w:cols w:equalWidth="0" w:num="1">
            <w:col w:w="9019"/>
          </w:cols>
          <w:pgMar w:left="1440" w:top="301" w:right="1440"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8" w:name="page39"/>
    <w:bookmarkEnd w:id="38"/>
    <w:p>
      <w:pPr>
        <w:jc w:val="both"/>
        <w:ind w:left="460" w:right="459"/>
        <w:spacing w:after="0" w:line="277" w:lineRule="auto"/>
        <w:rPr>
          <w:sz w:val="20"/>
          <w:szCs w:val="20"/>
          <w:color w:val="auto"/>
        </w:rPr>
      </w:pPr>
      <w:r>
        <w:rPr>
          <w:rFonts w:ascii="Arial" w:cs="Arial" w:eastAsia="Arial" w:hAnsi="Arial"/>
          <w:sz w:val="18"/>
          <w:szCs w:val="18"/>
          <w:color w:val="auto"/>
        </w:rPr>
        <w:t>Such standards used will be disclosed in our tender offer documents or proxy solicitation materials, as applicable, related to our initial business combination</w:t>
      </w:r>
    </w:p>
    <w:p>
      <w:pPr>
        <w:spacing w:after="0" w:line="170"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$10.30 per share on the liquidation of our trust account and our public warrants will expire worthless.</w:t>
      </w:r>
    </w:p>
    <w:p>
      <w:pPr>
        <w:spacing w:after="0" w:line="161"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$10.30 per share on the liquidation of our trust account and our public warrants will expire worthless.</w:t>
      </w:r>
    </w:p>
    <w:p>
      <w:pPr>
        <w:spacing w:after="0" w:line="169"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Compliance with the Sarbanes-Oxley Act of 2002 will require substantial financial and management resources and may increase the time and costs of completing an initial business combination.</w:t>
      </w:r>
    </w:p>
    <w:p>
      <w:pPr>
        <w:spacing w:after="0" w:line="10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Section 404 of the Sarbanes-Oxley Act of 2002, or the Sarbanes-Oxley Act, requires that we evaluate and report on our system of internal control and may require that we have such system of internal control audited. If we fail to maintain the adequacy of our internal control, we could be subject to regulatory scrutiny, civil or criminal penalties and/or stockholder litigation. Any inability to provide reliable financial reports could harm our business. Section 404 of the Sarbanes-Oxley Act also requires that our independent registered public accounting firm report on management’s evaluation of our system of internal control, although as an “emerging growth company” as defined in the JOBS Act, we may take advantage of an exemption to this requirement. A target company may not be in compliance with the provisions of the Sarbanes-Oxley Act regarding adequacy of their internal control. The development of the internal control of any such entity to achieve compliance with the Sarbanes-Oxley Act may increase the time and costs necessary to complete any such initial business combination.</w:t>
      </w:r>
    </w:p>
    <w:p>
      <w:pPr>
        <w:spacing w:after="0" w:line="18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4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JOBS Act permits “emerging growth companies” like us to take advantage of certain exemptions from various reporting requirements applicable to other public companies that are not emerging growth companies. As long as we qualify as an emerging growth company, we would be permitted, and we intend to, omit the auditor’s attestation on internal control over financial reporting that would otherwise be required by the Sarbanes-Oxley Act, as described above. We also intend to take advantage of the exemption provided under the JOBS Act from the requirements to submit say-on-pay, say-on-frequency and say-on-golden parachute votes to our stockholders and we will avail ourselves of reduced executive compensation disclosure that is already available to smaller reporting companies.</w:t>
      </w:r>
    </w:p>
    <w:p>
      <w:pPr>
        <w:spacing w:after="0" w:line="15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We have elected to take advantage of these benefits until we are no longer an emerging growth company or until we affirmatively and irrevocably opt out of this exemption. Our financial statements may therefore not be comparable to those of companies that comply with such new or revised accounting standards.</w:t>
      </w:r>
    </w:p>
    <w:p>
      <w:pPr>
        <w:spacing w:after="0" w:line="127"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Following this offering, we will continue to be an emerging growth company until the earliest to occur of (i) the last day of the fiscal year during which we had total annual gross revenues of at least $1 billion (as indexed for inflation), (ii) the last day of the fiscal year following the fifth anniversary of the date of the first sale of units under this registration statement, (iii) the date on which we have, during the previous three-year period, issued more than $1 billion in non-convertible debt, or (iv) the date on which we are deemed to be a “large accelerated filer,” as defined under the Exchange Act.</w:t>
      </w:r>
    </w:p>
    <w:p>
      <w:pPr>
        <w:sectPr>
          <w:pgSz w:w="11900" w:h="16838" w:orient="portrait"/>
          <w:cols w:equalWidth="0" w:num="1">
            <w:col w:w="9019"/>
          </w:cols>
          <w:pgMar w:left="1440" w:top="301" w:right="1440" w:bottom="1440" w:gutter="0" w:footer="0" w:header="0"/>
        </w:sectPr>
      </w:pP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9" w:name="page40"/>
    <w:bookmarkEnd w:id="39"/>
    <w:p>
      <w:pPr>
        <w:jc w:val="both"/>
        <w:ind w:left="460" w:right="459"/>
        <w:spacing w:after="0" w:line="259" w:lineRule="auto"/>
        <w:rPr>
          <w:sz w:val="20"/>
          <w:szCs w:val="20"/>
          <w:color w:val="auto"/>
        </w:rPr>
      </w:pPr>
      <w:r>
        <w:rPr>
          <w:rFonts w:ascii="Arial" w:cs="Arial" w:eastAsia="Arial" w:hAnsi="Arial"/>
          <w:sz w:val="18"/>
          <w:szCs w:val="18"/>
          <w:color w:val="auto"/>
        </w:rPr>
        <w:t>Until such time that we lose “emerging growth company” status, it is unclear if investors will find our securities less attractive because we may rely on these exemptions. If some investors find our securities less attractive as a result, there may be a less active trading market for our securities and our stock prices may be more volatile and could cause our stock prices to decline.</w:t>
      </w:r>
    </w:p>
    <w:p>
      <w:pPr>
        <w:spacing w:after="0" w:line="187"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If we effect our initial business combination with a company located outside of the United States, we would be subject to a variety of additional risks that may negatively impact our operations.</w:t>
      </w:r>
    </w:p>
    <w:p>
      <w:pPr>
        <w:spacing w:after="0" w:line="12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We may effect our initial business combination with a company located outside of the United States. If we did, we would be subject to any special considerations or risks associated with companies operating in the target business’ home jurisdiction, including any of the following:</w:t>
      </w:r>
    </w:p>
    <w:p>
      <w:pPr>
        <w:spacing w:after="0" w:line="141" w:lineRule="exact"/>
        <w:rPr>
          <w:sz w:val="20"/>
          <w:szCs w:val="20"/>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rules and regulations or currency conversion or corporate withholding taxes on individuals;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tax issues, such as tax law changes and variations in tax laws as compared to the United States;</w:t>
      </w:r>
    </w:p>
    <w:p>
      <w:pPr>
        <w:spacing w:after="0" w:line="209" w:lineRule="exact"/>
        <w:rPr>
          <w:rFonts w:ascii="Arial" w:cs="Arial" w:eastAsia="Arial" w:hAnsi="Arial"/>
          <w:sz w:val="17"/>
          <w:szCs w:val="17"/>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9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We may not be able to adequately address these additional risks. If we are unable to do so, our operations may suffer.</w:t>
      </w:r>
    </w:p>
    <w:p>
      <w:pPr>
        <w:spacing w:after="0" w:line="17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effect our initial business combination with a target business located outside of the United States, the laws applicable to such target business will likely govern all of our material agreements and we may not be able to enforce our legal rights.</w:t>
      </w:r>
    </w:p>
    <w:p>
      <w:pPr>
        <w:spacing w:after="0" w:line="14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we effect our initial business combination with a target business located outside of the United States, the laws of the country in which such target business is domiciled will govern almost all of the material agreements relating to its operations. The target business may not be able to enforce any of its material agreements in such jurisdiction and appropriate remedies to enforce its rights under such material agreements may not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consummate our initial business combination with a company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17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may inhibit a takeover of us, which could limit the price investors might be willing to pay in the future for our common stock and could entrench management.</w:t>
      </w:r>
    </w:p>
    <w:p>
      <w:pPr>
        <w:spacing w:after="0" w:line="141"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Our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ectPr>
          <w:pgSz w:w="11900" w:h="16838" w:orient="portrait"/>
          <w:cols w:equalWidth="0" w:num="1">
            <w:col w:w="9019"/>
          </w:cols>
          <w:pgMar w:left="1440" w:top="301" w:right="1440"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40" w:name="page41"/>
    <w:bookmarkEnd w:id="40"/>
    <w:p>
      <w:pPr>
        <w:jc w:val="both"/>
        <w:ind w:left="460" w:right="459"/>
        <w:spacing w:after="0" w:line="312" w:lineRule="auto"/>
        <w:rPr>
          <w:sz w:val="20"/>
          <w:szCs w:val="20"/>
          <w:color w:val="auto"/>
        </w:rPr>
      </w:pPr>
      <w:r>
        <w:rPr>
          <w:rFonts w:ascii="Arial" w:cs="Arial" w:eastAsia="Arial" w:hAnsi="Arial"/>
          <w:sz w:val="16"/>
          <w:szCs w:val="16"/>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4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prepared in accordance with U.S. generally accepted accounting principles or international financial reporting standards, we may lose the ability to complete an otherwise advantageous initial business combination with some prospective target businesses.</w:t>
      </w:r>
    </w:p>
    <w:p>
      <w:pPr>
        <w:spacing w:after="0" w:line="16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federal proxy rules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as issued by the International Accounting Standards Board or the IASB, depending on the circumstances and the historical financial statements may be required to be audited in accordance with the standards of the Public Company Accounting Oversight Board (United States), or PCAOB. We will include the same financial statement disclosure in connection with any tender offer documents we use, whether or not they are required under the tender offer rules. These financial statement requirements may limit the pool of potential target businesses we may consummate our initial business combination with because some targets may be unable to provide such statements in time for us to disclose such statements in accordance with federal proxy rules and complete our initial business combination within the prescribed time frame.</w:t>
      </w:r>
    </w:p>
    <w:p>
      <w:pPr>
        <w:spacing w:after="0" w:line="16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30"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5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3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Investors may not appropriately allocate a tax basis to the components of the unit.</w:t>
      </w:r>
    </w:p>
    <w:p>
      <w:pPr>
        <w:spacing w:after="0" w:line="19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Because investors in this offering will be investing in units comprised of one share of common stock and one warrant, investors will need to allocate a tax basis to each item in proportion to their values at the time of the investment. We are not required to provide any guidance as to the proper allocation of tax basis. Failure to properly allocate a tax basis could result in adverse tax consequences to an investor.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statements contained in this prospectus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 our:</w:t>
      </w:r>
    </w:p>
    <w:p>
      <w:pPr>
        <w:spacing w:after="0" w:line="155" w:lineRule="exact"/>
        <w:rPr>
          <w:sz w:val="20"/>
          <w:szCs w:val="20"/>
          <w:color w:val="auto"/>
        </w:rPr>
      </w:pPr>
    </w:p>
    <w:p>
      <w:pPr>
        <w:ind w:left="1080" w:hanging="29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complete our initial business combination;</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227"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 in retaining or recruiting, or changes required in, our officers, key employees or directors following our initial business combination;</w:t>
      </w:r>
    </w:p>
    <w:p>
      <w:pPr>
        <w:spacing w:after="0" w:line="129" w:lineRule="exact"/>
        <w:rPr>
          <w:rFonts w:ascii="Arial" w:cs="Arial" w:eastAsia="Arial" w:hAnsi="Arial"/>
          <w:sz w:val="18"/>
          <w:szCs w:val="18"/>
          <w:color w:val="auto"/>
        </w:rPr>
      </w:pPr>
    </w:p>
    <w:p>
      <w:pPr>
        <w:jc w:val="both"/>
        <w:ind w:left="1120" w:right="459" w:hanging="333"/>
        <w:spacing w:after="0" w:line="264" w:lineRule="auto"/>
        <w:tabs>
          <w:tab w:leader="none" w:pos="12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54" w:lineRule="exact"/>
        <w:rPr>
          <w:rFonts w:ascii="Arial" w:cs="Arial" w:eastAsia="Arial" w:hAnsi="Arial"/>
          <w:sz w:val="18"/>
          <w:szCs w:val="18"/>
          <w:color w:val="auto"/>
        </w:rPr>
      </w:pPr>
    </w:p>
    <w:p>
      <w:pPr>
        <w:ind w:left="1080" w:hanging="29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ability to obtain additional financing to complete our initial business combination;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pool of prospective target businesses;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of our officers and directors to generate a number of potential investment opportunities;</w:t>
      </w:r>
    </w:p>
    <w:p>
      <w:pPr>
        <w:spacing w:after="0" w:line="209" w:lineRule="exact"/>
        <w:rPr>
          <w:rFonts w:ascii="Arial" w:cs="Arial" w:eastAsia="Arial" w:hAnsi="Arial"/>
          <w:sz w:val="17"/>
          <w:szCs w:val="17"/>
          <w:color w:val="auto"/>
        </w:rPr>
      </w:pPr>
    </w:p>
    <w:p>
      <w:pPr>
        <w:ind w:left="1080" w:hanging="29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change in control if we acquire one or more target businesses for stock;</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0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of proceeds not held in the trust account or available to us from interest income on the trust account balance; or</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performance following this offering.</w:t>
      </w:r>
    </w:p>
    <w:p>
      <w:pPr>
        <w:spacing w:after="0" w:line="185"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89"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We estimate that the net proceeds of this offering, in addition to the funds we will receive from the sale of the private units, will be used as set forth in the following table: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Without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5"/>
              </w:rPr>
              <w:t>Over-</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Over-</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Allotment</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Allotment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6"/>
              </w:rPr>
              <w:t>Option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89"/>
              </w:rPr>
              <w:t>Exercised</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Gross proceeds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From offering</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50,000,000</w:t>
            </w:r>
          </w:p>
        </w:tc>
        <w:tc>
          <w:tcPr>
            <w:tcW w:w="14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57,500,000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From sale of private units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4,025,000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4,475,000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5620" w:type="dxa"/>
            <w:vAlign w:val="bottom"/>
            <w:vMerge w:val="restart"/>
          </w:tcPr>
          <w:p>
            <w:pPr>
              <w:spacing w:after="0"/>
              <w:rPr>
                <w:sz w:val="20"/>
                <w:szCs w:val="20"/>
                <w:color w:val="auto"/>
              </w:rPr>
            </w:pPr>
            <w:r>
              <w:rPr>
                <w:rFonts w:ascii="Arial" w:cs="Arial" w:eastAsia="Arial" w:hAnsi="Arial"/>
                <w:sz w:val="18"/>
                <w:szCs w:val="18"/>
                <w:color w:val="auto"/>
              </w:rPr>
              <w:t>Total gross proceeds</w:t>
            </w: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54,025,000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61,975,000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620" w:type="dxa"/>
            <w:vAlign w:val="bottom"/>
            <w:vMerge w:val="restart"/>
          </w:tcPr>
          <w:p>
            <w:pPr>
              <w:spacing w:after="0"/>
              <w:rPr>
                <w:sz w:val="20"/>
                <w:szCs w:val="20"/>
                <w:color w:val="auto"/>
              </w:rPr>
            </w:pPr>
            <w:r>
              <w:rPr>
                <w:rFonts w:ascii="Arial" w:cs="Arial" w:eastAsia="Arial" w:hAnsi="Arial"/>
                <w:sz w:val="18"/>
                <w:szCs w:val="18"/>
                <w:color w:val="auto"/>
              </w:rPr>
              <w:t>Offering expenses</w:t>
            </w:r>
            <w:r>
              <w:rPr>
                <w:rFonts w:ascii="Arial" w:cs="Arial" w:eastAsia="Arial" w:hAnsi="Arial"/>
                <w:sz w:val="21"/>
                <w:szCs w:val="21"/>
                <w:color w:val="auto"/>
                <w:vertAlign w:val="superscript"/>
              </w:rPr>
              <w:t>(1)</w:t>
            </w: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Non-contingent underwriting discount (3.0% of gross proceeds from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offering)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1,500,000</w:t>
            </w:r>
            <w:r>
              <w:rPr>
                <w:rFonts w:ascii="Arial" w:cs="Arial" w:eastAsia="Arial" w:hAnsi="Arial"/>
                <w:sz w:val="10"/>
                <w:szCs w:val="10"/>
                <w:color w:val="auto"/>
              </w:rPr>
              <w:t>(2)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1,725,000</w:t>
            </w: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Deferred underwriting discount (2.0% of gross proceeds from offering)</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Nasdaq listing fee</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53,500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53,500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SEC/FINRA Expenses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35,222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35,222</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Miscellaneous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36,278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36,278</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5620" w:type="dxa"/>
            <w:vAlign w:val="bottom"/>
            <w:vMerge w:val="restart"/>
          </w:tcPr>
          <w:p>
            <w:pPr>
              <w:spacing w:after="0"/>
              <w:rPr>
                <w:sz w:val="20"/>
                <w:szCs w:val="20"/>
                <w:color w:val="auto"/>
              </w:rPr>
            </w:pPr>
            <w:r>
              <w:rPr>
                <w:rFonts w:ascii="Arial" w:cs="Arial" w:eastAsia="Arial" w:hAnsi="Arial"/>
                <w:sz w:val="18"/>
                <w:szCs w:val="18"/>
                <w:color w:val="auto"/>
              </w:rPr>
              <w:t>Total offering expenses</w:t>
            </w: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3,000,000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3,375,000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5620" w:type="dxa"/>
            <w:vAlign w:val="bottom"/>
          </w:tcPr>
          <w:p>
            <w:pPr>
              <w:spacing w:after="0"/>
              <w:rPr>
                <w:sz w:val="20"/>
                <w:szCs w:val="20"/>
                <w:color w:val="auto"/>
              </w:rPr>
            </w:pPr>
            <w:r>
              <w:rPr>
                <w:rFonts w:ascii="Arial" w:cs="Arial" w:eastAsia="Arial" w:hAnsi="Arial"/>
                <w:sz w:val="18"/>
                <w:szCs w:val="18"/>
                <w:color w:val="auto"/>
              </w:rPr>
              <w:t>Net proceeds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51,025,000</w:t>
            </w:r>
          </w:p>
        </w:tc>
        <w:tc>
          <w:tcPr>
            <w:tcW w:w="14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58,600,000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20" w:type="dxa"/>
            <w:vAlign w:val="bottom"/>
            <w:vMerge w:val="restart"/>
          </w:tcPr>
          <w:p>
            <w:pPr>
              <w:spacing w:after="0"/>
              <w:rPr>
                <w:sz w:val="20"/>
                <w:szCs w:val="20"/>
                <w:color w:val="auto"/>
              </w:rPr>
            </w:pPr>
            <w:r>
              <w:rPr>
                <w:rFonts w:ascii="Arial" w:cs="Arial" w:eastAsia="Arial" w:hAnsi="Arial"/>
                <w:sz w:val="18"/>
                <w:szCs w:val="18"/>
                <w:color w:val="auto"/>
              </w:rPr>
              <w:t>Held in the trust account</w:t>
            </w:r>
            <w:r>
              <w:rPr>
                <w:rFonts w:ascii="Arial" w:cs="Arial" w:eastAsia="Arial" w:hAnsi="Arial"/>
                <w:sz w:val="21"/>
                <w:szCs w:val="21"/>
                <w:color w:val="auto"/>
                <w:vertAlign w:val="superscript"/>
              </w:rPr>
              <w:t>(3)</w:t>
            </w: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51,500,000</w:t>
            </w:r>
          </w:p>
        </w:tc>
        <w:tc>
          <w:tcPr>
            <w:tcW w:w="140" w:type="dxa"/>
            <w:vAlign w:val="bottom"/>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59,225,000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Not held in the trust account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525,000</w:t>
            </w:r>
          </w:p>
        </w:tc>
        <w:tc>
          <w:tcPr>
            <w:tcW w:w="14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525,000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5620" w:type="dxa"/>
            <w:vAlign w:val="bottom"/>
          </w:tcPr>
          <w:p>
            <w:pPr>
              <w:spacing w:after="0"/>
              <w:rPr>
                <w:sz w:val="20"/>
                <w:szCs w:val="20"/>
                <w:color w:val="auto"/>
              </w:rPr>
            </w:pPr>
            <w:r>
              <w:rPr>
                <w:rFonts w:ascii="Arial" w:cs="Arial" w:eastAsia="Arial" w:hAnsi="Arial"/>
                <w:sz w:val="18"/>
                <w:szCs w:val="18"/>
                <w:color w:val="auto"/>
                <w:w w:val="91"/>
              </w:rPr>
              <w:t>Use of net proceeds not held in the trust account and amounts available from</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interest income earned on the trust account</w:t>
            </w:r>
            <w:r>
              <w:rPr>
                <w:rFonts w:ascii="Arial" w:cs="Arial" w:eastAsia="Arial" w:hAnsi="Arial"/>
                <w:sz w:val="21"/>
                <w:szCs w:val="21"/>
                <w:color w:val="auto"/>
                <w:vertAlign w:val="superscript"/>
              </w:rPr>
              <w:t>(4)(5)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2"/>
              </w:rPr>
              <w:t>Legal, accounting and other third party expenses attendant to the search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w w:val="94"/>
              </w:rPr>
              <w:t>target businesses and to the due diligence investigation, structuring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negotiation of our initial business combination</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2"/>
        </w:trPr>
        <w:tc>
          <w:tcPr>
            <w:tcW w:w="5620" w:type="dxa"/>
            <w:vAlign w:val="bottom"/>
          </w:tcPr>
          <w:p>
            <w:pPr>
              <w:spacing w:after="0"/>
              <w:rPr>
                <w:sz w:val="20"/>
                <w:szCs w:val="20"/>
                <w:color w:val="auto"/>
              </w:rPr>
            </w:pPr>
            <w:r>
              <w:rPr>
                <w:rFonts w:ascii="Arial" w:cs="Arial" w:eastAsia="Arial" w:hAnsi="Arial"/>
                <w:sz w:val="18"/>
                <w:szCs w:val="18"/>
                <w:color w:val="auto"/>
                <w:w w:val="97"/>
              </w:rPr>
              <w:t>Due diligence of prospective target businesses by officers, directors and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sponsor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Legal and accounting fees relating to SEC reporting obligations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2"/>
        </w:trPr>
        <w:tc>
          <w:tcPr>
            <w:tcW w:w="5620" w:type="dxa"/>
            <w:vAlign w:val="bottom"/>
          </w:tcPr>
          <w:p>
            <w:pPr>
              <w:spacing w:after="0"/>
              <w:rPr>
                <w:sz w:val="20"/>
                <w:szCs w:val="20"/>
                <w:color w:val="auto"/>
              </w:rPr>
            </w:pPr>
            <w:r>
              <w:rPr>
                <w:rFonts w:ascii="Arial" w:cs="Arial" w:eastAsia="Arial" w:hAnsi="Arial"/>
                <w:sz w:val="18"/>
                <w:szCs w:val="18"/>
                <w:color w:val="auto"/>
                <w:w w:val="97"/>
              </w:rPr>
              <w:t>Payment of administrative fee to Magna Management LLC ($10,000 per</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month for up to 21 months), subject to deferral as described herein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2"/>
        </w:trPr>
        <w:tc>
          <w:tcPr>
            <w:tcW w:w="5620" w:type="dxa"/>
            <w:vAlign w:val="bottom"/>
          </w:tcPr>
          <w:p>
            <w:pPr>
              <w:spacing w:after="0"/>
              <w:rPr>
                <w:sz w:val="20"/>
                <w:szCs w:val="20"/>
                <w:color w:val="auto"/>
              </w:rPr>
            </w:pPr>
            <w:r>
              <w:rPr>
                <w:rFonts w:ascii="Arial" w:cs="Arial" w:eastAsia="Arial" w:hAnsi="Arial"/>
                <w:sz w:val="18"/>
                <w:szCs w:val="18"/>
                <w:color w:val="auto"/>
                <w:w w:val="94"/>
              </w:rPr>
              <w:t>Working capital to cover miscellaneous expenses, D&amp;O insurance, general</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corporate purposes, liquidation obligations and reserves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41"/>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vMerge w:val="restart"/>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8"/>
        </w:trPr>
        <w:tc>
          <w:tcPr>
            <w:tcW w:w="56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525,000</w:t>
            </w:r>
          </w:p>
        </w:tc>
        <w:tc>
          <w:tcPr>
            <w:tcW w:w="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r>
              <w:rPr>
                <w:rFonts w:ascii="Arial" w:cs="Arial" w:eastAsia="Arial" w:hAnsi="Arial"/>
                <w:sz w:val="18"/>
                <w:szCs w:val="18"/>
                <w:color w:val="auto"/>
              </w:rPr>
              <w:t>____________</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780" w:right="459" w:hanging="318"/>
        <w:spacing w:after="0" w:line="250" w:lineRule="auto"/>
        <w:tabs>
          <w:tab w:leader="none" w:pos="8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portion of the offering expenses, including the SEC registration fee, the FINRA filing fee, the non-refundable portion of the Nasdaq listing fee and a portion of the legal and audit fees, have been paid from the funds we received as loans from our insiders described below. These funds will be repaid out of the proceeds of this offering available to us.</w:t>
      </w:r>
    </w:p>
    <w:p>
      <w:pPr>
        <w:spacing w:after="0" w:line="1" w:lineRule="exact"/>
        <w:rPr>
          <w:rFonts w:ascii="Arial" w:cs="Arial" w:eastAsia="Arial" w:hAnsi="Arial"/>
          <w:sz w:val="18"/>
          <w:szCs w:val="18"/>
          <w:color w:val="auto"/>
        </w:rPr>
      </w:pPr>
    </w:p>
    <w:p>
      <w:pPr>
        <w:ind w:left="800" w:hanging="338"/>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discounts or commissions will be paid with respect to the purchase of the private units.</w:t>
      </w:r>
    </w:p>
    <w:p>
      <w:pPr>
        <w:spacing w:after="0" w:line="9" w:lineRule="exact"/>
        <w:rPr>
          <w:rFonts w:ascii="Arial" w:cs="Arial" w:eastAsia="Arial" w:hAnsi="Arial"/>
          <w:sz w:val="18"/>
          <w:szCs w:val="18"/>
          <w:color w:val="auto"/>
        </w:rPr>
      </w:pPr>
    </w:p>
    <w:p>
      <w:pPr>
        <w:jc w:val="both"/>
        <w:ind w:left="780" w:right="459" w:hanging="318"/>
        <w:spacing w:after="0" w:line="281" w:lineRule="auto"/>
        <w:tabs>
          <w:tab w:leader="none" w:pos="80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funds held in the trust account may, but need not, be used to pay our expenses relating to completing our initial business combination, including a deferred underwriting commission payable to the underwriters in an amount equal to 2% of the total gross proceeds raised in the offering described below.</w:t>
      </w:r>
    </w:p>
    <w:p>
      <w:pPr>
        <w:spacing w:after="0" w:line="2" w:lineRule="exact"/>
        <w:rPr>
          <w:rFonts w:ascii="Arial" w:cs="Arial" w:eastAsia="Arial" w:hAnsi="Arial"/>
          <w:sz w:val="16"/>
          <w:szCs w:val="16"/>
          <w:color w:val="auto"/>
        </w:rPr>
      </w:pPr>
    </w:p>
    <w:p>
      <w:pPr>
        <w:jc w:val="both"/>
        <w:ind w:left="780" w:right="459" w:hanging="318"/>
        <w:spacing w:after="0" w:line="281" w:lineRule="auto"/>
        <w:tabs>
          <w:tab w:leader="none" w:pos="79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 of proceeds not held in the trust account will remain constant at approximately $525,000 even if the over-allotment option is exercised. In addition, interest income earned on the amounts held in the trust account (after payment of taxes owed on such interest income) will be available to us to pay for our working capital requirements. We estimate the interest earned on the trust account will be approximately $87,500 over a 21-month period assuming an interest rate of approximately 0.1% per year.</w:t>
      </w:r>
    </w:p>
    <w:p>
      <w:pPr>
        <w:spacing w:after="0" w:line="3" w:lineRule="exact"/>
        <w:rPr>
          <w:rFonts w:ascii="Arial" w:cs="Arial" w:eastAsia="Arial" w:hAnsi="Arial"/>
          <w:sz w:val="16"/>
          <w:szCs w:val="16"/>
          <w:color w:val="auto"/>
        </w:rPr>
      </w:pPr>
    </w:p>
    <w:p>
      <w:pPr>
        <w:jc w:val="both"/>
        <w:ind w:left="780" w:right="459" w:hanging="318"/>
        <w:spacing w:after="0" w:line="253" w:lineRule="auto"/>
        <w:tabs>
          <w:tab w:leader="none" w:pos="8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the categories of our intended use of proceeds.</w:t>
      </w:r>
    </w:p>
    <w:p>
      <w:pPr>
        <w:sectPr>
          <w:pgSz w:w="11900" w:h="16838" w:orient="portrait"/>
          <w:cols w:equalWidth="0" w:num="1">
            <w:col w:w="9019"/>
          </w:cols>
          <w:pgMar w:left="1440" w:top="337" w:right="1440"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3" w:name="page44"/>
    <w:bookmarkEnd w:id="43"/>
    <w:p>
      <w:pPr>
        <w:jc w:val="both"/>
        <w:ind w:left="460" w:right="459"/>
        <w:spacing w:after="0" w:line="272" w:lineRule="auto"/>
        <w:rPr>
          <w:sz w:val="20"/>
          <w:szCs w:val="20"/>
          <w:color w:val="auto"/>
        </w:rPr>
      </w:pPr>
      <w:r>
        <w:rPr>
          <w:rFonts w:ascii="Arial" w:cs="Arial" w:eastAsia="Arial" w:hAnsi="Arial"/>
          <w:sz w:val="17"/>
          <w:szCs w:val="17"/>
          <w:color w:val="auto"/>
        </w:rPr>
        <w:t>Our insiders (and/or their designees) have committed that they will purchase the private units (for an aggregate purchase price of $4,025,000) from us on a private placement basis simultaneously with the consummation of this offering. Our insiders have also agreed that if the over-allotment option is exercised by the underwriters in full or in part, they (and/or their designees) will purchase from us at a price of $10.00 per unit the number of private units (up to a maximum of 45,000 private units) that is necessary to maintain in the trust account an amount equal to $10.30 per share of common stock sold to the public in this offering. All of the proceeds we receive from these purchases will be placed in the trust account described below.</w:t>
      </w:r>
    </w:p>
    <w:p>
      <w:pPr>
        <w:spacing w:after="0" w:line="15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$51,500,000, or $59,225,000 if the over-allotment option is exercised in full, of net proceeds of this offering and the sale of the private units will be placed in a trust account in the United States at Morgan Stanley Bank, N.A., maintained by Continental Stock Transfer &amp; Trust Company, as trustee. The funds held in the trust account will be invested only in United States government treasury bills, bonds or notes having a maturity of 180 days or less, or in money market funds meeting the applicable conditions under Rule 2a-7 promulgated under the Investment Company Act of 1940 and that invest solely in U.S. treasuries, so that we are not deemed to be an investment company under the Investment Company Act. Except with respect to (1) interest earned on the funds held in the trust account that may be released to us to pay our income or other tax obligations and (2) interest earned on the funds held in the trust account that may be released to us for our working capital requirements, the proceeds will not be released from the trust account until the earlier of the completion of our initial business combination or our redemption of 100% of the outstanding public shares if we have not completed a business combination in the required time period. The proceeds held in the trust account may be used as consideration to pay the sellers of a target business with which we complete our initial business combination to the extent not used to pay converting stockholders. Any amounts not paid as consideration to the sellers of the target business may be used to finance operations of the target business.</w:t>
      </w:r>
    </w:p>
    <w:p>
      <w:pPr>
        <w:spacing w:after="0" w:line="12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payment to Magna Management LLC, a company owned by our insiders,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Magna Management LLC for our benefit. We believe that the fee charged by Magna Management LLC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30"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Regardless of whether the over-allotment option is exercised in full, the net proceeds from this offering available to us out of trust for our working capital requirements in searching for our initial business combination will be approximately $525,000. In addition, interest earned on the funds held in the trust account (after payment of taxes owed on such interest income) may be released to us to fund our working capital requirements in searching for our initial business combination. We intend to use the after-tax interest earned for miscellaneous expenses such as paying fees to consultants to assist us with our search for a target business and for director and officer liability insurance premiums, with the balance being held in reserve in the event due diligence, legal, accounting and other expenses of structuring and negotiating business combinations exceed our estimates, as well as for reimbursement of any out-of-pocket expenses incurred by our insiders, officers and directors in connection with activities on our behalf as described below.</w:t>
      </w:r>
    </w:p>
    <w:p>
      <w:pPr>
        <w:spacing w:after="0" w:line="142"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The allocation of the net proceeds available to us outside of the trust account, along with the interest earned on the funds held in the trust account available to us, represents our best estimate of the intended uses of these funds. In the event that our assumptions prove to be inaccurate, we may reallocate some of such proceeds within the above described categories. If our estimate of the costs of undertaking due diligence and negotiating our initial business combination is less than the actual amount necessary to do so, or the amount of interest available to us from the trust account is insufficient as a result of the current low interest rate environment, we may be required to raise additional capital, the amount, availability and cost of which is currently unascertainable. In this event, we could seek such additional capital through loans or additional investments from our insiders,</w:t>
      </w:r>
    </w:p>
    <w:p>
      <w:pPr>
        <w:sectPr>
          <w:pgSz w:w="11900" w:h="16838" w:orient="portrait"/>
          <w:cols w:equalWidth="0" w:num="1">
            <w:col w:w="9019"/>
          </w:cols>
          <w:pgMar w:left="1440" w:top="301" w:right="1440" w:bottom="1440" w:gutter="0" w:footer="0" w:header="0"/>
        </w:sectPr>
      </w:pPr>
    </w:p>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44" w:name="page45"/>
    <w:bookmarkEnd w:id="44"/>
    <w:p>
      <w:pPr>
        <w:jc w:val="both"/>
        <w:ind w:left="460" w:right="459"/>
        <w:spacing w:after="0" w:line="277" w:lineRule="auto"/>
        <w:rPr>
          <w:sz w:val="20"/>
          <w:szCs w:val="20"/>
          <w:color w:val="auto"/>
        </w:rPr>
      </w:pPr>
      <w:r>
        <w:rPr>
          <w:rFonts w:ascii="Arial" w:cs="Arial" w:eastAsia="Arial" w:hAnsi="Arial"/>
          <w:sz w:val="18"/>
          <w:szCs w:val="18"/>
          <w:color w:val="auto"/>
        </w:rPr>
        <w:t>members of our management team or third parties, but our insiders, members of our management team or third parties are not under any obligation to advance funds to, or invest in, us.</w:t>
      </w:r>
    </w:p>
    <w:p>
      <w:pPr>
        <w:spacing w:after="0" w:line="143"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will likely use substantially all of the net proceeds of this offering, including the funds held in the trust account, in connection with our initial business combination and to pay our expenses relating thereto, including the deferred underwriting commission payable to the underwriters in an amount equal to 2% of the total gross proceeds raised in the offering upon consummation of our initial business combination. To the extent that our capital stock is used in whole or in part as consideration to effect our initial business combination, the proceeds held in the trust account which are not used to consummate a business combination will be disbursed to the combined company and will, along with any other net proceeds not expended,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w:t>
      </w:r>
    </w:p>
    <w:p>
      <w:pPr>
        <w:spacing w:after="0" w:line="13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insiders have agreed to pay the funds necessary to complete such liquidation (currently anticipated to be no more than $15,000) and have agreed not to seek repayment of such expenses.</w:t>
      </w:r>
    </w:p>
    <w:p>
      <w:pPr>
        <w:spacing w:after="0" w:line="14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As of June 30, 2016, M SPAC LLC, an entity controlled by Joshua Sason, our Chief Executive Officer, had loaned to us $131,720 to be used to pay a portion of the expenses of this offering referenced in the line items above for the SEC registration fee, FINRA filing fee, the non-refundable portion of the Nasdaq listing fee and a portion of the legal and accounting fees and expenses. In addition, an unrelated party had loaned to us $55,000 to cover expenses related to this offering. The loans are payable without interest on the earlier of (i) the consummation of the Proposed Public Offering or (ii) the date on which the Company determines not to proceed with the Proposed Public Offering.</w:t>
      </w:r>
    </w:p>
    <w:p>
      <w:pPr>
        <w:spacing w:after="0" w:line="15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believe that, upon consummation of this offering, we will have sufficient available funds (which includes amounts that may be released to us from the trust account) to operate for up to the next 21 months, assuming that our initial business combination is not consummated during that time. However, if necessary, in order to meet our working capital needs following the consummation of this offering, our insiders, officers and directors (and/or their designees)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loans and advances from our insiders, officers and directors or their affiliates, will be repaid only from amounts remaining outside our trust account, if any.</w:t>
      </w:r>
    </w:p>
    <w:p>
      <w:pPr>
        <w:spacing w:after="0" w:line="13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 public stockholder will be entitled to receive funds from the trust account only in the event of (1) our redemption of 100% of the outstanding public shares if we have not completed a business combination in the required time period, (2) if that public stockholder elects to convert public shares in connection with a stockholder vote or (3) if that public stockholder sells shares to us in any tender offer in connection with a proposed business combination. In no other circumstances will a public stockholder have any right or interest of any kind to or in the trust account.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have not paid any cash dividends on our shares of common stock to date and do not intend to pay cash dividends prior to the completion of our initial business combination. The payment of cash dividends subsequent to the completion of our initial business combination will be dependent upon our revenues and earnings, if any, capital requirements and general financial condition subsequent to completion of our initial business combination. The payment of any dividends subsequent to our initial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stock dividends in the foreseeable future, except if we increase the size of the offering, including pursuant to Rule 462(b) under the Securities Act, in which case we will effect a stock dividend immediately prior to the consummation of the offering in such amount as to maintain our insiders’ ownership at an aggregate of 20.0% of our issued and outstanding shares of our common stock upon the consummation of this offering (excluding ownership of the private units). Further, if we incur any indebtedness in connection with our initial business combination, our ability to declare dividends may be limited by restrictive covenants we may agree to in connection therewith.</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DILUTION</w:t>
      </w:r>
    </w:p>
    <w:p>
      <w:pPr>
        <w:spacing w:after="0" w:line="18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difference between the public offering price per share (assuming no value is attributed to the warrants included in the units we are offering pursuant to this prospectus) and the pro forma net tangible book value per share after this offering constitutes the dilution to investors in this offering. Net tangible book value per share is determined by dividing our net tangible book value, which is our total tangible assets less total liabilities (including the value of shares of common stock which may be converted into cash), by the number of outstanding shares of common stock.</w:t>
      </w:r>
    </w:p>
    <w:p>
      <w:pPr>
        <w:spacing w:after="0" w:line="16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At June 30, 2016, our net tangible book value was $(186,447), or approximately ($0.15) per share assuming the underwriters do not exercise any portion of the over-allotment option and the forfeiture of 187,500 insider shares. After giving effect to the sale of 5,000,000 (or 5,750,000 if the underwriters exercise their over-allotment option in full) shares of common stock included in the units we are offering by this prospectus, and the deduction of underwriting discounts and estimated expenses of this offering, and the sale of the private units, our pro forma net tangible book value at June 30, 2016 would have been $5,000,004 or $2.29 (or $2.06 if the underwriters exercise their over-allotment option in full) per share, representing an immediate increase in net tangible book value of $2.44 (or $2.21 if the underwriters exercise their over-allotment option in full) per share to our insiders and an immediate dilution of 77.1% (or 79.4% if the underwriters exercise their over-allotment option in full) per share or $7.71 (or $7.94 if the underwriters exercise their over-allotment option in full) to new investors not exercising their conversion rights. For purposes of presentation, our pro forma net tangible book value after this offering is $46,032,606 (or $53,607,607 if the underwriters exercise their over-allotment option in full) less than it otherwise would have been because if we effect our initial business combination, the conversion rights of the public stockholders (but not our insiders) may result in the conversion or tender of up to 4,469,185 (or 5,204,622 if the underwriters exercise their over-allotment option in full) shares sold in this offering.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dilution to our public stockholders on a per-share basis.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3"/>
              </w:rPr>
              <w:t>Without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95"/>
              </w:rPr>
              <w:t>Over-</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5"/>
              </w:rPr>
              <w:t>Over-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92"/>
              </w:rPr>
              <w:t>Allotment</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2"/>
              </w:rPr>
              <w:t>Allotment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236"/>
        </w:trPr>
        <w:tc>
          <w:tcPr>
            <w:tcW w:w="5420" w:type="dxa"/>
            <w:vAlign w:val="bottom"/>
          </w:tcPr>
          <w:p>
            <w:pPr>
              <w:spacing w:after="0"/>
              <w:rPr>
                <w:sz w:val="20"/>
                <w:szCs w:val="20"/>
                <w:color w:val="auto"/>
              </w:rPr>
            </w:pPr>
            <w:r>
              <w:rPr>
                <w:rFonts w:ascii="Arial" w:cs="Arial" w:eastAsia="Arial" w:hAnsi="Arial"/>
                <w:sz w:val="18"/>
                <w:szCs w:val="18"/>
                <w:color w:val="auto"/>
              </w:rPr>
              <w:t>Public offering price</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420" w:type="dxa"/>
            <w:vAlign w:val="bottom"/>
            <w:vMerge w:val="restart"/>
          </w:tcPr>
          <w:p>
            <w:pPr>
              <w:spacing w:after="0"/>
              <w:rPr>
                <w:sz w:val="20"/>
                <w:szCs w:val="20"/>
                <w:color w:val="auto"/>
              </w:rPr>
            </w:pPr>
            <w:r>
              <w:rPr>
                <w:rFonts w:ascii="Arial" w:cs="Arial" w:eastAsia="Arial" w:hAnsi="Arial"/>
                <w:sz w:val="18"/>
                <w:szCs w:val="18"/>
                <w:color w:val="auto"/>
              </w:rPr>
              <w:t>Net tangible book value before this offering</w:t>
            </w:r>
          </w:p>
        </w:tc>
        <w:tc>
          <w:tcPr>
            <w:tcW w:w="3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1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4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(0.15)</w:t>
            </w: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420" w:type="dxa"/>
            <w:vAlign w:val="bottom"/>
          </w:tcPr>
          <w:p>
            <w:pPr>
              <w:spacing w:after="0"/>
              <w:rPr>
                <w:sz w:val="20"/>
                <w:szCs w:val="20"/>
                <w:color w:val="auto"/>
              </w:rPr>
            </w:pPr>
            <w:r>
              <w:rPr>
                <w:rFonts w:ascii="Arial" w:cs="Arial" w:eastAsia="Arial" w:hAnsi="Arial"/>
                <w:sz w:val="18"/>
                <w:szCs w:val="18"/>
                <w:color w:val="auto"/>
              </w:rPr>
              <w:t>Increase attributable to public stockholders and private investors</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420" w:type="dxa"/>
            <w:vAlign w:val="bottom"/>
            <w:vMerge w:val="restart"/>
          </w:tcPr>
          <w:p>
            <w:pPr>
              <w:spacing w:after="0"/>
              <w:rPr>
                <w:sz w:val="20"/>
                <w:szCs w:val="20"/>
                <w:color w:val="auto"/>
              </w:rPr>
            </w:pPr>
            <w:r>
              <w:rPr>
                <w:rFonts w:ascii="Arial" w:cs="Arial" w:eastAsia="Arial" w:hAnsi="Arial"/>
                <w:sz w:val="18"/>
                <w:szCs w:val="18"/>
                <w:color w:val="auto"/>
                <w:w w:val="96"/>
              </w:rPr>
              <w:t>Pro forma net tangible book value after this offering and the sale of the</w:t>
            </w:r>
          </w:p>
        </w:tc>
        <w:tc>
          <w:tcPr>
            <w:tcW w:w="3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54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color w:val="auto"/>
              </w:rPr>
              <w:t>private units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420" w:type="dxa"/>
            <w:vAlign w:val="bottom"/>
            <w:vMerge w:val="restart"/>
          </w:tcPr>
          <w:p>
            <w:pPr>
              <w:spacing w:after="0"/>
              <w:rPr>
                <w:sz w:val="20"/>
                <w:szCs w:val="20"/>
                <w:color w:val="auto"/>
              </w:rPr>
            </w:pPr>
            <w:r>
              <w:rPr>
                <w:rFonts w:ascii="Arial" w:cs="Arial" w:eastAsia="Arial" w:hAnsi="Arial"/>
                <w:sz w:val="18"/>
                <w:szCs w:val="18"/>
                <w:color w:val="auto"/>
              </w:rPr>
              <w:t>Dilution to new investors</w:t>
            </w:r>
          </w:p>
        </w:tc>
        <w:tc>
          <w:tcPr>
            <w:tcW w:w="4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4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420" w:type="dxa"/>
            <w:vAlign w:val="bottom"/>
            <w:vMerge w:val="restart"/>
          </w:tcPr>
          <w:p>
            <w:pPr>
              <w:spacing w:after="0"/>
              <w:rPr>
                <w:sz w:val="20"/>
                <w:szCs w:val="20"/>
                <w:color w:val="auto"/>
              </w:rPr>
            </w:pPr>
            <w:r>
              <w:rPr>
                <w:rFonts w:ascii="Arial" w:cs="Arial" w:eastAsia="Arial" w:hAnsi="Arial"/>
                <w:sz w:val="18"/>
                <w:szCs w:val="18"/>
                <w:color w:val="auto"/>
              </w:rPr>
              <w:t>Percentage of dilution to new investors</w:t>
            </w: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42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1"/>
        </w:trPr>
        <w:tc>
          <w:tcPr>
            <w:tcW w:w="54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77.1</w:t>
            </w:r>
          </w:p>
        </w:tc>
        <w:tc>
          <w:tcPr>
            <w:tcW w:w="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79.4</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-1191260</wp:posOffset>
            </wp:positionV>
            <wp:extent cx="1595120" cy="1174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95120" cy="1174750"/>
                    </a:xfrm>
                    <a:prstGeom prst="rect">
                      <a:avLst/>
                    </a:prstGeom>
                    <a:noFill/>
                  </pic:spPr>
                </pic:pic>
              </a:graphicData>
            </a:graphic>
          </wp:anchor>
        </w:drawing>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with respect to our insiders and the new investors: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43"/>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8"/>
          </w:tcPr>
          <w:p>
            <w:pPr>
              <w:ind w:left="560"/>
              <w:spacing w:after="0"/>
              <w:rPr>
                <w:sz w:val="20"/>
                <w:szCs w:val="20"/>
                <w:color w:val="auto"/>
              </w:rPr>
            </w:pPr>
            <w:r>
              <w:rPr>
                <w:rFonts w:ascii="Arial" w:cs="Arial" w:eastAsia="Arial" w:hAnsi="Arial"/>
                <w:sz w:val="12"/>
                <w:szCs w:val="12"/>
                <w:b w:val="1"/>
                <w:bCs w:val="1"/>
                <w:color w:val="auto"/>
              </w:rPr>
              <w:t>Without Over-allotment</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8"/>
          </w:tcPr>
          <w:p>
            <w:pPr>
              <w:ind w:left="620"/>
              <w:spacing w:after="0"/>
              <w:rPr>
                <w:sz w:val="20"/>
                <w:szCs w:val="20"/>
                <w:color w:val="auto"/>
              </w:rPr>
            </w:pPr>
            <w:r>
              <w:rPr>
                <w:rFonts w:ascii="Arial" w:cs="Arial" w:eastAsia="Arial" w:hAnsi="Arial"/>
                <w:sz w:val="12"/>
                <w:szCs w:val="12"/>
                <w:b w:val="1"/>
                <w:bCs w:val="1"/>
                <w:color w:val="auto"/>
              </w:rPr>
              <w:t>With Over-allotment</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bottom w:val="single" w:sz="8" w:color="auto"/>
            </w:tcBorders>
            <w:gridSpan w:val="4"/>
          </w:tcPr>
          <w:p>
            <w:pPr>
              <w:ind w:left="300"/>
              <w:spacing w:after="0" w:line="129" w:lineRule="exact"/>
              <w:rPr>
                <w:sz w:val="20"/>
                <w:szCs w:val="20"/>
                <w:color w:val="auto"/>
              </w:rPr>
            </w:pPr>
            <w:r>
              <w:rPr>
                <w:rFonts w:ascii="Arial" w:cs="Arial" w:eastAsia="Arial" w:hAnsi="Arial"/>
                <w:sz w:val="12"/>
                <w:szCs w:val="12"/>
                <w:b w:val="1"/>
                <w:bCs w:val="1"/>
                <w:color w:val="auto"/>
              </w:rPr>
              <w:t>Shares Purchased</w:t>
            </w: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ind w:left="160"/>
              <w:spacing w:after="0" w:line="129" w:lineRule="exact"/>
              <w:rPr>
                <w:sz w:val="20"/>
                <w:szCs w:val="20"/>
                <w:color w:val="auto"/>
              </w:rPr>
            </w:pPr>
            <w:r>
              <w:rPr>
                <w:rFonts w:ascii="Arial" w:cs="Arial" w:eastAsia="Arial" w:hAnsi="Arial"/>
                <w:sz w:val="12"/>
                <w:szCs w:val="12"/>
                <w:b w:val="1"/>
                <w:bCs w:val="1"/>
                <w:color w:val="auto"/>
              </w:rPr>
              <w:t>Total Consideration</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Average</w:t>
            </w:r>
          </w:p>
        </w:tc>
        <w:tc>
          <w:tcPr>
            <w:tcW w:w="40" w:type="dxa"/>
            <w:vAlign w:val="bottom"/>
          </w:tcPr>
          <w:p>
            <w:pPr>
              <w:spacing w:after="0"/>
              <w:rPr>
                <w:sz w:val="11"/>
                <w:szCs w:val="11"/>
                <w:color w:val="auto"/>
              </w:rPr>
            </w:pPr>
          </w:p>
        </w:tc>
        <w:tc>
          <w:tcPr>
            <w:tcW w:w="1500" w:type="dxa"/>
            <w:vAlign w:val="bottom"/>
            <w:tcBorders>
              <w:bottom w:val="single" w:sz="8" w:color="auto"/>
            </w:tcBorders>
            <w:gridSpan w:val="4"/>
          </w:tcPr>
          <w:p>
            <w:pPr>
              <w:ind w:left="300"/>
              <w:spacing w:after="0" w:line="129" w:lineRule="exact"/>
              <w:rPr>
                <w:sz w:val="20"/>
                <w:szCs w:val="20"/>
                <w:color w:val="auto"/>
              </w:rPr>
            </w:pPr>
            <w:r>
              <w:rPr>
                <w:rFonts w:ascii="Arial" w:cs="Arial" w:eastAsia="Arial" w:hAnsi="Arial"/>
                <w:sz w:val="12"/>
                <w:szCs w:val="12"/>
                <w:b w:val="1"/>
                <w:bCs w:val="1"/>
                <w:color w:val="auto"/>
              </w:rPr>
              <w:t>Shares Purchased</w:t>
            </w: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ind w:left="140"/>
              <w:spacing w:after="0" w:line="129" w:lineRule="exact"/>
              <w:rPr>
                <w:sz w:val="20"/>
                <w:szCs w:val="20"/>
                <w:color w:val="auto"/>
              </w:rPr>
            </w:pPr>
            <w:r>
              <w:rPr>
                <w:rFonts w:ascii="Arial" w:cs="Arial" w:eastAsia="Arial" w:hAnsi="Arial"/>
                <w:sz w:val="12"/>
                <w:szCs w:val="12"/>
                <w:b w:val="1"/>
                <w:bCs w:val="1"/>
                <w:color w:val="auto"/>
              </w:rPr>
              <w:t>Total Consideration</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4"/>
              </w:rPr>
              <w:t>Average</w:t>
            </w:r>
          </w:p>
        </w:tc>
        <w:tc>
          <w:tcPr>
            <w:tcW w:w="0" w:type="dxa"/>
            <w:vAlign w:val="bottom"/>
          </w:tcPr>
          <w:p>
            <w:pPr>
              <w:spacing w:after="0"/>
              <w:rPr>
                <w:sz w:val="1"/>
                <w:szCs w:val="1"/>
                <w:color w:val="auto"/>
              </w:rPr>
            </w:pPr>
          </w:p>
        </w:tc>
      </w:tr>
      <w:tr>
        <w:trPr>
          <w:trHeight w:val="120"/>
        </w:trPr>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Price</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Price</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per</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5"/>
              </w:rPr>
              <w:t>per</w:t>
            </w:r>
          </w:p>
        </w:tc>
        <w:tc>
          <w:tcPr>
            <w:tcW w:w="0" w:type="dxa"/>
            <w:vAlign w:val="bottom"/>
          </w:tcPr>
          <w:p>
            <w:pPr>
              <w:spacing w:after="0"/>
              <w:rPr>
                <w:sz w:val="1"/>
                <w:szCs w:val="1"/>
                <w:color w:val="auto"/>
              </w:rPr>
            </w:pPr>
          </w:p>
        </w:tc>
      </w:tr>
      <w:tr>
        <w:trPr>
          <w:trHeight w:val="143"/>
        </w:trPr>
        <w:tc>
          <w:tcPr>
            <w:tcW w:w="620" w:type="dxa"/>
            <w:vAlign w:val="bottom"/>
            <w:vMerge w:val="restart"/>
          </w:tcPr>
          <w:p>
            <w:pPr>
              <w:spacing w:after="0"/>
              <w:rPr>
                <w:sz w:val="20"/>
                <w:szCs w:val="20"/>
                <w:color w:val="auto"/>
              </w:rPr>
            </w:pPr>
            <w:r>
              <w:rPr>
                <w:rFonts w:ascii="Arial" w:cs="Arial" w:eastAsia="Arial" w:hAnsi="Arial"/>
                <w:sz w:val="14"/>
                <w:szCs w:val="14"/>
                <w:color w:val="auto"/>
              </w:rPr>
              <w:t>Insider</w:t>
            </w: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Percentage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Percentage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Share</w:t>
            </w:r>
          </w:p>
        </w:tc>
        <w:tc>
          <w:tcPr>
            <w:tcW w:w="4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Percentage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Percentage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Share</w:t>
            </w:r>
          </w:p>
        </w:tc>
        <w:tc>
          <w:tcPr>
            <w:tcW w:w="0" w:type="dxa"/>
            <w:vAlign w:val="bottom"/>
          </w:tcPr>
          <w:p>
            <w:pPr>
              <w:spacing w:after="0"/>
              <w:rPr>
                <w:sz w:val="1"/>
                <w:szCs w:val="1"/>
                <w:color w:val="auto"/>
              </w:rPr>
            </w:pPr>
          </w:p>
        </w:tc>
      </w:tr>
      <w:tr>
        <w:trPr>
          <w:trHeight w:val="131"/>
        </w:trPr>
        <w:tc>
          <w:tcPr>
            <w:tcW w:w="620" w:type="dxa"/>
            <w:vAlign w:val="bottom"/>
            <w:vMerge w:val="continue"/>
          </w:tcPr>
          <w:p>
            <w:pPr>
              <w:spacing w:after="0"/>
              <w:rPr>
                <w:sz w:val="11"/>
                <w:szCs w:val="11"/>
                <w:color w:val="auto"/>
              </w:rPr>
            </w:pP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w w:val="92"/>
              </w:rPr>
              <w:t>1,250,000</w:t>
            </w:r>
            <w:r>
              <w:rPr>
                <w:rFonts w:ascii="Arial" w:cs="Arial" w:eastAsia="Arial" w:hAnsi="Arial"/>
                <w:sz w:val="22"/>
                <w:szCs w:val="22"/>
                <w:color w:val="auto"/>
                <w:w w:val="92"/>
                <w:vertAlign w:val="superscript"/>
              </w:rPr>
              <w:t>(1)</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20" w:type="dxa"/>
            <w:vAlign w:val="bottom"/>
          </w:tcPr>
          <w:p>
            <w:pPr>
              <w:ind w:left="180"/>
              <w:spacing w:after="0"/>
              <w:rPr>
                <w:sz w:val="20"/>
                <w:szCs w:val="20"/>
                <w:color w:val="auto"/>
              </w:rPr>
            </w:pPr>
            <w:r>
              <w:rPr>
                <w:rFonts w:ascii="Arial" w:cs="Arial" w:eastAsia="Arial" w:hAnsi="Arial"/>
                <w:sz w:val="14"/>
                <w:szCs w:val="14"/>
                <w:color w:val="auto"/>
                <w:w w:val="99"/>
              </w:rPr>
              <w:t>shares</w:t>
            </w:r>
          </w:p>
        </w:tc>
        <w:tc>
          <w:tcPr>
            <w:tcW w:w="820" w:type="dxa"/>
            <w:vAlign w:val="bottom"/>
            <w:gridSpan w:val="3"/>
            <w:vMerge w:val="continue"/>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18.79% $</w:t>
            </w:r>
          </w:p>
        </w:tc>
        <w:tc>
          <w:tcPr>
            <w:tcW w:w="660" w:type="dxa"/>
            <w:vAlign w:val="bottom"/>
          </w:tcPr>
          <w:p>
            <w:pPr>
              <w:jc w:val="right"/>
              <w:spacing w:after="0"/>
              <w:rPr>
                <w:sz w:val="20"/>
                <w:szCs w:val="20"/>
                <w:color w:val="auto"/>
              </w:rPr>
            </w:pPr>
            <w:r>
              <w:rPr>
                <w:rFonts w:ascii="Arial" w:cs="Arial" w:eastAsia="Arial" w:hAnsi="Arial"/>
                <w:sz w:val="14"/>
                <w:szCs w:val="14"/>
                <w:color w:val="auto"/>
              </w:rPr>
              <w:t>25,000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0.05</w:t>
            </w:r>
          </w:p>
        </w:tc>
        <w:tc>
          <w:tcPr>
            <w:tcW w:w="40" w:type="dxa"/>
            <w:vAlign w:val="bottom"/>
          </w:tcPr>
          <w:p>
            <w:pPr>
              <w:spacing w:after="0"/>
              <w:rPr>
                <w:sz w:val="16"/>
                <w:szCs w:val="16"/>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0.02 1,437,500</w:t>
            </w:r>
          </w:p>
        </w:tc>
        <w:tc>
          <w:tcPr>
            <w:tcW w:w="180" w:type="dxa"/>
            <w:vAlign w:val="bottom"/>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18.83% $</w:t>
            </w:r>
          </w:p>
        </w:tc>
        <w:tc>
          <w:tcPr>
            <w:tcW w:w="660" w:type="dxa"/>
            <w:vAlign w:val="bottom"/>
          </w:tcPr>
          <w:p>
            <w:pPr>
              <w:jc w:val="right"/>
              <w:spacing w:after="0"/>
              <w:rPr>
                <w:sz w:val="20"/>
                <w:szCs w:val="20"/>
                <w:color w:val="auto"/>
              </w:rPr>
            </w:pPr>
            <w:r>
              <w:rPr>
                <w:rFonts w:ascii="Arial" w:cs="Arial" w:eastAsia="Arial" w:hAnsi="Arial"/>
                <w:sz w:val="14"/>
                <w:szCs w:val="14"/>
                <w:color w:val="auto"/>
              </w:rPr>
              <w:t>25,000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0.04</w:t>
            </w:r>
          </w:p>
        </w:tc>
        <w:tc>
          <w:tcPr>
            <w:tcW w:w="40" w:type="dxa"/>
            <w:vAlign w:val="bottom"/>
          </w:tcPr>
          <w:p>
            <w:pPr>
              <w:spacing w:after="0"/>
              <w:rPr>
                <w:sz w:val="16"/>
                <w:szCs w:val="16"/>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Arial" w:cs="Arial" w:eastAsia="Arial" w:hAnsi="Arial"/>
                <w:sz w:val="14"/>
                <w:szCs w:val="14"/>
                <w:color w:val="auto"/>
              </w:rPr>
              <w:t>Private</w:t>
            </w: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402,500</w:t>
            </w:r>
            <w:r>
              <w:rPr>
                <w:rFonts w:ascii="Arial" w:cs="Arial" w:eastAsia="Arial" w:hAnsi="Arial"/>
                <w:sz w:val="22"/>
                <w:szCs w:val="22"/>
                <w:color w:val="auto"/>
                <w:vertAlign w:val="superscript"/>
              </w:rPr>
              <w:t>(2)</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w w:val="99"/>
              </w:rPr>
              <w:t>447,500</w:t>
            </w:r>
            <w:r>
              <w:rPr>
                <w:rFonts w:ascii="Arial" w:cs="Arial" w:eastAsia="Arial" w:hAnsi="Arial"/>
                <w:sz w:val="22"/>
                <w:szCs w:val="22"/>
                <w:color w:val="auto"/>
                <w:w w:val="99"/>
                <w:vertAlign w:val="superscript"/>
              </w:rPr>
              <w:t>(3)</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 w:type="dxa"/>
            <w:vAlign w:val="bottom"/>
          </w:tcPr>
          <w:p>
            <w:pPr>
              <w:ind w:left="180"/>
              <w:spacing w:after="0"/>
              <w:rPr>
                <w:sz w:val="20"/>
                <w:szCs w:val="20"/>
                <w:color w:val="auto"/>
              </w:rPr>
            </w:pPr>
            <w:r>
              <w:rPr>
                <w:rFonts w:ascii="Arial" w:cs="Arial" w:eastAsia="Arial" w:hAnsi="Arial"/>
                <w:sz w:val="14"/>
                <w:szCs w:val="14"/>
                <w:color w:val="auto"/>
                <w:w w:val="99"/>
              </w:rPr>
              <w:t>shares</w:t>
            </w:r>
          </w:p>
        </w:tc>
        <w:tc>
          <w:tcPr>
            <w:tcW w:w="820" w:type="dxa"/>
            <w:vAlign w:val="bottom"/>
            <w:gridSpan w:val="3"/>
            <w:vMerge w:val="continue"/>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6.05</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4,025,000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7.45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10.00</w:t>
            </w:r>
          </w:p>
        </w:tc>
        <w:tc>
          <w:tcPr>
            <w:tcW w:w="760" w:type="dxa"/>
            <w:vAlign w:val="bottom"/>
            <w:gridSpan w:val="3"/>
            <w:vMerge w:val="continue"/>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5.86</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4,475,000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7.22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Arial" w:cs="Arial" w:eastAsia="Arial" w:hAnsi="Arial"/>
                <w:sz w:val="14"/>
                <w:szCs w:val="14"/>
                <w:color w:val="auto"/>
              </w:rPr>
              <w:t>New</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40" w:type="dxa"/>
            <w:vAlign w:val="bottom"/>
            <w:gridSpan w:val="4"/>
          </w:tcPr>
          <w:p>
            <w:pPr>
              <w:ind w:left="180"/>
              <w:spacing w:after="0"/>
              <w:rPr>
                <w:sz w:val="20"/>
                <w:szCs w:val="20"/>
                <w:color w:val="auto"/>
              </w:rPr>
            </w:pPr>
            <w:r>
              <w:rPr>
                <w:rFonts w:ascii="Arial" w:cs="Arial" w:eastAsia="Arial" w:hAnsi="Arial"/>
                <w:sz w:val="14"/>
                <w:szCs w:val="14"/>
                <w:color w:val="auto"/>
              </w:rPr>
              <w:t>investors 5,000,000</w:t>
            </w:r>
          </w:p>
        </w:tc>
        <w:tc>
          <w:tcPr>
            <w:tcW w:w="660" w:type="dxa"/>
            <w:vAlign w:val="bottom"/>
          </w:tcPr>
          <w:p>
            <w:pPr>
              <w:jc w:val="right"/>
              <w:spacing w:after="0"/>
              <w:rPr>
                <w:sz w:val="20"/>
                <w:szCs w:val="20"/>
                <w:color w:val="auto"/>
              </w:rPr>
            </w:pPr>
            <w:r>
              <w:rPr>
                <w:rFonts w:ascii="Arial" w:cs="Arial" w:eastAsia="Arial" w:hAnsi="Arial"/>
                <w:sz w:val="14"/>
                <w:szCs w:val="14"/>
                <w:color w:val="auto"/>
              </w:rPr>
              <w:t>75.16</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50,000,000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92.50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10.00 5,750,000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75.31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88"/>
              </w:rPr>
              <w:t>57,500,000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92.74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8"/>
        </w:trPr>
        <w:tc>
          <w:tcPr>
            <w:tcW w:w="6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3"/>
              </w:rPr>
              <w:t>6,652,500</w:t>
            </w:r>
          </w:p>
        </w:tc>
        <w:tc>
          <w:tcPr>
            <w:tcW w:w="18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54,050,000</w:t>
            </w:r>
          </w:p>
        </w:tc>
        <w:tc>
          <w:tcPr>
            <w:tcW w:w="4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3"/>
              </w:rPr>
              <w:t>7,635,000</w:t>
            </w:r>
          </w:p>
        </w:tc>
        <w:tc>
          <w:tcPr>
            <w:tcW w:w="18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8"/>
              </w:rPr>
              <w:t>62,000,000</w:t>
            </w:r>
          </w:p>
        </w:tc>
        <w:tc>
          <w:tcPr>
            <w:tcW w:w="4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10795</wp:posOffset>
            </wp:positionV>
            <wp:extent cx="47936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-130175</wp:posOffset>
            </wp:positionV>
            <wp:extent cx="47936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spacing w:after="0" w:line="3" w:lineRule="exact"/>
        <w:rPr>
          <w:sz w:val="20"/>
          <w:szCs w:val="20"/>
          <w:color w:val="auto"/>
        </w:rPr>
      </w:pPr>
    </w:p>
    <w:p>
      <w:pPr>
        <w:ind w:left="800" w:hanging="338"/>
        <w:spacing w:after="0"/>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Assumes over-allotment is not exercised and the forfeiture of an aggregate of 187,500 insider shares.</w:t>
      </w:r>
    </w:p>
    <w:p>
      <w:pPr>
        <w:spacing w:after="0" w:line="20" w:lineRule="exact"/>
        <w:rPr>
          <w:rFonts w:ascii="Arial" w:cs="Arial" w:eastAsia="Arial" w:hAnsi="Arial"/>
          <w:sz w:val="17"/>
          <w:szCs w:val="17"/>
          <w:color w:val="auto"/>
        </w:rPr>
      </w:pPr>
    </w:p>
    <w:p>
      <w:pPr>
        <w:ind w:left="780" w:right="459" w:hanging="318"/>
        <w:spacing w:after="0" w:line="250" w:lineRule="auto"/>
        <w:tabs>
          <w:tab w:leader="none" w:pos="9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402,500 private shares underlying the private units issued simultaneously with the consummation of this offering.</w:t>
      </w:r>
    </w:p>
    <w:p>
      <w:pPr>
        <w:ind w:left="780" w:right="459" w:hanging="318"/>
        <w:spacing w:after="0" w:line="261" w:lineRule="auto"/>
        <w:tabs>
          <w:tab w:leader="none" w:pos="9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447,500 private shares underlying the private units issued simultaneously with the consummation of this offering.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7" w:name="page48"/>
    <w:bookmarkEnd w:id="47"/>
    <w:p>
      <w:pPr>
        <w:ind w:left="460" w:right="459"/>
        <w:spacing w:after="0" w:line="277" w:lineRule="auto"/>
        <w:rPr>
          <w:sz w:val="20"/>
          <w:szCs w:val="20"/>
          <w:color w:val="auto"/>
        </w:rPr>
      </w:pPr>
      <w:r>
        <w:rPr>
          <w:rFonts w:ascii="Arial" w:cs="Arial" w:eastAsia="Arial" w:hAnsi="Arial"/>
          <w:sz w:val="18"/>
          <w:szCs w:val="18"/>
          <w:color w:val="auto"/>
        </w:rPr>
        <w:t>The pro forma net tangible book value per share after the offering and the sale of the private units is calculated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With</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Without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Over-</w:t>
            </w:r>
          </w:p>
        </w:tc>
        <w:tc>
          <w:tcPr>
            <w:tcW w:w="0" w:type="dxa"/>
            <w:vAlign w:val="bottom"/>
          </w:tcPr>
          <w:p>
            <w:pPr>
              <w:spacing w:after="0"/>
              <w:rPr>
                <w:sz w:val="1"/>
                <w:szCs w:val="1"/>
                <w:color w:val="auto"/>
              </w:rPr>
            </w:pPr>
          </w:p>
        </w:tc>
      </w:tr>
      <w:tr>
        <w:trPr>
          <w:trHeight w:val="81"/>
        </w:trPr>
        <w:tc>
          <w:tcPr>
            <w:tcW w:w="5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4"/>
              </w:rPr>
              <w:t>Allotment</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w w:val="95"/>
              </w:rPr>
              <w:t>Over-Allotment</w:t>
            </w:r>
            <w:r>
              <w:rPr>
                <w:rFonts w:ascii="Arial" w:cs="Arial" w:eastAsia="Arial" w:hAnsi="Arial"/>
                <w:sz w:val="8"/>
                <w:szCs w:val="8"/>
                <w:b w:val="1"/>
                <w:bCs w:val="1"/>
                <w:color w:val="auto"/>
                <w:w w:val="95"/>
              </w:rPr>
              <w:t>(1)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left="174"/>
              <w:spacing w:after="0"/>
              <w:rPr>
                <w:sz w:val="20"/>
                <w:szCs w:val="20"/>
                <w:color w:val="auto"/>
              </w:rPr>
            </w:pPr>
            <w:r>
              <w:rPr>
                <w:rFonts w:ascii="Arial" w:cs="Arial" w:eastAsia="Arial" w:hAnsi="Arial"/>
                <w:sz w:val="9"/>
                <w:szCs w:val="9"/>
                <w:b w:val="1"/>
                <w:bCs w:val="1"/>
                <w:color w:val="auto"/>
                <w:w w:val="90"/>
              </w:rPr>
              <w:t>(2)</w:t>
            </w:r>
          </w:p>
        </w:tc>
        <w:tc>
          <w:tcPr>
            <w:tcW w:w="3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120"/>
              <w:spacing w:after="0" w:line="176" w:lineRule="exact"/>
              <w:rPr>
                <w:sz w:val="20"/>
                <w:szCs w:val="20"/>
                <w:color w:val="auto"/>
              </w:rPr>
            </w:pPr>
            <w:r>
              <w:rPr>
                <w:rFonts w:ascii="Arial" w:cs="Arial" w:eastAsia="Arial" w:hAnsi="Arial"/>
                <w:sz w:val="16"/>
                <w:szCs w:val="16"/>
                <w:b w:val="1"/>
                <w:bCs w:val="1"/>
                <w:color w:val="auto"/>
                <w:w w:val="97"/>
              </w:rPr>
              <w:t>Option</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240" w:type="dxa"/>
            <w:vAlign w:val="bottom"/>
          </w:tcPr>
          <w:p>
            <w:pPr>
              <w:spacing w:after="0"/>
              <w:rPr>
                <w:sz w:val="20"/>
                <w:szCs w:val="20"/>
                <w:color w:val="auto"/>
              </w:rPr>
            </w:pPr>
            <w:r>
              <w:rPr>
                <w:rFonts w:ascii="Arial" w:cs="Arial" w:eastAsia="Arial" w:hAnsi="Arial"/>
                <w:sz w:val="18"/>
                <w:szCs w:val="18"/>
                <w:color w:val="auto"/>
              </w:rPr>
              <w:t>Net tangible book value before the offering</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(186,447)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(186,447)</w:t>
            </w:r>
          </w:p>
        </w:tc>
        <w:tc>
          <w:tcPr>
            <w:tcW w:w="0" w:type="dxa"/>
            <w:vAlign w:val="bottom"/>
          </w:tcPr>
          <w:p>
            <w:pPr>
              <w:spacing w:after="0"/>
              <w:rPr>
                <w:sz w:val="1"/>
                <w:szCs w:val="1"/>
                <w:color w:val="auto"/>
              </w:rPr>
            </w:pP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w w:val="94"/>
              </w:rPr>
              <w:t>Net proceeds from this offering and private placement of private units</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51,025,000</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58,600,000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240" w:type="dxa"/>
            <w:vAlign w:val="bottom"/>
          </w:tcPr>
          <w:p>
            <w:pPr>
              <w:spacing w:after="0"/>
              <w:rPr>
                <w:sz w:val="20"/>
                <w:szCs w:val="20"/>
                <w:color w:val="auto"/>
              </w:rPr>
            </w:pPr>
            <w:r>
              <w:rPr>
                <w:rFonts w:ascii="Arial" w:cs="Arial" w:eastAsia="Arial" w:hAnsi="Arial"/>
                <w:sz w:val="18"/>
                <w:szCs w:val="18"/>
                <w:color w:val="auto"/>
                <w:w w:val="92"/>
              </w:rPr>
              <w:t>Plus: Offering costs accrued for and paid in advance, excluded tangible</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book value before this offering</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193,957</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193,957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rPr>
              <w:t>Plus: Proceeds from sale of unit purchase option to underwriters</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w w:val="94"/>
              </w:rPr>
              <w:t>Less: Proceeds held in the trust account subject to conversion/tender</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(46,032,606)</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(53,607,607)</w:t>
            </w:r>
          </w:p>
        </w:tc>
        <w:tc>
          <w:tcPr>
            <w:tcW w:w="0" w:type="dxa"/>
            <w:vAlign w:val="bottom"/>
          </w:tcPr>
          <w:p>
            <w:pPr>
              <w:spacing w:after="0"/>
              <w:rPr>
                <w:sz w:val="1"/>
                <w:szCs w:val="1"/>
                <w:color w:val="auto"/>
              </w:rPr>
            </w:pPr>
          </w:p>
        </w:tc>
      </w:tr>
      <w:tr>
        <w:trPr>
          <w:trHeight w:val="41"/>
        </w:trPr>
        <w:tc>
          <w:tcPr>
            <w:tcW w:w="52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vMerge w:val="restart"/>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2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5,000,004</w:t>
            </w:r>
          </w:p>
        </w:tc>
        <w:tc>
          <w:tcPr>
            <w:tcW w:w="36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rPr>
              <w:t>Shares of common stock outstanding prior to this offering</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1,250,000</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1,437,500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rPr>
              <w:t>Shares of common stock to be sold in this offering</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5,000,000</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5,750,000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rPr>
              <w:t>Shares of common stock to be sold in private placement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402,500</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447,500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rPr>
              <w:t>Less: Shares subject to conversion/tender</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(4,469,185)</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(5,204,622)</w:t>
            </w:r>
          </w:p>
        </w:tc>
        <w:tc>
          <w:tcPr>
            <w:tcW w:w="0" w:type="dxa"/>
            <w:vAlign w:val="bottom"/>
          </w:tcPr>
          <w:p>
            <w:pPr>
              <w:spacing w:after="0"/>
              <w:rPr>
                <w:sz w:val="1"/>
                <w:szCs w:val="1"/>
                <w:color w:val="auto"/>
              </w:rPr>
            </w:pPr>
          </w:p>
        </w:tc>
      </w:tr>
      <w:tr>
        <w:trPr>
          <w:trHeight w:val="41"/>
        </w:trPr>
        <w:tc>
          <w:tcPr>
            <w:tcW w:w="5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2,183,315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2,430,378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ind w:left="800" w:hanging="338"/>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forfeiture of an aggregate of 187,500 insider shares.</w:t>
      </w:r>
    </w:p>
    <w:p>
      <w:pPr>
        <w:spacing w:after="0" w:line="9" w:lineRule="exact"/>
        <w:rPr>
          <w:rFonts w:ascii="Arial" w:cs="Arial" w:eastAsia="Arial" w:hAnsi="Arial"/>
          <w:sz w:val="18"/>
          <w:szCs w:val="18"/>
          <w:color w:val="auto"/>
        </w:rPr>
      </w:pPr>
    </w:p>
    <w:p>
      <w:pPr>
        <w:ind w:left="800" w:hanging="338"/>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not include the units underlying the unit purchase option available to the underwriters.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following table sets forth our capitalization at June 30, 2016 and as adjusted to give effect to the sale of our units offered by this prospectus and the private units and the application of the estimated net proceeds derived from the sale of such securities: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6"/>
                <w:szCs w:val="16"/>
                <w:b w:val="1"/>
                <w:bCs w:val="1"/>
                <w:color w:val="auto"/>
              </w:rPr>
              <w:t>June 30, 2016</w:t>
            </w:r>
          </w:p>
        </w:tc>
        <w:tc>
          <w:tcPr>
            <w:tcW w:w="0" w:type="dxa"/>
            <w:vAlign w:val="bottom"/>
          </w:tcPr>
          <w:p>
            <w:pPr>
              <w:spacing w:after="0"/>
              <w:rPr>
                <w:sz w:val="1"/>
                <w:szCs w:val="1"/>
                <w:color w:val="auto"/>
              </w:rPr>
            </w:pPr>
          </w:p>
        </w:tc>
      </w:tr>
      <w:tr>
        <w:trPr>
          <w:trHeight w:val="220"/>
        </w:trPr>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3"/>
              </w:rPr>
              <w:t>Actual</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Actual</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w w:val="91"/>
              </w:rPr>
              <w:t>As Adjusted</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Notes payable to related and unrelated parties</w:t>
            </w:r>
            <w:r>
              <w:rPr>
                <w:rFonts w:ascii="Arial" w:cs="Arial" w:eastAsia="Arial" w:hAnsi="Arial"/>
                <w:sz w:val="8"/>
                <w:szCs w:val="8"/>
                <w:color w:val="auto"/>
              </w:rPr>
              <w:t>(2)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169,183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186,720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3960" w:type="dxa"/>
            <w:vAlign w:val="bottom"/>
            <w:vMerge w:val="restart"/>
          </w:tcPr>
          <w:p>
            <w:pPr>
              <w:spacing w:after="0"/>
              <w:rPr>
                <w:sz w:val="20"/>
                <w:szCs w:val="20"/>
                <w:color w:val="auto"/>
              </w:rPr>
            </w:pPr>
            <w:r>
              <w:rPr>
                <w:rFonts w:ascii="Arial" w:cs="Arial" w:eastAsia="Arial" w:hAnsi="Arial"/>
                <w:sz w:val="18"/>
                <w:szCs w:val="18"/>
                <w:color w:val="auto"/>
              </w:rPr>
              <w:t>Deferred underwriting commissions payable</w:t>
            </w: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960" w:type="dxa"/>
            <w:vAlign w:val="bottom"/>
            <w:vMerge w:val="restart"/>
          </w:tcPr>
          <w:p>
            <w:pPr>
              <w:spacing w:after="0"/>
              <w:rPr>
                <w:sz w:val="20"/>
                <w:szCs w:val="20"/>
                <w:color w:val="auto"/>
              </w:rPr>
            </w:pPr>
            <w:r>
              <w:rPr>
                <w:rFonts w:ascii="Arial" w:cs="Arial" w:eastAsia="Arial" w:hAnsi="Arial"/>
                <w:sz w:val="18"/>
                <w:szCs w:val="18"/>
                <w:color w:val="auto"/>
                <w:w w:val="99"/>
              </w:rPr>
              <w:t>Common stock, $.001 par value; 0 and 4,469,185</w:t>
            </w: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80"/>
              <w:spacing w:after="0"/>
              <w:rPr>
                <w:sz w:val="20"/>
                <w:szCs w:val="20"/>
                <w:color w:val="auto"/>
              </w:rPr>
            </w:pPr>
            <w:r>
              <w:rPr>
                <w:rFonts w:ascii="Arial" w:cs="Arial" w:eastAsia="Arial" w:hAnsi="Arial"/>
                <w:sz w:val="18"/>
                <w:szCs w:val="18"/>
                <w:color w:val="auto"/>
              </w:rPr>
              <w:t>shares which are subject to conversion/tender</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46,032,606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96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60" w:type="dxa"/>
            <w:vAlign w:val="bottom"/>
          </w:tcPr>
          <w:p>
            <w:pPr>
              <w:spacing w:after="0"/>
              <w:rPr>
                <w:sz w:val="20"/>
                <w:szCs w:val="20"/>
                <w:color w:val="auto"/>
              </w:rPr>
            </w:pPr>
            <w:r>
              <w:rPr>
                <w:rFonts w:ascii="Arial" w:cs="Arial" w:eastAsia="Arial" w:hAnsi="Arial"/>
                <w:sz w:val="18"/>
                <w:szCs w:val="18"/>
                <w:color w:val="auto"/>
                <w:w w:val="97"/>
              </w:rPr>
              <w:t>Preferred stock, $.001 par value, 1,000,000 shares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80"/>
              <w:spacing w:after="0"/>
              <w:rPr>
                <w:sz w:val="20"/>
                <w:szCs w:val="20"/>
                <w:color w:val="auto"/>
              </w:rPr>
            </w:pPr>
            <w:r>
              <w:rPr>
                <w:rFonts w:ascii="Arial" w:cs="Arial" w:eastAsia="Arial" w:hAnsi="Arial"/>
                <w:sz w:val="18"/>
                <w:szCs w:val="18"/>
                <w:color w:val="auto"/>
              </w:rPr>
              <w:t>authorized; none issued and outstanding</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3960" w:type="dxa"/>
            <w:vAlign w:val="bottom"/>
          </w:tcPr>
          <w:p>
            <w:pPr>
              <w:spacing w:after="0"/>
              <w:rPr>
                <w:sz w:val="20"/>
                <w:szCs w:val="20"/>
                <w:color w:val="auto"/>
              </w:rPr>
            </w:pPr>
            <w:r>
              <w:rPr>
                <w:rFonts w:ascii="Arial" w:cs="Arial" w:eastAsia="Arial" w:hAnsi="Arial"/>
                <w:sz w:val="18"/>
                <w:szCs w:val="18"/>
                <w:color w:val="auto"/>
                <w:w w:val="95"/>
              </w:rPr>
              <w:t>Common stock, $.001 par value, 50,000,000 shares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authorized; 1,437,500 shares issued and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w w:val="93"/>
              </w:rPr>
              <w:t>outstanding, actual; 2,183,315</w:t>
            </w:r>
            <w:r>
              <w:rPr>
                <w:rFonts w:ascii="Arial" w:cs="Arial" w:eastAsia="Arial" w:hAnsi="Arial"/>
                <w:sz w:val="8"/>
                <w:szCs w:val="8"/>
                <w:color w:val="auto"/>
                <w:w w:val="93"/>
              </w:rPr>
              <w:t>(3)</w:t>
            </w:r>
            <w:r>
              <w:rPr>
                <w:rFonts w:ascii="Arial" w:cs="Arial" w:eastAsia="Arial" w:hAnsi="Arial"/>
                <w:sz w:val="18"/>
                <w:szCs w:val="18"/>
                <w:color w:val="auto"/>
                <w:w w:val="93"/>
              </w:rPr>
              <w:t xml:space="preserve"> shares issued and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w w:val="92"/>
              </w:rPr>
              <w:t>outstanding (excluding 4,469,185 shares subject to</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80"/>
              <w:spacing w:after="0"/>
              <w:rPr>
                <w:sz w:val="20"/>
                <w:szCs w:val="20"/>
                <w:color w:val="auto"/>
              </w:rPr>
            </w:pPr>
            <w:r>
              <w:rPr>
                <w:rFonts w:ascii="Arial" w:cs="Arial" w:eastAsia="Arial" w:hAnsi="Arial"/>
                <w:sz w:val="18"/>
                <w:szCs w:val="18"/>
                <w:color w:val="auto"/>
              </w:rPr>
              <w:t>possible conversion/tender), as adjusted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5,015,311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6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(10,226)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(17,490)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(17,490)</w:t>
            </w:r>
          </w:p>
        </w:tc>
        <w:tc>
          <w:tcPr>
            <w:tcW w:w="0" w:type="dxa"/>
            <w:vAlign w:val="bottom"/>
          </w:tcPr>
          <w:p>
            <w:pPr>
              <w:spacing w:after="0"/>
              <w:rPr>
                <w:sz w:val="1"/>
                <w:szCs w:val="1"/>
                <w:color w:val="auto"/>
              </w:rPr>
            </w:pPr>
          </w:p>
        </w:tc>
      </w:tr>
      <w:tr>
        <w:trPr>
          <w:trHeight w:val="41"/>
        </w:trPr>
        <w:tc>
          <w:tcPr>
            <w:tcW w:w="3960" w:type="dxa"/>
            <w:vAlign w:val="bottom"/>
            <w:vMerge w:val="restart"/>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960" w:type="dxa"/>
            <w:vAlign w:val="bottom"/>
            <w:vMerge w:val="restart"/>
          </w:tcPr>
          <w:p>
            <w:pPr>
              <w:spacing w:after="0"/>
              <w:rPr>
                <w:sz w:val="20"/>
                <w:szCs w:val="20"/>
                <w:color w:val="auto"/>
              </w:rPr>
            </w:pPr>
            <w:r>
              <w:rPr>
                <w:rFonts w:ascii="Arial" w:cs="Arial" w:eastAsia="Arial" w:hAnsi="Arial"/>
                <w:sz w:val="18"/>
                <w:szCs w:val="18"/>
                <w:color w:val="auto"/>
              </w:rPr>
              <w:t>Total capitalization</w:t>
            </w:r>
          </w:p>
        </w:tc>
        <w:tc>
          <w:tcPr>
            <w:tcW w:w="14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183,957</w:t>
            </w: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194,230</w:t>
            </w:r>
          </w:p>
        </w:tc>
        <w:tc>
          <w:tcPr>
            <w:tcW w:w="100" w:type="dxa"/>
            <w:vAlign w:val="bottom"/>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52,032,610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____________</w:t>
      </w:r>
    </w:p>
    <w:p>
      <w:pPr>
        <w:spacing w:after="0" w:line="185" w:lineRule="exact"/>
        <w:rPr>
          <w:sz w:val="20"/>
          <w:szCs w:val="20"/>
          <w:color w:val="auto"/>
        </w:rPr>
      </w:pPr>
    </w:p>
    <w:p>
      <w:pPr>
        <w:ind w:left="780" w:right="459" w:hanging="318"/>
        <w:spacing w:after="0" w:line="258" w:lineRule="auto"/>
        <w:tabs>
          <w:tab w:leader="none" w:pos="7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$4,025,000 in aggregate we will receive from the sale of the private units. Assumes the over-allotment option has not been exercised.</w:t>
      </w:r>
    </w:p>
    <w:p>
      <w:pPr>
        <w:spacing w:after="0" w:line="1" w:lineRule="exact"/>
        <w:rPr>
          <w:rFonts w:ascii="Arial" w:cs="Arial" w:eastAsia="Arial" w:hAnsi="Arial"/>
          <w:sz w:val="18"/>
          <w:szCs w:val="18"/>
          <w:color w:val="auto"/>
        </w:rPr>
      </w:pPr>
    </w:p>
    <w:p>
      <w:pPr>
        <w:jc w:val="both"/>
        <w:ind w:left="780" w:right="459" w:hanging="318"/>
        <w:spacing w:after="0" w:line="250" w:lineRule="auto"/>
        <w:tabs>
          <w:tab w:leader="none" w:pos="7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Notes payable to a related party of $131,720 and unrelated party of $55,000 are promissory notes issued in the aggregate amount of $186,720. The loans are payable without interest no later than the date on which our offering is consummated.</w:t>
      </w:r>
    </w:p>
    <w:p>
      <w:pPr>
        <w:spacing w:after="0" w:line="1" w:lineRule="exact"/>
        <w:rPr>
          <w:rFonts w:ascii="Arial" w:cs="Arial" w:eastAsia="Arial" w:hAnsi="Arial"/>
          <w:sz w:val="18"/>
          <w:szCs w:val="18"/>
          <w:color w:val="auto"/>
        </w:rPr>
      </w:pPr>
    </w:p>
    <w:p>
      <w:pPr>
        <w:ind w:left="780" w:right="459" w:hanging="318"/>
        <w:spacing w:after="0" w:line="261" w:lineRule="auto"/>
        <w:tabs>
          <w:tab w:leader="none" w:pos="7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187,500 insider shares have been forfeited by our insiders as a result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7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were formed on April 23, 2015 for the purpose of entering into a merger, share exchange, asset acquisition, stock purchase, recapitalization, reorganization or other similar business combination with one or more target businesses. Our efforts to identify a prospective target business will not be limited to any particular industry or geographic region, although we intend to focus on target businesses operating in the technology, media and telecommunications industries. We intend to utilize cash derived from the proceeds of this offering and the private placement of the private units, our securities, debt or a combination of cash, securities and debt, in effecting our initial business combination. The issuance of additional shares of common stock or preferred stock in our initial business combination:</w:t>
      </w:r>
    </w:p>
    <w:p>
      <w:pPr>
        <w:spacing w:after="0" w:line="152" w:lineRule="exact"/>
        <w:rPr>
          <w:sz w:val="20"/>
          <w:szCs w:val="20"/>
          <w:color w:val="auto"/>
        </w:rPr>
      </w:pPr>
    </w:p>
    <w:p>
      <w:pPr>
        <w:ind w:left="1120" w:right="459" w:hanging="333"/>
        <w:spacing w:after="0" w:line="277" w:lineRule="auto"/>
        <w:tabs>
          <w:tab w:leader="none" w:pos="1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significantly dilute the equity interest of our investors in this offering who would not have pre-emption rights in respect of any such issuance;</w:t>
      </w:r>
    </w:p>
    <w:p>
      <w:pPr>
        <w:spacing w:after="0" w:line="129" w:lineRule="exact"/>
        <w:rPr>
          <w:rFonts w:ascii="Arial" w:cs="Arial" w:eastAsia="Arial" w:hAnsi="Arial"/>
          <w:sz w:val="18"/>
          <w:szCs w:val="18"/>
          <w:color w:val="auto"/>
        </w:rPr>
      </w:pPr>
    </w:p>
    <w:p>
      <w:pPr>
        <w:ind w:left="1120" w:right="459" w:hanging="333"/>
        <w:spacing w:after="0" w:line="277" w:lineRule="auto"/>
        <w:tabs>
          <w:tab w:leader="none" w:pos="11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129" w:lineRule="exact"/>
        <w:rPr>
          <w:rFonts w:ascii="Arial" w:cs="Arial" w:eastAsia="Arial" w:hAnsi="Arial"/>
          <w:sz w:val="18"/>
          <w:szCs w:val="18"/>
          <w:color w:val="auto"/>
        </w:rPr>
      </w:pPr>
    </w:p>
    <w:p>
      <w:pPr>
        <w:jc w:val="both"/>
        <w:ind w:left="1120" w:right="459" w:hanging="333"/>
        <w:spacing w:after="0" w:line="312" w:lineRule="auto"/>
        <w:tabs>
          <w:tab w:leader="none" w:pos="1114"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19" w:lineRule="exact"/>
        <w:rPr>
          <w:rFonts w:ascii="Arial" w:cs="Arial" w:eastAsia="Arial" w:hAnsi="Arial"/>
          <w:sz w:val="16"/>
          <w:szCs w:val="16"/>
          <w:color w:val="auto"/>
        </w:rPr>
      </w:pPr>
    </w:p>
    <w:p>
      <w:pPr>
        <w:ind w:left="1080" w:hanging="293"/>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Similarly, if we issue debt securities, it could result in:</w:t>
      </w:r>
    </w:p>
    <w:p>
      <w:pPr>
        <w:spacing w:after="0" w:line="185" w:lineRule="exact"/>
        <w:rPr>
          <w:sz w:val="20"/>
          <w:szCs w:val="20"/>
          <w:color w:val="auto"/>
        </w:rPr>
      </w:pPr>
    </w:p>
    <w:p>
      <w:pPr>
        <w:ind w:left="1120" w:right="459" w:hanging="333"/>
        <w:spacing w:after="0" w:line="277" w:lineRule="auto"/>
        <w:tabs>
          <w:tab w:leader="none" w:pos="10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our initial business combination are insufficient to pay our debt obligations;</w:t>
      </w:r>
    </w:p>
    <w:p>
      <w:pPr>
        <w:spacing w:after="0" w:line="143" w:lineRule="exact"/>
        <w:rPr>
          <w:rFonts w:ascii="Arial" w:cs="Arial" w:eastAsia="Arial" w:hAnsi="Arial"/>
          <w:sz w:val="18"/>
          <w:szCs w:val="18"/>
          <w:color w:val="auto"/>
        </w:rPr>
      </w:pPr>
    </w:p>
    <w:p>
      <w:pPr>
        <w:jc w:val="both"/>
        <w:ind w:left="1120" w:right="459" w:hanging="333"/>
        <w:spacing w:after="0" w:line="259" w:lineRule="auto"/>
        <w:tabs>
          <w:tab w:leader="none" w:pos="10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46" w:lineRule="exact"/>
        <w:rPr>
          <w:rFonts w:ascii="Arial" w:cs="Arial" w:eastAsia="Arial" w:hAnsi="Arial"/>
          <w:sz w:val="18"/>
          <w:szCs w:val="18"/>
          <w:color w:val="auto"/>
        </w:rPr>
      </w:pPr>
    </w:p>
    <w:p>
      <w:pPr>
        <w:ind w:left="1120" w:right="459" w:hanging="333"/>
        <w:spacing w:after="0" w:line="277"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29" w:lineRule="exact"/>
        <w:rPr>
          <w:rFonts w:ascii="Arial" w:cs="Arial" w:eastAsia="Arial" w:hAnsi="Arial"/>
          <w:sz w:val="18"/>
          <w:szCs w:val="18"/>
          <w:color w:val="auto"/>
        </w:rPr>
      </w:pPr>
    </w:p>
    <w:p>
      <w:pPr>
        <w:ind w:left="1120" w:right="459" w:hanging="333"/>
        <w:spacing w:after="0" w:line="308" w:lineRule="auto"/>
        <w:tabs>
          <w:tab w:leader="none" w:pos="1292"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inability to obtain additional financing, if necessary, if the debt security contains covenants restricting our ability to obtain additional financing while such security is outstanding; and</w:t>
      </w:r>
    </w:p>
    <w:p>
      <w:pPr>
        <w:spacing w:after="0" w:line="119" w:lineRule="exact"/>
        <w:rPr>
          <w:rFonts w:ascii="Arial" w:cs="Arial" w:eastAsia="Arial" w:hAnsi="Arial"/>
          <w:sz w:val="17"/>
          <w:szCs w:val="17"/>
          <w:color w:val="auto"/>
        </w:rPr>
      </w:pPr>
    </w:p>
    <w:p>
      <w:pPr>
        <w:jc w:val="both"/>
        <w:ind w:left="1120" w:right="459" w:hanging="333"/>
        <w:spacing w:after="0" w:line="264" w:lineRule="auto"/>
        <w:tabs>
          <w:tab w:leader="none" w:pos="10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41"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We have neither engaged in any operations nor generated any revenues to date. Our entire activity since inception has been to prepare for our proposed fundraising through an offering of our equity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As indicated in the accompanying financial statements, at June 30, 2016, we had $273 in cash and a working capital deficiency of $186,447. Management’s plans to address this uncertainty through this offering are discussed above. Our plans to raise capital or to consummate our initial business combination may not be successful. These factors, among others, raise substantial doubt about our ability to continue as a going concern.</w:t>
      </w:r>
    </w:p>
    <w:p>
      <w:pPr>
        <w:spacing w:after="0" w:line="12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liquidity needs have been satisfied to date through receipt of $25,000 from the sale of the insider shares and loans from insiders, a related party and an unrelated party in an aggregate amount of $186,720 that are more fully described below. Our expenses through the date of this prospectus have been $17,490. We estimate that the net proceeds from (1) the sale of the units in this offering, after deducting offering expenses of approximately $500,000 and underwriting discounts and commissions of $2,500,000 (or $2,875,000 if the over-allotment option is exercised in full) and (2) the sale of the private units for an aggregate purchase price of $4,025,000 (or $4,475,000 if the over-allotment option is exercised in full), will be $51,025,000 (or $58,600,000 if the over-allotment option is exercised in full). $51,500,000 (or $59,225,000 if the over-allotment option is exercised in full), which includes $1,000,000 of deferred underwriting commissions ($1,150,000 if the underwriter’s over-allotment option is exercised in full) will be held in the trust account. The remaining $525,000 will not be held in the trust account.</w:t>
      </w:r>
    </w:p>
    <w:p>
      <w:pPr>
        <w:spacing w:after="0" w:line="142"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intend to use substantially all of the net proceeds of this offering, including the funds held in the trust account, in connection with our initial business combination and to pay our expenses relating thereto, including a deferred underwriting commission payable to the underwriters in an amount equal to 2.0% of the total gross proceeds raised in the offering upon consummation of our initial business combination. To the extent that our capital stock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32"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We believe that, upon consummation of this offering, the $525,000 of net proceeds not held in the trust account and the interest earned on the trust account balance (net of income, and other tax obligations) that may be released to us to fund our working capital requirements, which we anticipate will be approximately $87,500, will be sufficient to allow us to operate for at least the next 21 months, assuming that a business combination is not consummated during that time. Over this time period, we will be using these funds for identifying and evaluating prospective business combination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consummate our initial business combination with and structuring, negotiating and consummating the business combination. We anticipate that we will incur approximately:</w:t>
      </w:r>
    </w:p>
    <w:p>
      <w:pPr>
        <w:spacing w:after="0" w:line="142" w:lineRule="exact"/>
        <w:rPr>
          <w:sz w:val="20"/>
          <w:szCs w:val="20"/>
          <w:color w:val="auto"/>
        </w:rPr>
      </w:pPr>
    </w:p>
    <w:p>
      <w:pPr>
        <w:jc w:val="both"/>
        <w:ind w:left="1120" w:right="459" w:hanging="333"/>
        <w:spacing w:after="0" w:line="264" w:lineRule="auto"/>
        <w:tabs>
          <w:tab w:leader="none" w:pos="11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$150,000 of expenses for the search for target businesses and for the legal, accounting and other third-party expenses attendant to the due diligence investigations, structuring and negotiating of our initial business combination;</w:t>
      </w:r>
    </w:p>
    <w:p>
      <w:pPr>
        <w:spacing w:after="0" w:line="140" w:lineRule="exact"/>
        <w:rPr>
          <w:rFonts w:ascii="Arial" w:cs="Arial" w:eastAsia="Arial" w:hAnsi="Arial"/>
          <w:sz w:val="18"/>
          <w:szCs w:val="18"/>
          <w:color w:val="auto"/>
        </w:rPr>
      </w:pPr>
    </w:p>
    <w:p>
      <w:pPr>
        <w:ind w:left="1120" w:right="459" w:hanging="333"/>
        <w:spacing w:after="0" w:line="277"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$10,000 of expenses for the due diligence and investigation of a target business by our officers, directors and insiders;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$40,000 of expenses in legal and accounting fees relating to our SEC reporting obligations;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1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$210,000 for the payment of the administrative fee to Magna Management LLC (of $10,000 per month for up to 21 months), subject to deferral as described herein;</w:t>
      </w:r>
    </w:p>
    <w:p>
      <w:pPr>
        <w:spacing w:after="0" w:line="129" w:lineRule="exact"/>
        <w:rPr>
          <w:rFonts w:ascii="Arial" w:cs="Arial" w:eastAsia="Arial" w:hAnsi="Arial"/>
          <w:sz w:val="18"/>
          <w:szCs w:val="18"/>
          <w:color w:val="auto"/>
        </w:rPr>
      </w:pPr>
    </w:p>
    <w:p>
      <w:pPr>
        <w:ind w:left="1120" w:right="459" w:hanging="333"/>
        <w:spacing w:after="0" w:line="308" w:lineRule="auto"/>
        <w:tabs>
          <w:tab w:leader="none" w:pos="1323" w:val="left"/>
        </w:tabs>
        <w:numPr>
          <w:ilvl w:val="0"/>
          <w:numId w:val="26"/>
        </w:numPr>
        <w:rPr>
          <w:rFonts w:ascii="Arial" w:cs="Arial" w:eastAsia="Arial" w:hAnsi="Arial"/>
          <w:sz w:val="17"/>
          <w:szCs w:val="17"/>
          <w:color w:val="auto"/>
        </w:rPr>
      </w:pPr>
      <w:r>
        <w:rPr>
          <w:rFonts w:ascii="Arial" w:cs="Arial" w:eastAsia="Arial" w:hAnsi="Arial"/>
          <w:sz w:val="17"/>
          <w:szCs w:val="17"/>
          <w:color w:val="auto"/>
        </w:rPr>
        <w:t>$115,000 for general working capital that will be used for miscellaneous expenses, liquidation obligations and reserves, including director and officer liability insurance premiums.</w:t>
      </w:r>
    </w:p>
    <w:p>
      <w:pPr>
        <w:spacing w:after="0" w:line="10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If our estimates of the costs of undertaking due diligence and negotiating our initial business combination are less than the actual amount necessary to do so, or the amount of interest available to us from the trust account is less than we expect as a result of the current interest rate environment, we may have insufficient funds available to operate our business prior to our initial business combination. Moreover, we may need to obtain additional financing either to consummate our initial business combination or because we become obligated to convert a significant number of our public shares upon consummation of our initial business combination, in which case we may issue additional securities or incur debt in connection with such business</w:t>
      </w:r>
    </w:p>
    <w:p>
      <w:pPr>
        <w:sectPr>
          <w:pgSz w:w="11900" w:h="16838" w:orient="portrait"/>
          <w:cols w:equalWidth="0" w:num="1">
            <w:col w:w="9019"/>
          </w:cols>
          <w:pgMar w:left="1440" w:top="337" w:right="1440" w:bottom="1440" w:gutter="0" w:footer="0" w:header="0"/>
        </w:sectPr>
      </w:pP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1" w:name="page52"/>
    <w:bookmarkEnd w:id="51"/>
    <w:p>
      <w:pPr>
        <w:jc w:val="both"/>
        <w:ind w:left="460" w:right="459"/>
        <w:spacing w:after="0" w:line="259" w:lineRule="auto"/>
        <w:rPr>
          <w:sz w:val="20"/>
          <w:szCs w:val="20"/>
          <w:color w:val="auto"/>
        </w:rPr>
      </w:pPr>
      <w:r>
        <w:rPr>
          <w:rFonts w:ascii="Arial" w:cs="Arial" w:eastAsia="Arial" w:hAnsi="Arial"/>
          <w:sz w:val="18"/>
          <w:szCs w:val="18"/>
          <w:color w:val="auto"/>
        </w:rPr>
        <w:t>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Transactions</w:t>
      </w:r>
    </w:p>
    <w:p>
      <w:pPr>
        <w:spacing w:after="0" w:line="20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As of June 30, 2016, M SPAC LLC, an entity controlled by Joshua Sason, our Chief Executive Officer, had loaned to us $131,720 to cover expenses related to this offering. The loan is payable without interest on the earlier of (i) the consummation of the Proposed Public Offering or (ii) the date on which the Company determines not to proceed with the Proposed Public Offering.</w:t>
      </w:r>
    </w:p>
    <w:p>
      <w:pPr>
        <w:spacing w:after="0" w:line="146"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are obligated, commencing on the date of this prospectus, to pay Magna Management LLC, a company owned by our insiders, a monthly fee of $10,000 for general and administrative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w:t>
      </w:r>
    </w:p>
    <w:p>
      <w:pPr>
        <w:spacing w:after="0" w:line="13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M SPAC LLC, M SPAC Holdings I LLC and M SPAC Holdings II LLC, entities controlled by Joshua Sason, our Chief Executive Officer, (and/or its designees) has committed that they will purchase an aggregate of 402,500 private units at $10.00 per private unit (for a total purchase price of $4,025,000) from us. These purchases will take place on a private placement basis simultaneously with the consummation of this offering. M SPAC LLC, M SPAC Holdings I LLC and M SPAC Holdings II LLC have also agreed that if the over-allotment option is exercised by the underwriters in full or in part, they will purchase from us at a price of $10.00 per unit the number of private units (up to a maximum of 45,000 private units) that is necessary to maintain in the trust account an amount equal to $10.30 per share of common stock sold to the public in this offering. These additional private units will be purchased in a private placement that will occur simultaneously with the purchase of units resulting from the exercise of the over-allotment option.</w:t>
      </w:r>
    </w:p>
    <w:p>
      <w:pPr>
        <w:spacing w:after="0" w:line="15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do not believe we will need to raise additional funds following this offering in order to meet the expenditures required for operating our business. However, in order to finance transaction costs in connection with an intended initial business combination, our insiders,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either be paid upon consummation of our initial business combination, without interest, or, at the lender’s discretion, up to $200,000 of the notes may be converted upon consummation of our business combination into additional private units at a price of $10.00 per unit. If we do not complete a business combination, any other outstanding loans from our insiders, officers and directors or their affiliates, will be repaid only from amounts remaining outside our trust account, if any. We believe the purchase price of these units will approximate the fair value of such units when issued. However, if it is determined that, at the time of issuance, the fair value of such units exceeds the purchase price, we would record compensation expense for the excess of the fair value of the units on the day of issuance over the purchase price in accordance with ASC 718 — Compensation — Stock Compensation.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are not currently required to maintain an effective system of internal control as defined by Section 404 of the Sarbanes-Oxley Act. We will be required to comply with the internal control requirements of the Sarbanes-Oxley Act for the fiscal year ending December 31, 2017. As of the date of this prospectus, we have not completed an assessment, nor has our independent registered public accounting firm tested our systems, of internal control. We expect to assess the internal control of our target business or businesses prior to the completion of our initial business combination and, if necessary, to implement and test additional controls as we may determine are necessary in order to state that we maintain an effective system of internal control. A target business may not be in compliance with the provisions of the Sarbanes-Oxley Act regarding the adequacy of internal control. Target businesses we may consider for our initial business combination may have internal controls that need improvement in areas such as:</w:t>
      </w:r>
    </w:p>
    <w:p>
      <w:pPr>
        <w:spacing w:after="0" w:line="137" w:lineRule="exact"/>
        <w:rPr>
          <w:sz w:val="20"/>
          <w:szCs w:val="20"/>
          <w:color w:val="auto"/>
        </w:rPr>
      </w:pPr>
    </w:p>
    <w:p>
      <w:pPr>
        <w:ind w:left="1080" w:hanging="293"/>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ectPr>
          <w:pgSz w:w="11900" w:h="16838" w:orient="portrait"/>
          <w:cols w:equalWidth="0" w:num="1">
            <w:col w:w="9019"/>
          </w:cols>
          <w:pgMar w:left="1440" w:top="301"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52" w:name="page53"/>
    <w:bookmarkEnd w:id="52"/>
    <w:p>
      <w:pPr>
        <w:ind w:left="1080" w:hanging="293"/>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pacing w:after="0" w:line="196" w:lineRule="exact"/>
        <w:rPr>
          <w:rFonts w:ascii="Arial" w:cs="Arial" w:eastAsia="Arial" w:hAnsi="Arial"/>
          <w:sz w:val="17"/>
          <w:szCs w:val="17"/>
          <w:color w:val="auto"/>
        </w:rPr>
      </w:pPr>
    </w:p>
    <w:p>
      <w:pPr>
        <w:ind w:left="1080" w:hanging="293"/>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8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6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When required by Section 404 and once our management’s report on internal control is complete, we will retain our independent registered public accounting firm to audit and render an opinion on such report. This independent registered public accounting firm may identify additional issues concerning a target business’s internal control while performing its audit of internal control over financial reporting.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net proceeds of this offering and the sale of the private units held in the trust account will be invested in U.S. government treasury bills with a maturity of 180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20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As of June 30, 2016, we did not have any off-balance sheet arrangements as defined in Item 303(a)(4)(ii) of Regulation S-K and did not have any commitments or contractual obligations. No unaudited quarterly operating data is included in this prospectus as we have conducted no operations to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JOBS Act</w:t>
      </w:r>
    </w:p>
    <w:p>
      <w:pPr>
        <w:spacing w:after="0" w:line="202"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On September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26" w:lineRule="exact"/>
        <w:rPr>
          <w:sz w:val="20"/>
          <w:szCs w:val="20"/>
          <w:color w:val="auto"/>
        </w:rPr>
      </w:pPr>
    </w:p>
    <w:p>
      <w:pPr>
        <w:jc w:val="both"/>
        <w:ind w:left="460" w:right="459"/>
        <w:spacing w:after="0" w:line="252"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w:t>
      </w:r>
    </w:p>
    <w:p>
      <w:pPr>
        <w:spacing w:after="0" w:line="189"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We are a blank check company formed under the laws of the State of Delaware on April 23, 2015. We were formed for the purpose of entering into a merger, share exchange, asset acquisition, stock purchase, recapitalization, reorganization or other similar business combination, with one or more target businesses. To date, our efforts have been limited to organizational activities as well as activities related to this offering. Our efforts to identify a prospective target business will not be limited to any particular industry or geographic region, although we intend to focus our search on target businesses operating in the technology, media and telecommunications industries. We have not selected any target business for our initial business combination and we have not (nor has anyone on our behalf), directly or indirectly, engaged in any substantive discussions with a target business with respect to a business combination transaction with us.</w:t>
      </w:r>
    </w:p>
    <w:p>
      <w:pPr>
        <w:spacing w:after="0" w:line="140"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believe our management team is well positioned to take advantage of investment opportunities in the technology, media and telecommunications industries, and that our contacts and sources in this sector will allow us to generate attractive business combination opportunities. In addition, our management has longstanding relationships and affiliations with key companies operating in our target industries, including Sony Entertainment, Miramax Films, Dimension Films, Open Roads Films, Columbia Records, and London Records (acquired by Universal Music Group). They also have extensive experience in identifying, negotiating with and conducting due diligence on companies targeted for acquisition and consummating acquisitions in the technology, media and telecommunications industries. Prior to the consummation of our initial business combination, we will seek to capitalize on management’s experience in the technology, media and telecommunications industries. Led by our Chief Executive Officer, Joshua Sason, we believe that we are in a position to bring substantial value to any relevant potential target company. Joshua Sason, through Magna Entertainment, has produced four feature films, including the latest feature film, “Bleed for This”, which was a collaboration with Open Road Films in the United States and Sony Entertainment internationally that launched marketing in July and is scheduled for release in late 2016. “Bleed for This” was executive produced by Martin Scorsese, was written and directed by Ben Younger, and produced by Bruce Cohen and Emma Tillinger Koskoff.</w:t>
      </w:r>
    </w:p>
    <w:p>
      <w:pPr>
        <w:spacing w:after="0" w:line="14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Subsequent to the consummation of our initial business combination, we believe that the strengths of our management team, particularly their extensive operations experience in the technology, media and telecommunications industries, will be valuable to any business in the technology, media and telecommunications industries with which we consummate our initial business combination, although the specific roles, if any, they may have following our initial business combination cannot be determined at this time.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Strengths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competitive strengths to be the following: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Status as a public company</w:t>
      </w:r>
    </w:p>
    <w:p>
      <w:pPr>
        <w:spacing w:after="0" w:line="19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In this situation, the owners of the target business would exchange their shares of stock in the target business for shares of our stock or for a combination of shares of our stock and cash, allowing us to tailor the consideration to the specific needs of the sellers. We believe target businesses might find this method a more certain and cost effective method to becoming a public company than the typical initial public offering. In a typical initial public offering, there are additional expenses incurred in marketing, roadshow and public reporting efforts that will likely not be present to the same extent in connection with a business combination with us. Furthermore, once the business combination is consummated, the target business will have effectively become public, whereas an initial public offering is always subject to the underwriters’ ability to complete the offering, as well as general market conditions that could prevent the offering from occurring. Once public, we believe the target business would then have greater access to capital and an additional means of providing management incentives consistent with stockholders’ interests than it would have as a privately-held company. It can offer further benefits by augmenting a company’s profile among potential new customers and vendors and aid in attracting talented employees.</w:t>
      </w:r>
    </w:p>
    <w:p>
      <w:pPr>
        <w:spacing w:after="0" w:line="12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While we believe that our status as a public company will make us an attractive business partner, some potential target businesses may view the inherent limitations in our status as a blank check company, such as our lack of an operating history and our requirements to seek stockholder approval of any proposed initial business combination and provide holders of public shares the opportunity to convert their shares into cash from the trust account, as a deterrent and may prefer to effect a business combination with a more established entity or with a private company.</w:t>
      </w:r>
    </w:p>
    <w:p>
      <w:pPr>
        <w:sectPr>
          <w:pgSz w:w="11900" w:h="16838" w:orient="portrait"/>
          <w:cols w:equalWidth="0" w:num="1">
            <w:col w:w="9019"/>
          </w:cols>
          <w:pgMar w:left="1440" w:top="337" w:right="1440" w:bottom="1440" w:gutter="0" w:footer="0" w:header="0"/>
        </w:sectPr>
      </w:pP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4" w:name="page55"/>
    <w:bookmarkEnd w:id="54"/>
    <w:p>
      <w:pPr>
        <w:ind w:left="460"/>
        <w:spacing w:after="0"/>
        <w:rPr>
          <w:sz w:val="20"/>
          <w:szCs w:val="20"/>
          <w:color w:val="auto"/>
        </w:rPr>
      </w:pPr>
      <w:r>
        <w:rPr>
          <w:rFonts w:ascii="Arial" w:cs="Arial" w:eastAsia="Arial" w:hAnsi="Arial"/>
          <w:sz w:val="18"/>
          <w:szCs w:val="18"/>
          <w:i w:val="1"/>
          <w:iCs w:val="1"/>
          <w:color w:val="auto"/>
        </w:rPr>
        <w:t>Transaction flexibility</w:t>
      </w:r>
    </w:p>
    <w:p>
      <w:pPr>
        <w:spacing w:after="0" w:line="185"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offer a target business a variety of options such as providing the owners of a target business with shares in a public company and a public means to sell such shares, providing cash for stock, and providing capital for the potential growth and expansion of its operations or strengthening its balance sheet by reducing its debt ratio. Because we are able to consummate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since we have no specific business combination under consideration, we have not taken any steps to secure third party financing and it may not be available to us.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Weaknesses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competitive weaknesses to be the following:</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Limited Financial Resources</w:t>
      </w:r>
    </w:p>
    <w:p>
      <w:pPr>
        <w:spacing w:after="0" w:line="185" w:lineRule="exact"/>
        <w:rPr>
          <w:sz w:val="20"/>
          <w:szCs w:val="20"/>
          <w:color w:val="auto"/>
        </w:rPr>
      </w:pPr>
    </w:p>
    <w:p>
      <w:pPr>
        <w:jc w:val="both"/>
        <w:ind w:left="1120" w:right="459"/>
        <w:spacing w:after="0" w:line="259" w:lineRule="auto"/>
        <w:rPr>
          <w:sz w:val="20"/>
          <w:szCs w:val="20"/>
          <w:color w:val="auto"/>
        </w:rPr>
      </w:pPr>
      <w:r>
        <w:rPr>
          <w:rFonts w:ascii="Arial" w:cs="Arial" w:eastAsia="Arial" w:hAnsi="Arial"/>
          <w:sz w:val="18"/>
          <w:szCs w:val="18"/>
          <w:color w:val="auto"/>
        </w:rPr>
        <w:t>Our financial reserves will be relatively limited when contrasted with those of venture capital firms, leveraged buyout firms and operating businesses competing for acquisitions. In addition, our financial resources could be reduced because of our obligation to convert shares held by our public stockholders as well as any tender offer we conduct.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Lack of experience with blank check companies</w:t>
      </w:r>
    </w:p>
    <w:p>
      <w:pPr>
        <w:spacing w:after="0" w:line="185" w:lineRule="exact"/>
        <w:rPr>
          <w:sz w:val="20"/>
          <w:szCs w:val="20"/>
          <w:color w:val="auto"/>
        </w:rPr>
      </w:pPr>
    </w:p>
    <w:p>
      <w:pPr>
        <w:jc w:val="both"/>
        <w:ind w:left="1120" w:right="459"/>
        <w:spacing w:after="0" w:line="302" w:lineRule="auto"/>
        <w:rPr>
          <w:sz w:val="20"/>
          <w:szCs w:val="20"/>
          <w:color w:val="auto"/>
        </w:rPr>
      </w:pPr>
      <w:r>
        <w:rPr>
          <w:rFonts w:ascii="Arial" w:cs="Arial" w:eastAsia="Arial" w:hAnsi="Arial"/>
          <w:sz w:val="16"/>
          <w:szCs w:val="16"/>
          <w:color w:val="auto"/>
        </w:rPr>
        <w:t>Our management team is not experienced in pursuing business combinations on behalf of blank check companies. Other blank check companies may be sponsored and managed by individuals with prior experience in completing business combinations between blank check companies and target businesses. Our managements’ lack of experience may not be viewed favorably by target businesses.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Limited technical and human resources</w:t>
      </w:r>
    </w:p>
    <w:p>
      <w:pPr>
        <w:spacing w:after="0" w:line="198" w:lineRule="exact"/>
        <w:rPr>
          <w:sz w:val="20"/>
          <w:szCs w:val="20"/>
          <w:color w:val="auto"/>
        </w:rPr>
      </w:pPr>
    </w:p>
    <w:p>
      <w:pPr>
        <w:jc w:val="both"/>
        <w:ind w:left="1120" w:right="459"/>
        <w:spacing w:after="0" w:line="312" w:lineRule="auto"/>
        <w:rPr>
          <w:sz w:val="20"/>
          <w:szCs w:val="20"/>
          <w:color w:val="auto"/>
        </w:rPr>
      </w:pPr>
      <w:r>
        <w:rPr>
          <w:rFonts w:ascii="Arial" w:cs="Arial" w:eastAsia="Arial" w:hAnsi="Arial"/>
          <w:sz w:val="16"/>
          <w:szCs w:val="16"/>
          <w:color w:val="auto"/>
        </w:rPr>
        <w:t>As a blank check company, we have limited technical and human resources. Many venture capital funds, leveraged buyout firms and operating businesses possess greater technical and human resources than we do and thus we may be at a disadvantage when competing with them for target businesses.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Delay associated with stockholder approval or tender offer</w:t>
      </w:r>
    </w:p>
    <w:p>
      <w:pPr>
        <w:spacing w:after="0" w:line="185" w:lineRule="exact"/>
        <w:rPr>
          <w:sz w:val="20"/>
          <w:szCs w:val="20"/>
          <w:color w:val="auto"/>
        </w:rPr>
      </w:pPr>
    </w:p>
    <w:p>
      <w:pPr>
        <w:jc w:val="both"/>
        <w:ind w:left="1120" w:right="459"/>
        <w:spacing w:after="0" w:line="272" w:lineRule="auto"/>
        <w:rPr>
          <w:sz w:val="20"/>
          <w:szCs w:val="20"/>
          <w:color w:val="auto"/>
        </w:rPr>
      </w:pPr>
      <w:r>
        <w:rPr>
          <w:rFonts w:ascii="Arial" w:cs="Arial" w:eastAsia="Arial" w:hAnsi="Arial"/>
          <w:sz w:val="17"/>
          <w:szCs w:val="17"/>
          <w:color w:val="auto"/>
        </w:rPr>
        <w:t>We may be required to seek stockholder approval of our initial business combination. If we are not required to obtain stockholder approval of an initial business combination, we will allow our stockholders to sell their shares to us pursuant to a tender offer. Both seeking stockholder approval and conducting a tender offer will delay the consummation of our initial business combination. Other companies competing with us for acquisition opportunities may not be subject to similar requirement, or may be able to satisfy such requirements more quickly than we can. As a result, we may be at a disadvantage in competing for these opportunities.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19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are not presently engaged in, and we will not engage in, any substantive commercial business for an indefinite period of time following this offering. We intend to utilize cash derived from the proceeds of this offering and the private placement of private units, our capital stock, debt or a combination of these in effecting our initial business combination. Although substantially all of the net proceeds of this offering and the private placement of private units are intended to be applied generally toward effecting a business combination as described in this prospectus, the proceeds are not otherwise being designated for any more specific purposes. Accordingly, investors in this offering are investing without first having an opportunity to evaluate the specific merits or risks of any one or more business combinations. Our initial business combination may involve the acquisition of, or merger with, a company which does not need substantial additional capital but which desires to establish a public trading market for its shares.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ectPr>
          <w:pgSz w:w="11900" w:h="16838" w:orient="portrait"/>
          <w:cols w:equalWidth="0" w:num="1">
            <w:col w:w="9019"/>
          </w:cols>
          <w:pgMar w:left="1440" w:top="341" w:right="1440" w:bottom="1440" w:gutter="0" w:footer="0" w:header="0"/>
        </w:sectPr>
      </w:pP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55" w:name="page56"/>
    <w:bookmarkEnd w:id="55"/>
    <w:p>
      <w:pPr>
        <w:ind w:left="460"/>
        <w:spacing w:after="0"/>
        <w:rPr>
          <w:sz w:val="20"/>
          <w:szCs w:val="20"/>
          <w:color w:val="auto"/>
        </w:rPr>
      </w:pPr>
      <w:r>
        <w:rPr>
          <w:rFonts w:ascii="Arial" w:cs="Arial" w:eastAsia="Arial" w:hAnsi="Arial"/>
          <w:sz w:val="18"/>
          <w:szCs w:val="18"/>
          <w:i w:val="1"/>
          <w:iCs w:val="1"/>
          <w:color w:val="auto"/>
        </w:rPr>
        <w:t>We Have Not Identified a Target Business</w:t>
      </w:r>
    </w:p>
    <w:p>
      <w:pPr>
        <w:spacing w:after="0" w:line="185"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We have not selected any target business for our initial business combination and we have not (nor has anyone on our behalf), directly or indirectly, engaged in any substantive discussions with a target business with respect to a business combination transaction with us. As a result, we may not be able to locate a target business, and we may not be able to engage in a business combination with a target business on favorable terms or at all.</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Sources of Target Businesses</w:t>
      </w:r>
    </w:p>
    <w:p>
      <w:pPr>
        <w:spacing w:after="0" w:line="198"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While we have not yet identified any initial business combination candidates, we believe based on our management’s business knowledge and past experience that there are numerous business combination candidates. We anticipate that target business candidates will be brought to our attention from various unaffiliated sources, including investment bankers, venture capital funds, private equity funds, leveraged buyout funds, management buyout funds and other members of the financial community.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 read this prospectus and know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We may engage professional firms or other individuals that specialize in business acquisitions or mergers in the future, in which event we may pay a finder’s fee, consulting fee or other compensation to be determined in an arm’s length negotiation based on the terms of the transaction. In no event, however, will our insiders or any of the members of our management team be paid any finder’s fee, consulting fee or other compensation prior to, or for any services they render in order to effectuate, the consummation of our initial business combination (regardless of the type of transaction that it is). We have no present intention to enter into a business combination with a target business that is affiliated with any of our officers, directors, director nominees or insiders. However, we are not restricted from entering into any such transactions and may do so if (1) such transaction is approved by a majority of our disinterested and independent directors (if we have any at that time) and (2) we obtain an opinion from an independent investment banking firm that the business combination is fair to our unaffiliated stockholders from a financial point of view. As of the date of this prospectus, there are no affiliated entities that we would consider as a business combination target.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Selection of a Target Business and Structuring of Our Initial Business Combination</w:t>
      </w:r>
    </w:p>
    <w:p>
      <w:pPr>
        <w:spacing w:after="0" w:line="185"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Subject to our management team’s fiduciary duties and the limitation that one or more target businesses have an aggregate fair market value of at least 80% of the value of the trust account (excluding any deferred underwriter’s fees and taxes payable on the income earned on the trust account) at the time of the execution of a definitive agreement for our initial business combination, as described below in more detail, our management will have virtually unrestricted flexibility in identifying and selecting a prospective target business. Additionally, there is no limitation on our ability to raise funds privately or through loans in connection with our initial business combination. We have not established any specific attributes or criteria (financial or otherwise) for prospective target businesses.</w:t>
      </w:r>
    </w:p>
    <w:p>
      <w:pPr>
        <w:spacing w:after="0" w:line="152"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Accordingly, there is no basis for investors in this offering to evaluate the possible merits or risks of the target business with which we may ultimately complete a business combination. To the extent we effect our initial business combination with a financially unstable company or an entity in its early stage of development or growth, including entities without established records of sales or earnings, we may be affected by numerous risks inherent in the business and operations of financially unstable and early stage or potential emerging growth companies. Although our management will endeavor to evaluate the risks inherent in a particular target business, we may not properly ascertain or assess all significant risk factors. In evaluating a prospective target business, our management may consider a variety of factors, including one or more of the following:</w:t>
      </w:r>
    </w:p>
    <w:p>
      <w:pPr>
        <w:spacing w:after="0" w:line="139" w:lineRule="exact"/>
        <w:rPr>
          <w:sz w:val="20"/>
          <w:szCs w:val="20"/>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condition and results of operation;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growth potential;</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brand recognition and potential;</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return on equity or invested capital;</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capitalization or enterprise value;</w:t>
      </w:r>
    </w:p>
    <w:p>
      <w:pPr>
        <w:sectPr>
          <w:pgSz w:w="11900" w:h="16838" w:orient="portrait"/>
          <w:cols w:equalWidth="0" w:num="1">
            <w:col w:w="9019"/>
          </w:cols>
          <w:pgMar w:left="1440" w:top="341"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56" w:name="page57"/>
    <w:bookmarkEnd w:id="56"/>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experience and skill of management and availability of additional personnel;</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capital requirements;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barriers to entry;</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stage of development of the products, processes or services;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existing distribution and potential for expansion;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degree of current or potential market acceptance of the products, processes or services;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0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proprietary aspects of products and the extent of intellectual property or other protection for products or formulas;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impact of regulation on the business;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environment of the industry;</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associated with effecting the business combination;</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1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industry leadership, sustainability of market share and attractiveness of market industries in which a target business participates; and</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macro competitive dynamics in the industry within which the company competes.</w:t>
      </w:r>
    </w:p>
    <w:p>
      <w:pPr>
        <w:spacing w:after="0" w:line="198"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These criteria are not intended to be exhaustive. Our management may not consider any of the above criteria in evaluating a prospective target business. The retention of our officers and directors following the completion of any business combination will not be a material consideration in our evaluation of a prospective target business.</w:t>
      </w:r>
    </w:p>
    <w:p>
      <w:pPr>
        <w:spacing w:after="0" w:line="10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 although we have no current intention to engage any such third parties.</w:t>
      </w:r>
    </w:p>
    <w:p>
      <w:pPr>
        <w:spacing w:after="0" w:line="127"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The time and costs required to select and evaluate a target business and to structure and complete our initial business combination remain to be determined.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Fair Market Value of Target Business</w:t>
      </w:r>
    </w:p>
    <w:p>
      <w:pPr>
        <w:spacing w:after="0" w:line="19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Pursuant to Nasdaq listing rules, our initial business combination must occur with one or more target businesses having an aggregate fair market value equal to at least 80% of the value of the funds in the trust account (excluding any deferred underwriter’s fees and taxes payable on the income earned on the trust account), which we refer to as the 80% test, at the time of the execution of a definitive agreement for our initial business combination, although we may structure a business combination with one or more target businesses whose fair market value significantly exceeds 80% of the trust account balance. If we are no longer listed on Nasdaq, we will not be required to satisfy the 80% test.</w:t>
      </w:r>
    </w:p>
    <w:p>
      <w:pPr>
        <w:spacing w:after="0" w:line="14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currently anticipate structuring a business combination to acquire 100% of the equity interests or assets of the target business or businesses. We may, however, structure a business combination where we merge directly with the target business or where we acquire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57" w:name="page58"/>
    <w:bookmarkEnd w:id="57"/>
    <w:p>
      <w:pPr>
        <w:jc w:val="both"/>
        <w:ind w:left="460" w:right="459"/>
        <w:spacing w:after="0" w:line="284" w:lineRule="auto"/>
        <w:rPr>
          <w:sz w:val="20"/>
          <w:szCs w:val="20"/>
          <w:color w:val="auto"/>
        </w:rPr>
      </w:pPr>
      <w:r>
        <w:rPr>
          <w:rFonts w:ascii="Arial" w:cs="Arial" w:eastAsia="Arial" w:hAnsi="Arial"/>
          <w:sz w:val="16"/>
          <w:szCs w:val="16"/>
          <w:color w:val="auto"/>
        </w:rPr>
        <w:t>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test. In order to consummate such an acquisition, we may issue a significant amount of our debt or equity securities to the sellers of such businesses and/or seek to raise additional funds through a private offering of debt or equity securities. Since we have no specific business combination under consideration, we have not entered into any such fund raising arrangement and have no current intention of doing so. The fair market value of the target will be determined by our board of directors based upon one or more standards generally accepted by the financial community (such as actual and potential sales, earnings, cash flow and/or book value). If our board is not able to independently determine that the target business has a sufficient fair market value, we will obtain an opinion from an unaffiliated, independent investment banking firm, or another independent entity that commonly renders valuation opinions on the type of target business we are seeking to acquire, with respect to the satisfaction of such criteria. We will not be required to obtain an opinion from an independent investment banking firm, or another independent entity that commonly renders valuation opinions on the type of target business we are seeking to acquire, as to the fair market value if our board of directors independently determines that the target business complies with the 80% threshold. However, if we seek to consummate an initial business combination with an entity that is affiliated with any of our officers, directors or insiders and are therefore required to obtain an opinion from an independent investment banking firm that the business combination is fair to our unaffiliated stockholders from a financial point of view, we may ask that banking firm to opine on whether the target business met the 80% fair market value test. Nevertheless, we are not required to do so and could determine not to do so without consent of our stockholders.</w:t>
      </w:r>
    </w:p>
    <w:p>
      <w:pPr>
        <w:spacing w:after="0" w:line="3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Lack of Business Diversification</w:t>
      </w:r>
    </w:p>
    <w:p>
      <w:pPr>
        <w:spacing w:after="0" w:line="19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expect to complete only a single business combination, although this process may entail simultaneous business combinations with several operating businesses. Therefore, at least initially, the prospects for our success may be entirely dependent upon the future performance of a single business operation. Unlike other entities which may have the resources to complete several business combinations of entities operating in multiple industries or multiple areas of a single industry, it is probable that we will not have the resources to diversify our operations or benefit from the possible spreading of risks or offsetting of losses. By consummating our initial business combination with only a single entity, our lack of diversification may:</w:t>
      </w:r>
    </w:p>
    <w:p>
      <w:pPr>
        <w:spacing w:after="0" w:line="137" w:lineRule="exact"/>
        <w:rPr>
          <w:sz w:val="20"/>
          <w:szCs w:val="20"/>
          <w:color w:val="auto"/>
        </w:rPr>
      </w:pPr>
    </w:p>
    <w:p>
      <w:pPr>
        <w:jc w:val="both"/>
        <w:ind w:left="1120" w:right="459" w:hanging="333"/>
        <w:spacing w:after="0" w:line="264" w:lineRule="auto"/>
        <w:tabs>
          <w:tab w:leader="none" w:pos="11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upon the particular industry in which we may operate subsequent to our initial business combination, and</w:t>
      </w:r>
    </w:p>
    <w:p>
      <w:pPr>
        <w:spacing w:after="0" w:line="140" w:lineRule="exact"/>
        <w:rPr>
          <w:rFonts w:ascii="Arial" w:cs="Arial" w:eastAsia="Arial" w:hAnsi="Arial"/>
          <w:sz w:val="18"/>
          <w:szCs w:val="18"/>
          <w:color w:val="auto"/>
        </w:rPr>
      </w:pPr>
    </w:p>
    <w:p>
      <w:pPr>
        <w:ind w:left="1120" w:right="459" w:hanging="333"/>
        <w:spacing w:after="0" w:line="308" w:lineRule="auto"/>
        <w:tabs>
          <w:tab w:leader="none" w:pos="1163"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result in our dependency upon the performance of a single operating business or the development or market acceptance of a single or limited number of products, processes or services.</w:t>
      </w:r>
    </w:p>
    <w:p>
      <w:pPr>
        <w:spacing w:after="0" w:line="12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If we determine to simultaneously consummate our initial business combination with several businesses and such businesses are owned by different sellers, we will need for each of such sellers to agree that our purchase of its business is contingent on the simultaneous closings of the other combinations, which may make it more difficult for us, and delay our ability, to complete the business combination. With a business combination with several businesses, we could also face additional risks, including additional burdens and costs with respect to possible multiple negotiations and due diligence investigations and the additional risks associated with the subsequent assimilation of the operations and services or products of the target companies in a single operating business.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Limited Ability to Evaluate the Target Business’ Management Team</w:t>
      </w:r>
    </w:p>
    <w:p>
      <w:pPr>
        <w:spacing w:after="0" w:line="185"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Although we intend to scrutinize the management team of a prospective target business when evaluating the desirability of effecting our initial business combination, our assessment of the target business’ management team may not prove to be correct. In addition, the future management team may not have the necessary skills, qualifications or abilities to manage a public company. Furthermore, the future role of our officers and directors, if any, in the target business following our initial business</w:t>
      </w:r>
    </w:p>
    <w:p>
      <w:pPr>
        <w:sectPr>
          <w:pgSz w:w="11900" w:h="16838" w:orient="portrait"/>
          <w:cols w:equalWidth="0" w:num="1">
            <w:col w:w="9019"/>
          </w:cols>
          <w:pgMar w:left="1440" w:top="301" w:right="1440"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58" w:name="page59"/>
    <w:bookmarkEnd w:id="58"/>
    <w:p>
      <w:pPr>
        <w:jc w:val="both"/>
        <w:ind w:left="460" w:right="459"/>
        <w:spacing w:after="0" w:line="286" w:lineRule="auto"/>
        <w:rPr>
          <w:sz w:val="20"/>
          <w:szCs w:val="20"/>
          <w:color w:val="auto"/>
        </w:rPr>
      </w:pPr>
      <w:r>
        <w:rPr>
          <w:rFonts w:ascii="Arial" w:cs="Arial" w:eastAsia="Arial" w:hAnsi="Arial"/>
          <w:sz w:val="16"/>
          <w:szCs w:val="16"/>
          <w:color w:val="auto"/>
        </w:rPr>
        <w:t>combination remains to be determined. While it is possible that some of our key personnel will remain associated in senior management or advisory positions with us following our initial business combination, it is unlikely that they will devote their full time efforts to our affairs subsequent to our initial business combination. Moreover, they would only be able to remain with the company after the consummation of our initial business combination if they are able to negotiate employment or consulting agreements in connection with the business combination. Such negotiations would take place simultaneously with the negotiation of the business combination and could provide for them to receive compensation in the form of cash payments and/or our securities for services they would render to the company after the consummation of the business combination. While the personal and financial interests of our key personnel may influence their motivation in identifying and selecting a target business, their ability to remain with the company after the consummation of our initial business combination will not be the determining factor in our decision as to whether or not we will proceed with any potential business combination. Additionally, our officers and directors may not have significant experience or knowledge relating to the operations of the particular target business.</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any such additional managers we do recruit will have the requisite skills, knowledge or experience necessary to enhance the incumbent management.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 Approval of Business Combination</w:t>
      </w:r>
    </w:p>
    <w:p>
      <w:pPr>
        <w:spacing w:after="0" w:line="18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In connection with any proposed business combination, we will either (1) seek stockholder approval of our initial business combination at a meeting called for such purpose at which public stockholders (but not our insiders, officers or directors)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therefore avoid the need for a stockholder vote) for an amount equal to their pro rata share of the aggregate amount then on deposit in the trust account, in each case subject to the limitations described herein. If we determine to engage in a tender offer, such tender offer will be structured so that each stockholder may tender all of his, her or its shares rather than some pro rata portion of his, her or its shares. The decision as to whether we will seek stockholder approval of a proposed business combination or whether we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We anticipate that our business combination could be completed by way of a merger, share exchange, asset acquisition, stock purchase, recapitalization, reorganization or other similar transaction. Stockholder approval will not be required under Delaware law if the business combination is structured as an acquisition of assets of the target company, a share exchange with target company stockholders or a purchase of stock of the target company; however, Nasdaq rules would require us to obtain stockholder approval if we seek to issue shares representing 20% or more of our outstanding shares as consideration in a business combination. A merger of our company into a target company would require stockholder approval under Delaware law. A merger of a target company into our company would not require stockholder approval unless the merger results in a change to our certificate of incorporation, or if the shares issued in connection with the merger exceed 20% of our outstanding shares prior to the merger. A merger of a target company with a subsidiary of our company would not require stockholder approval unless the merger results in a change in our certificate of incorporation; however, Nasdaq rules would require us to obtain stockholder approval of such a transaction if we week to issue shares representing 20% or more of our outstanding shares as consideration.</w:t>
      </w:r>
    </w:p>
    <w:p>
      <w:pPr>
        <w:spacing w:after="0" w:line="351"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If a stockholder vote is not required and we do not decide to hold a stockholder vote for business or other legal reasons, we will provide our stockholders with an opportunity to tender their shares to us pursuant to a tender offer pursuant to Rule 13e-4 and Regulation 14E of the Exchange Act, which regulate issuer tender offers, and we will file tender offer documents with the SEC which will contain substantially the same financial and other information about the initial business combination as is required under the SEC’s proxy rules.</w:t>
      </w:r>
    </w:p>
    <w:p>
      <w:pPr>
        <w:spacing w:after="0" w:line="131"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the event we allow stockholders to tender their shares pursuant to the tender offer rules, our tender offer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purchase public shares in an amount that would cause our net tangible assets to be less than $5,000,001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ectPr>
          <w:pgSz w:w="11900" w:h="16838" w:orient="portrait"/>
          <w:cols w:equalWidth="0" w:num="1">
            <w:col w:w="9019"/>
          </w:cols>
          <w:pgMar w:left="1440" w:top="301" w:right="1440"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59" w:name="page60"/>
    <w:bookmarkEnd w:id="59"/>
    <w:p>
      <w:pPr>
        <w:ind w:left="460" w:right="459"/>
        <w:spacing w:after="0" w:line="277" w:lineRule="auto"/>
        <w:rPr>
          <w:sz w:val="20"/>
          <w:szCs w:val="20"/>
          <w:color w:val="auto"/>
        </w:rPr>
      </w:pPr>
      <w:r>
        <w:rPr>
          <w:rFonts w:ascii="Arial" w:cs="Arial" w:eastAsia="Arial" w:hAnsi="Arial"/>
          <w:sz w:val="18"/>
          <w:szCs w:val="18"/>
          <w:color w:val="auto"/>
        </w:rPr>
        <w:t>If, however, stockholder approval of the transaction is required by law or Nasdaq requirements, or we decide to obtain stockholder approval for business or other legal reasons, we will:</w:t>
      </w:r>
    </w:p>
    <w:p>
      <w:pPr>
        <w:spacing w:after="0" w:line="143" w:lineRule="exact"/>
        <w:rPr>
          <w:sz w:val="20"/>
          <w:szCs w:val="20"/>
          <w:color w:val="auto"/>
        </w:rPr>
      </w:pPr>
    </w:p>
    <w:p>
      <w:pPr>
        <w:jc w:val="both"/>
        <w:ind w:left="1120" w:right="459" w:hanging="333"/>
        <w:spacing w:after="0" w:line="264" w:lineRule="auto"/>
        <w:tabs>
          <w:tab w:leader="none" w:pos="1306"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 stockholders to convert their shares in conjunction with a proxy solicitation pursuant to Regulation 14A of the Exchange Act, which regulates the solicitation of proxies, and not pursuant to the tender offer rules, and</w:t>
      </w:r>
    </w:p>
    <w:p>
      <w:pPr>
        <w:spacing w:after="0" w:line="140" w:lineRule="exact"/>
        <w:rPr>
          <w:rFonts w:ascii="Arial" w:cs="Arial" w:eastAsia="Arial" w:hAnsi="Arial"/>
          <w:sz w:val="18"/>
          <w:szCs w:val="18"/>
          <w:color w:val="auto"/>
        </w:rPr>
      </w:pPr>
    </w:p>
    <w:p>
      <w:pPr>
        <w:ind w:left="1080" w:hanging="293"/>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In the event that we seek stockholder approval of our initial business combination, we will distribute proxy materials and, in connection therewith, provide stockholders with the conversion rights described above upon completion of the initial business combination.</w:t>
      </w:r>
    </w:p>
    <w:p>
      <w:pPr>
        <w:spacing w:after="0" w:line="15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 As a result, if stockholders owning approximately 89.1% (or approximately 90.3% if the over-allotment option is exercised in full) or more of the shares of common stock sold in this offering exercise conversion rights, the business combination will not be consummated. However, the actual percentages will only be able to be determined once a target business is located and we can assess all of the assets and liabilities of the combined company (which would include the fee payable to the underwriters in an amount equal to 2.0% of the total gross proceeds raised in the offering as described elsewhere in this prospectus, any out-of-pocket expenses incurred by our insiders, officers, directors or their affiliates in connection with certain activities on our behalf, such as identifying and investigating possible business targets and business combinations that have not been repaid at that time, as well as any other liabilities of ours and the liabilities of the target business) upon consummation of the proposed business combination, subject to the requirement that we must have at least $5,000,001 of net tangible assets upon closing of such business combination. As a result, the actual percentages of shares that can be converted may be significantly lower than our estimates. 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and may force us to seek third party financing which may not be available on terms acceptable to us or at all. Alternatively, we may not be able to consummate a business combination unless the number of shares of common stock seeking conversion rights is significantly less than the 89.3% (or 90.5% if the over-allotment option is exercised in full) indicated above. As a result, we may not be able to consummate such initial business combination and we may not be able to locate another suitable target within the applicable time period, if at all. Public stockholders may therefore have to wait 18 months from the closing of this offering (or 21 months from the closing of this offering if we have executed a letter of intent or definitive agreement for a business combination within 18 months from the closing of this offering but have not consummated the business combination with such 18-month period) in order to be able to receive a portion of the trust account.</w:t>
      </w:r>
    </w:p>
    <w:p>
      <w:pPr>
        <w:spacing w:after="0" w:line="12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insiders, officers and directors have agreed (1) to vote any shares of common stock owned by them in favor of any proposed business combination, (2) not to convert any shares of common stock into the right to receive cash from the trust account in connection with a stockholder vote to approve a proposed initial business combination or a vote to amend the provisions of our certificate of incorporation relating to stockholders’ rights or pre-business combination activity and (3) not sell any shares of common stock in any tender in connection with a proposed initial business combination.</w:t>
      </w:r>
    </w:p>
    <w:p>
      <w:pPr>
        <w:spacing w:after="0" w:line="15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Depending on how a business combination was structured, any stockholder approval requirement could be satisfied by obtaining the approval of either (i) a majority of the shares of our common stock that were voted at the meeting (assuming a quorum was present at the meeting), or (ii) a majority of the outstanding shares of our common stock. Because our insiders, officers and directors will collectively beneficially own approximately 24.8% of our issued and outstanding shares of common stock (assuming they do not purchase any units in this offering and assuming the over-allotment option has not been exercised and an aggregate of 187,500 insider shares have been forfeited as a result thereof) upon consummation of this offering and the sale of the private units, a minimum of approximately 10,626, or 0.2% (if the approval requirement was a majority of shares voted and the minimum number of shares required for a quorum attended the meeting), and a maximum of approximately 1,673,751, or 27.9% (assuming that a majority of the outstanding shares was required to approve the initial business combination), of the outstanding shares of our common stock not owned by our insiders, officers or directors would need to be voted in favor a business combination in order for it to be approved.</w:t>
      </w:r>
    </w:p>
    <w:p>
      <w:pPr>
        <w:sectPr>
          <w:pgSz w:w="11900" w:h="16838" w:orient="portrait"/>
          <w:cols w:equalWidth="0" w:num="1">
            <w:col w:w="9019"/>
          </w:cols>
          <w:pgMar w:left="1440" w:top="301" w:right="1440" w:bottom="1440" w:gutter="0" w:footer="0" w:header="0"/>
        </w:sectPr>
      </w:pP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0" w:name="page61"/>
    <w:bookmarkEnd w:id="60"/>
    <w:p>
      <w:pPr>
        <w:jc w:val="both"/>
        <w:ind w:left="460" w:right="459"/>
        <w:spacing w:after="0" w:line="283" w:lineRule="auto"/>
        <w:rPr>
          <w:sz w:val="20"/>
          <w:szCs w:val="20"/>
          <w:color w:val="auto"/>
        </w:rPr>
      </w:pPr>
      <w:r>
        <w:rPr>
          <w:rFonts w:ascii="Arial" w:cs="Arial" w:eastAsia="Arial" w:hAnsi="Arial"/>
          <w:sz w:val="16"/>
          <w:szCs w:val="16"/>
          <w:color w:val="auto"/>
        </w:rPr>
        <w:t>None of our insiders or their affiliates has indicated any intention to purchase units or shares of common stock from persons in the open market or in private transactions. However, if we seek stockholder approval of a business combination and if we hold a meeting to approve a proposed business combination and a significant number of stockholders vote, or indicate an intention to vote, against such proposed business combination, we or our insiders or their affiliates could make such purchases in the open market or in private transactions in order to influence the vote. However, they have no current commitments, plans or intentions to engage in such transactions and have not formulated any terms or conditions for any such transactions. No funds from the trust account can be released from the trust account prior to the consummation of a business combination to make such purchases (although such purchases could be made using funds available to us after the closing of a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Notwithstanding the foregoing, we or our insiders or their affiliates will not make purchases of shares of common stock if the purchases would violate Sections 9(a)(2) or 10(b) of the Exchange Act or Regulation M, which are rules that prohibit manipulation of a company’s stock, and we and they will comply with Rule 10b-18 under the Exchange Act in connection with any open-market purchases. If purchases cannot be made without violating applicable law, no such purchases will be made. The purpose of such purchases would be to (i) vote such shares in favor of the business combination and thereby increase the likelihood of obtaining stockholder approval of the business combination or (ii) to satisfy a closing condition in an agreement with a target that requires us to have a minimum net worth or a certain amount of cash at the closing of our business combination, where it appears that such requirement would otherwise not be met. This may result in the completion of our business combination that may not otherwise have been possible. In addition, if such purchases are made, the public “float” of our common stock may be reduced and the number of beneficial holders of our securities may be reduced, which may make it difficult to maintain or obtain the quotation, listing or trading of our securities on a national securities exchange. Our insiders anticipate that they may identify the stockholders with whom our insiders or their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insiders or their affiliates enter into a private purchase, they would identify and contact only potential selling stockholders who have expressed their election to redeem their shares for a pro rata share of the trust account or vote against the business combination.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Conversion Rights</w:t>
      </w:r>
    </w:p>
    <w:p>
      <w:pPr>
        <w:spacing w:after="0" w:line="20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At any meeting called to approve an initial business combination, any public stockholder, whether voting for or against such proposed business combination, will be entitled to demand that his or her shares of common stock be converted for a full pro rata portion of the amount then in the trust account (initially $10.30 per share), plus any pro rata interest earned on the funds held in the trust account and not previously released to us or necessary to pay our taxes. Alternatively, we may provide our public stockholders with the opportunity to sell their shares of our common stock to us through a tender offer (and thereby avoid the need for a stockholder vote) for an amount equal to their pro rata share of the aggregate amount then on deposit in the trust account.</w:t>
      </w:r>
    </w:p>
    <w:p>
      <w:pPr>
        <w:spacing w:after="0" w:line="12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Notwithstanding the foregoing,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this offering. Such a public stockholder would still be entitled to vote against a proposed business combination with respect to all shares of common stock owned by him or her, or his or her affiliates. We believe this restriction will prevent stockholders from accumulating large blocks of shares before the vote held to approve a proposed business combination and attempt to use the conversion right as a means to force us or our management to purchase their shares at a significant premium to the then current market price. By not allowing a stockholder to convert more than 20% of the shares of common stock sold in this offering, we believe we have limited the ability of a small group of stockholders to unreasonably attempt to block a transaction which is favored by our other public stockholders.</w:t>
      </w:r>
    </w:p>
    <w:p>
      <w:pPr>
        <w:spacing w:after="0" w:line="14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None of our insiders, officers or directors will have the right to receive cash from the trust account in connection with a stockholder vote to approve a proposed initial business combination or a vote to amend the provisions of our certificate of incorporation relating to stockholders’ rights or pre-business combination activity with respect to any shares of common stock owned by them, directly or indirectly, whether acquired prior to this offering or purchased by them in this offering or in the aftermarket.</w:t>
      </w:r>
    </w:p>
    <w:p>
      <w:pPr>
        <w:spacing w:after="0" w:line="121"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We may also require public stockholders who wish to convert, whether they are a record holder or hold their shares in “street name,” to either tender their certificates to our transfer agent at any time through the vote on the business combination or to deliver their shares to the transfer agent electronically using Depository Trust Company’s DWAC (Deposit/Withdrawal At Custodian) System, at the holder’s option. The proxy solicitation materials that we will furnish to stockholders in connection</w:t>
      </w:r>
    </w:p>
    <w:p>
      <w:pPr>
        <w:sectPr>
          <w:pgSz w:w="11900" w:h="16838" w:orient="portrait"/>
          <w:cols w:equalWidth="0" w:num="1">
            <w:col w:w="9019"/>
          </w:cols>
          <w:pgMar w:left="1440" w:top="301" w:right="1440"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1" w:name="page62"/>
    <w:bookmarkEnd w:id="61"/>
    <w:p>
      <w:pPr>
        <w:jc w:val="both"/>
        <w:ind w:left="460" w:right="459"/>
        <w:spacing w:after="0" w:line="293" w:lineRule="auto"/>
        <w:rPr>
          <w:sz w:val="20"/>
          <w:szCs w:val="20"/>
          <w:color w:val="auto"/>
        </w:rPr>
      </w:pPr>
      <w:r>
        <w:rPr>
          <w:rFonts w:ascii="Arial" w:cs="Arial" w:eastAsia="Arial" w:hAnsi="Arial"/>
          <w:sz w:val="16"/>
          <w:szCs w:val="16"/>
          <w:color w:val="auto"/>
        </w:rPr>
        <w:t>with the vote for any proposed business combination will indicate whether we are requiring stockholders to satisfy such delivery requirements. Accordingly, a stockholder would have from the time the stockholder received our proxy statement through the vote on the business combination to deliver his or her shares if he or she wishes to seek to exercise his or her conversion rights. Under Delaware law and our bylaws, we are required to provide at least 10 days advance notice of any stockholder meeting, which would be the minimum amount of time a public stockholder would have to determine whether to exercise conversion rights.</w:t>
      </w:r>
    </w:p>
    <w:p>
      <w:pPr>
        <w:spacing w:after="0" w:line="8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There is a nominal cost associated with the above-referenced delivery process and the act of certificating the shares or delivering them through the DWAC System. The transfer agent will typically charge the tendering broker $45.00 and it would be up to the broker whether or not to pass this cost on to the holder. However, this fee would be incurred regardless of whether or not we require holders to deliver their shares prior to the vote on the business combination in order to exercise conversion rights. This is because a holder would need to deliver shares to exercise conversion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w:t>
      </w:r>
    </w:p>
    <w:p>
      <w:pPr>
        <w:spacing w:after="0" w:line="11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foregoing is different from the procedures used by many blank check companies. Traditionally, in order to perfect conversion rights in connection with a blank check company’s business combination, the company would distribute proxy materials for the stockholders’ vote on an initial business combination, and a holder could simply vote against a proposed business combination and check a box on the proxy card indicating such holder was seeking to exercise his or her conversion rights. After the business combination was approved, the company would contact such stockholder to arrange for him or her to deliver his or her certificate to verify ownership. As a result, the stockholder then had an “option window” after the consummation of the business combination during which he or she could monitor the price of the company’s stock in the market. If the price rose above the conversion price, he or she could sell his or her shares in the open market before actually delivering his or her shares to the company for cancellation. As a result, the conversion rights, to which stockholders were aware they needed to commit before the stockholder meeting, would become a “continuing” right surviving past the consummation of the business combination until the holder delivered its certificate. The requirement for physical or electronic delivery prior to the meeting ensures that a holder’s election to convert his or her shares is irrevocable once the business combination is approved.</w:t>
      </w:r>
    </w:p>
    <w:p>
      <w:pPr>
        <w:spacing w:after="0" w:line="10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request to convert such shares once made, may be withdrawn at any time up to the vote on the proposed business combination. Furthermore, if a holder of a public share delivered his or her certificate in connection with an election of their conversion and subsequently decides prior to the vote on the proposed business combination not to elect to exercise such rights, he or she may simply request that the transfer agent return the certificate (physically or electronically).</w:t>
      </w:r>
    </w:p>
    <w:p>
      <w:pPr>
        <w:spacing w:after="0" w:line="107"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If the initial business combination is not approved or completed for any reason, then our public stockholders who elected to exercise their conversion rights would not be entitled to convert their shares for the applicable pro rata share of the trust account. In such case, we will promptly return any shares delivered by public holders.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Liquidation if No Business Combination</w:t>
      </w:r>
    </w:p>
    <w:p>
      <w:pPr>
        <w:spacing w:after="0" w:line="17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we do not complete a business combination within 18 months from the closing of this offering (or 21 months from the closing of this offering if we have entered into a letter of intent or definitive agreement for a business combination within 18 months from the closing of this offering but the business combination has not been completed within such 18-month period), we will (i) cease all operations except for the purpose of winding up,</w:t>
      </w:r>
    </w:p>
    <w:p>
      <w:pPr>
        <w:spacing w:after="0" w:line="2" w:lineRule="exact"/>
        <w:rPr>
          <w:sz w:val="20"/>
          <w:szCs w:val="20"/>
          <w:color w:val="auto"/>
        </w:rPr>
      </w:pPr>
    </w:p>
    <w:p>
      <w:pPr>
        <w:jc w:val="both"/>
        <w:ind w:left="460" w:right="459" w:firstLine="2"/>
        <w:spacing w:after="0" w:line="281" w:lineRule="auto"/>
        <w:tabs>
          <w:tab w:leader="none" w:pos="75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w:t>
      </w:r>
    </w:p>
    <w:p>
      <w:pPr>
        <w:spacing w:after="0" w:line="2" w:lineRule="exact"/>
        <w:rPr>
          <w:rFonts w:ascii="Arial" w:cs="Arial" w:eastAsia="Arial" w:hAnsi="Arial"/>
          <w:sz w:val="16"/>
          <w:szCs w:val="16"/>
          <w:color w:val="auto"/>
        </w:rPr>
      </w:pPr>
    </w:p>
    <w:p>
      <w:pPr>
        <w:jc w:val="both"/>
        <w:ind w:left="460" w:right="459" w:firstLine="2"/>
        <w:spacing w:after="0" w:line="277" w:lineRule="auto"/>
        <w:tabs>
          <w:tab w:leader="none" w:pos="779"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and (iii) above) to our obligations under Delaware law to provide for claims of creditors and the requirements of other applicable law. At such time, the warrants will expire and holders of warrants will receive nothing upon a liquidation with respect to such warrants, and the warrants will be worthless.</w:t>
      </w:r>
    </w:p>
    <w:p>
      <w:pPr>
        <w:spacing w:after="0" w:line="11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ectPr>
          <w:pgSz w:w="11900" w:h="16838" w:orient="portrait"/>
          <w:cols w:equalWidth="0" w:num="1">
            <w:col w:w="9019"/>
          </w:cols>
          <w:pgMar w:left="1440" w:top="274" w:right="1440"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2" w:name="page63"/>
    <w:bookmarkEnd w:id="62"/>
    <w:p>
      <w:pPr>
        <w:jc w:val="both"/>
        <w:ind w:left="460" w:right="459"/>
        <w:spacing w:after="0" w:line="290"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w:t>
      </w:r>
    </w:p>
    <w:p>
      <w:pPr>
        <w:spacing w:after="0" w:line="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7"/>
          <w:szCs w:val="17"/>
          <w:color w:val="auto"/>
        </w:rPr>
        <w:t>redeem our public shares as soon as reasonably possible following the 18</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or 21</w:t>
      </w:r>
      <w:r>
        <w:rPr>
          <w:rFonts w:ascii="Arial" w:cs="Arial" w:eastAsia="Arial" w:hAnsi="Arial"/>
          <w:sz w:val="20"/>
          <w:szCs w:val="20"/>
          <w:color w:val="auto"/>
          <w:vertAlign w:val="superscript"/>
        </w:rPr>
        <w:t>st</w:t>
      </w:r>
      <w:r>
        <w:rPr>
          <w:rFonts w:ascii="Arial" w:cs="Arial" w:eastAsia="Arial" w:hAnsi="Arial"/>
          <w:sz w:val="17"/>
          <w:szCs w:val="17"/>
          <w:color w:val="auto"/>
        </w:rPr>
        <w:t xml:space="preserve"> month from the closing of this offering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5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49"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$10.30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$10.30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36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and from the interest income on the balance of the trust account (net income and other tax obligations) that may be released to us to fund our working capital requirements.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w:t>
      </w:r>
    </w:p>
    <w:p>
      <w:pPr>
        <w:sectPr>
          <w:pgSz w:w="11900" w:h="16838" w:orient="portrait"/>
          <w:cols w:equalWidth="0" w:num="1">
            <w:col w:w="9019"/>
          </w:cols>
          <w:pgMar w:left="1440" w:top="301" w:right="1440"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3" w:name="page64"/>
    <w:bookmarkEnd w:id="63"/>
    <w:p>
      <w:pPr>
        <w:jc w:val="both"/>
        <w:ind w:left="460" w:right="459"/>
        <w:spacing w:after="0" w:line="264" w:lineRule="auto"/>
        <w:rPr>
          <w:sz w:val="20"/>
          <w:szCs w:val="20"/>
          <w:color w:val="auto"/>
        </w:rPr>
      </w:pPr>
      <w:r>
        <w:rPr>
          <w:rFonts w:ascii="Arial" w:cs="Arial" w:eastAsia="Arial" w:hAnsi="Arial"/>
          <w:sz w:val="18"/>
          <w:szCs w:val="18"/>
          <w:color w:val="auto"/>
        </w:rPr>
        <w:t>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54"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14"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$10.30.</w:t>
      </w:r>
    </w:p>
    <w:p>
      <w:pPr>
        <w:spacing w:after="0" w:line="13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Certificate of Incorporation</w:t>
      </w:r>
    </w:p>
    <w:p>
      <w:pPr>
        <w:spacing w:after="0" w:line="20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certificate of incorporation contains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for our working capital requirements or to pay our franchise and income taxes, divided by the number of then outstanding public shares, in connection with any such vote. Our insiders have agreed to waive any conversion rights with respect to any insider shares, private shares and any public shares they may hold in connection with any vote to amend our certificate of incorporation. Specifically, our certificate of incorporation provides, among other things, that:</w:t>
      </w:r>
    </w:p>
    <w:p>
      <w:pPr>
        <w:spacing w:after="0" w:line="99" w:lineRule="exact"/>
        <w:rPr>
          <w:sz w:val="20"/>
          <w:szCs w:val="20"/>
          <w:color w:val="auto"/>
        </w:rPr>
      </w:pPr>
    </w:p>
    <w:p>
      <w:pPr>
        <w:jc w:val="both"/>
        <w:ind w:left="1120" w:right="459" w:hanging="333"/>
        <w:spacing w:after="0" w:line="271" w:lineRule="auto"/>
        <w:tabs>
          <w:tab w:leader="none" w:pos="1208"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prior to the consummation of our initial business combination, we shall either (1) seek stockholder approval of our initial business combination at a meeting called for such purpose at which public stockholders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111" w:lineRule="exact"/>
        <w:rPr>
          <w:rFonts w:ascii="Arial" w:cs="Arial" w:eastAsia="Arial" w:hAnsi="Arial"/>
          <w:sz w:val="17"/>
          <w:szCs w:val="17"/>
          <w:color w:val="auto"/>
        </w:rPr>
      </w:pPr>
    </w:p>
    <w:p>
      <w:pPr>
        <w:jc w:val="both"/>
        <w:ind w:left="1120" w:right="459" w:hanging="333"/>
        <w:spacing w:after="0" w:line="259" w:lineRule="auto"/>
        <w:tabs>
          <w:tab w:leader="none" w:pos="1258"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19" w:lineRule="exact"/>
        <w:rPr>
          <w:rFonts w:ascii="Arial" w:cs="Arial" w:eastAsia="Arial" w:hAnsi="Arial"/>
          <w:sz w:val="18"/>
          <w:szCs w:val="18"/>
          <w:color w:val="auto"/>
        </w:rPr>
      </w:pPr>
    </w:p>
    <w:p>
      <w:pPr>
        <w:jc w:val="both"/>
        <w:ind w:left="1120" w:right="459" w:hanging="333"/>
        <w:spacing w:after="0" w:line="264" w:lineRule="auto"/>
        <w:tabs>
          <w:tab w:leader="none" w:pos="11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18 (or 21) months of the closing of this offering, then our existence will terminate and we will distribute all amounts in the trust account to all of our public holders of shares of common stock;</w:t>
      </w:r>
    </w:p>
    <w:p>
      <w:pPr>
        <w:spacing w:after="0" w:line="100" w:lineRule="exact"/>
        <w:rPr>
          <w:rFonts w:ascii="Arial" w:cs="Arial" w:eastAsia="Arial" w:hAnsi="Arial"/>
          <w:sz w:val="18"/>
          <w:szCs w:val="18"/>
          <w:color w:val="auto"/>
        </w:rPr>
      </w:pPr>
    </w:p>
    <w:p>
      <w:pPr>
        <w:ind w:left="1120" w:right="459" w:hanging="333"/>
        <w:spacing w:after="0" w:line="277" w:lineRule="auto"/>
        <w:tabs>
          <w:tab w:leader="none" w:pos="1169"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the consummation of this offering, $51,500,000, or $59,225,000 if the over-allotment option is exercised in full, shall be placed into the trust account;</w:t>
      </w:r>
    </w:p>
    <w:p>
      <w:pPr>
        <w:spacing w:after="0" w:line="102" w:lineRule="exact"/>
        <w:rPr>
          <w:rFonts w:ascii="Arial" w:cs="Arial" w:eastAsia="Arial" w:hAnsi="Arial"/>
          <w:sz w:val="18"/>
          <w:szCs w:val="18"/>
          <w:color w:val="auto"/>
        </w:rPr>
      </w:pPr>
    </w:p>
    <w:p>
      <w:pPr>
        <w:jc w:val="both"/>
        <w:ind w:left="1120" w:right="459" w:hanging="333"/>
        <w:spacing w:after="0" w:line="264" w:lineRule="auto"/>
        <w:tabs>
          <w:tab w:leader="none" w:pos="1291"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13" w:lineRule="exact"/>
        <w:rPr>
          <w:rFonts w:ascii="Arial" w:cs="Arial" w:eastAsia="Arial" w:hAnsi="Arial"/>
          <w:sz w:val="18"/>
          <w:szCs w:val="18"/>
          <w:color w:val="auto"/>
        </w:rPr>
      </w:pPr>
    </w:p>
    <w:p>
      <w:pPr>
        <w:jc w:val="both"/>
        <w:ind w:left="1120" w:right="459" w:hanging="333"/>
        <w:spacing w:after="0" w:line="264" w:lineRule="auto"/>
        <w:tabs>
          <w:tab w:leader="none" w:pos="1097"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ectPr>
          <w:pgSz w:w="11900" w:h="16838" w:orient="portrait"/>
          <w:cols w:equalWidth="0" w:num="1">
            <w:col w:w="9019"/>
          </w:cols>
          <w:pgMar w:left="1440" w:top="301" w:right="1440"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4" w:name="page65"/>
    <w:bookmarkEnd w:id="64"/>
    <w:p>
      <w:pPr>
        <w:ind w:left="460"/>
        <w:spacing w:after="0"/>
        <w:rPr>
          <w:sz w:val="20"/>
          <w:szCs w:val="20"/>
          <w:color w:val="auto"/>
        </w:rPr>
      </w:pPr>
      <w:r>
        <w:rPr>
          <w:rFonts w:ascii="Arial" w:cs="Arial" w:eastAsia="Arial" w:hAnsi="Arial"/>
          <w:sz w:val="18"/>
          <w:szCs w:val="18"/>
          <w:b w:val="1"/>
          <w:bCs w:val="1"/>
          <w:color w:val="auto"/>
        </w:rPr>
        <w:t>Potential Revisions to Agreements with Insiders</w:t>
      </w:r>
    </w:p>
    <w:p>
      <w:pPr>
        <w:spacing w:after="0" w:line="189"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120" w:lineRule="exact"/>
        <w:rPr>
          <w:sz w:val="20"/>
          <w:szCs w:val="20"/>
          <w:color w:val="auto"/>
        </w:rPr>
      </w:pPr>
    </w:p>
    <w:p>
      <w:pPr>
        <w:jc w:val="both"/>
        <w:ind w:left="1120" w:right="459" w:hanging="333"/>
        <w:spacing w:after="0" w:line="264" w:lineRule="auto"/>
        <w:tabs>
          <w:tab w:leader="none" w:pos="10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140" w:lineRule="exact"/>
        <w:rPr>
          <w:rFonts w:ascii="Arial" w:cs="Arial" w:eastAsia="Arial" w:hAnsi="Arial"/>
          <w:sz w:val="18"/>
          <w:szCs w:val="18"/>
          <w:color w:val="auto"/>
        </w:rPr>
      </w:pPr>
    </w:p>
    <w:p>
      <w:pPr>
        <w:jc w:val="both"/>
        <w:ind w:left="1120" w:right="459" w:hanging="333"/>
        <w:spacing w:after="0" w:line="264" w:lineRule="auto"/>
        <w:tabs>
          <w:tab w:leader="none" w:pos="1097"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140" w:lineRule="exact"/>
        <w:rPr>
          <w:rFonts w:ascii="Arial" w:cs="Arial" w:eastAsia="Arial" w:hAnsi="Arial"/>
          <w:sz w:val="18"/>
          <w:szCs w:val="18"/>
          <w:color w:val="auto"/>
        </w:rPr>
      </w:pPr>
    </w:p>
    <w:p>
      <w:pPr>
        <w:jc w:val="both"/>
        <w:ind w:left="1120" w:right="459" w:hanging="333"/>
        <w:spacing w:after="0" w:line="259" w:lineRule="auto"/>
        <w:tabs>
          <w:tab w:leader="none" w:pos="109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159" w:lineRule="exact"/>
        <w:rPr>
          <w:rFonts w:ascii="Arial" w:cs="Arial" w:eastAsia="Arial" w:hAnsi="Arial"/>
          <w:sz w:val="18"/>
          <w:szCs w:val="18"/>
          <w:color w:val="auto"/>
        </w:rPr>
      </w:pPr>
    </w:p>
    <w:p>
      <w:pPr>
        <w:ind w:left="1120" w:right="459" w:hanging="333"/>
        <w:spacing w:after="0" w:line="277" w:lineRule="auto"/>
        <w:tabs>
          <w:tab w:leader="none" w:pos="117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129" w:lineRule="exact"/>
        <w:rPr>
          <w:rFonts w:ascii="Arial" w:cs="Arial" w:eastAsia="Arial" w:hAnsi="Arial"/>
          <w:sz w:val="18"/>
          <w:szCs w:val="18"/>
          <w:color w:val="auto"/>
        </w:rPr>
      </w:pPr>
    </w:p>
    <w:p>
      <w:pPr>
        <w:ind w:left="1120" w:right="459" w:hanging="333"/>
        <w:spacing w:after="0" w:line="277" w:lineRule="auto"/>
        <w:tabs>
          <w:tab w:leader="none" w:pos="11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obligation of our management team to not propose amendments to our organizational documents could be amended to allow them to propose such changes to our stockholders;</w:t>
      </w:r>
    </w:p>
    <w:p>
      <w:pPr>
        <w:spacing w:after="0" w:line="129" w:lineRule="exact"/>
        <w:rPr>
          <w:rFonts w:ascii="Arial" w:cs="Arial" w:eastAsia="Arial" w:hAnsi="Arial"/>
          <w:sz w:val="18"/>
          <w:szCs w:val="18"/>
          <w:color w:val="auto"/>
        </w:rPr>
      </w:pPr>
    </w:p>
    <w:p>
      <w:pPr>
        <w:ind w:left="1120" w:right="459" w:hanging="333"/>
        <w:spacing w:after="0" w:line="277" w:lineRule="auto"/>
        <w:tabs>
          <w:tab w:leader="none" w:pos="112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obligation of insiders to not receive any compensation in connection with a business combination could be modified in order to allow them to receive such compensation;</w:t>
      </w:r>
    </w:p>
    <w:p>
      <w:pPr>
        <w:spacing w:after="0" w:line="143" w:lineRule="exact"/>
        <w:rPr>
          <w:rFonts w:ascii="Arial" w:cs="Arial" w:eastAsia="Arial" w:hAnsi="Arial"/>
          <w:sz w:val="18"/>
          <w:szCs w:val="18"/>
          <w:color w:val="auto"/>
        </w:rPr>
      </w:pPr>
    </w:p>
    <w:p>
      <w:pPr>
        <w:ind w:left="1120" w:right="459" w:hanging="333"/>
        <w:spacing w:after="0" w:line="277" w:lineRule="auto"/>
        <w:tabs>
          <w:tab w:leader="none" w:pos="110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to obtain a valuation for any target business affiliated with our insiders, in the event it was too expensive to do so.</w:t>
      </w:r>
    </w:p>
    <w:p>
      <w:pPr>
        <w:spacing w:after="0" w:line="130"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Except as specified above, stockholders would not be required to be given the opportunity to redeem their shares in connection with such changes. Such changes could result in:</w:t>
      </w:r>
    </w:p>
    <w:p>
      <w:pPr>
        <w:spacing w:after="0" w:line="130" w:lineRule="exact"/>
        <w:rPr>
          <w:sz w:val="20"/>
          <w:szCs w:val="20"/>
          <w:color w:val="auto"/>
        </w:rPr>
      </w:pPr>
    </w:p>
    <w:p>
      <w:pPr>
        <w:jc w:val="both"/>
        <w:ind w:left="1120" w:right="459" w:hanging="333"/>
        <w:spacing w:after="0" w:line="264" w:lineRule="auto"/>
        <w:tabs>
          <w:tab w:leader="none" w:pos="11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154" w:lineRule="exact"/>
        <w:rPr>
          <w:rFonts w:ascii="Arial" w:cs="Arial" w:eastAsia="Arial" w:hAnsi="Arial"/>
          <w:sz w:val="18"/>
          <w:szCs w:val="18"/>
          <w:color w:val="auto"/>
        </w:rPr>
      </w:pPr>
    </w:p>
    <w:p>
      <w:pPr>
        <w:ind w:left="1120" w:right="459" w:hanging="333"/>
        <w:spacing w:after="0" w:line="277" w:lineRule="auto"/>
        <w:tabs>
          <w:tab w:leader="none" w:pos="13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129" w:lineRule="exact"/>
        <w:rPr>
          <w:rFonts w:ascii="Arial" w:cs="Arial" w:eastAsia="Arial" w:hAnsi="Arial"/>
          <w:sz w:val="18"/>
          <w:szCs w:val="18"/>
          <w:color w:val="auto"/>
        </w:rPr>
      </w:pPr>
    </w:p>
    <w:p>
      <w:pPr>
        <w:ind w:left="1120" w:right="459" w:hanging="333"/>
        <w:spacing w:after="0" w:line="277" w:lineRule="auto"/>
        <w:tabs>
          <w:tab w:leader="none" w:pos="12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3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13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While we believe there may be numerous potential target businesses that we could complete a business combination with utilizing the net proceeds of this offering, our ability to compete in completing a business combination with certain sizable target businesses may be limited by our available financial resources.</w:t>
      </w:r>
    </w:p>
    <w:p>
      <w:pPr>
        <w:sectPr>
          <w:pgSz w:w="11900" w:h="16838" w:orient="portrait"/>
          <w:cols w:equalWidth="0" w:num="1">
            <w:col w:w="9019"/>
          </w:cols>
          <w:pgMar w:left="1440" w:top="337" w:right="1440" w:bottom="1440" w:gutter="0" w:footer="0" w:header="0"/>
        </w:sectPr>
      </w:pP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65" w:name="page66"/>
    <w:bookmarkEnd w:id="65"/>
    <w:p>
      <w:pPr>
        <w:ind w:left="460"/>
        <w:spacing w:after="0"/>
        <w:rPr>
          <w:sz w:val="20"/>
          <w:szCs w:val="20"/>
          <w:color w:val="auto"/>
        </w:rPr>
      </w:pPr>
      <w:r>
        <w:rPr>
          <w:rFonts w:ascii="Arial" w:cs="Arial" w:eastAsia="Arial" w:hAnsi="Arial"/>
          <w:sz w:val="18"/>
          <w:szCs w:val="18"/>
          <w:color w:val="auto"/>
        </w:rPr>
        <w:t>The following also may not be viewed favorably by certain target businesses:</w:t>
      </w:r>
    </w:p>
    <w:p>
      <w:pPr>
        <w:spacing w:after="0" w:line="198" w:lineRule="exact"/>
        <w:rPr>
          <w:sz w:val="20"/>
          <w:szCs w:val="20"/>
          <w:color w:val="auto"/>
        </w:rPr>
      </w:pPr>
    </w:p>
    <w:p>
      <w:pPr>
        <w:ind w:left="1120" w:right="459" w:hanging="333"/>
        <w:spacing w:after="0" w:line="277" w:lineRule="auto"/>
        <w:tabs>
          <w:tab w:leader="none" w:pos="11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obligation to seek stockholder approval of our initial business combination or engage in a tender offer may delay the completion of a transaction;</w:t>
      </w:r>
    </w:p>
    <w:p>
      <w:pPr>
        <w:spacing w:after="0" w:line="129" w:lineRule="exact"/>
        <w:rPr>
          <w:rFonts w:ascii="Arial" w:cs="Arial" w:eastAsia="Arial" w:hAnsi="Arial"/>
          <w:sz w:val="18"/>
          <w:szCs w:val="18"/>
          <w:color w:val="auto"/>
        </w:rPr>
      </w:pPr>
    </w:p>
    <w:p>
      <w:pPr>
        <w:ind w:left="1120" w:right="459" w:hanging="333"/>
        <w:spacing w:after="0" w:line="277" w:lineRule="auto"/>
        <w:tabs>
          <w:tab w:leader="none" w:pos="1212"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obligation to convert shares of common stock held by our public stockholders may reduce the resources available to us for our initial business combination;</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outstanding warrants and unit purchase options, and the potential future dilution they represent;</w:t>
      </w:r>
    </w:p>
    <w:p>
      <w:pPr>
        <w:spacing w:after="0" w:line="209" w:lineRule="exact"/>
        <w:rPr>
          <w:rFonts w:ascii="Arial" w:cs="Arial" w:eastAsia="Arial" w:hAnsi="Arial"/>
          <w:sz w:val="17"/>
          <w:szCs w:val="17"/>
          <w:color w:val="auto"/>
        </w:rPr>
      </w:pPr>
    </w:p>
    <w:p>
      <w:pPr>
        <w:ind w:left="1120" w:right="459" w:hanging="333"/>
        <w:spacing w:after="0" w:line="277" w:lineRule="auto"/>
        <w:tabs>
          <w:tab w:leader="none" w:pos="1102"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obligation to pay the deferred underwriting commission to the underwriters upon consummation of our initial business combination;</w:t>
      </w:r>
    </w:p>
    <w:p>
      <w:pPr>
        <w:spacing w:after="0" w:line="129" w:lineRule="exact"/>
        <w:rPr>
          <w:rFonts w:ascii="Arial" w:cs="Arial" w:eastAsia="Arial" w:hAnsi="Arial"/>
          <w:sz w:val="18"/>
          <w:szCs w:val="18"/>
          <w:color w:val="auto"/>
        </w:rPr>
      </w:pPr>
    </w:p>
    <w:p>
      <w:pPr>
        <w:ind w:left="1120" w:right="459" w:hanging="333"/>
        <w:spacing w:after="0" w:line="277" w:lineRule="auto"/>
        <w:tabs>
          <w:tab w:leader="none" w:pos="1161"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obligation to either repay working capital loans that may be made to us by our insiders, officers, directors or their affiliates;</w:t>
      </w:r>
    </w:p>
    <w:p>
      <w:pPr>
        <w:spacing w:after="0" w:line="129" w:lineRule="exact"/>
        <w:rPr>
          <w:rFonts w:ascii="Arial" w:cs="Arial" w:eastAsia="Arial" w:hAnsi="Arial"/>
          <w:sz w:val="18"/>
          <w:szCs w:val="18"/>
          <w:color w:val="auto"/>
        </w:rPr>
      </w:pPr>
    </w:p>
    <w:p>
      <w:pPr>
        <w:jc w:val="both"/>
        <w:ind w:left="1120" w:right="459" w:hanging="333"/>
        <w:spacing w:after="0" w:line="264" w:lineRule="auto"/>
        <w:tabs>
          <w:tab w:leader="none" w:pos="11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obligation to register the resale of the insider shares, as well as the private units (and underlying securities) and any shares issued to our insiders, officers, directors or their affiliates upon conversion of working capital loans; and</w:t>
      </w:r>
    </w:p>
    <w:p>
      <w:pPr>
        <w:spacing w:after="0" w:line="154" w:lineRule="exact"/>
        <w:rPr>
          <w:rFonts w:ascii="Arial" w:cs="Arial" w:eastAsia="Arial" w:hAnsi="Arial"/>
          <w:sz w:val="18"/>
          <w:szCs w:val="18"/>
          <w:color w:val="auto"/>
        </w:rPr>
      </w:pPr>
    </w:p>
    <w:p>
      <w:pPr>
        <w:jc w:val="both"/>
        <w:ind w:left="1120" w:right="459" w:hanging="333"/>
        <w:spacing w:after="0" w:line="264" w:lineRule="auto"/>
        <w:tabs>
          <w:tab w:leader="none" w:pos="11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on the target business’ assets as a result of unknown liabilities under the securities laws or otherwise depending on developments involving us prior to the consummation of a business combination.</w:t>
      </w:r>
    </w:p>
    <w:p>
      <w:pPr>
        <w:spacing w:after="0" w:line="14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of these factors may place us at a competitive disadvantage in successfully negotiating our initial business combination. Our management believes, however, that our status as a public entity and potential access to the United States public equity markets may give us a competitive advantage over privately-held entities having a similar business objective as ours in connection with an initial business combination with a target business with significant growth potential on favorable terms.</w:t>
      </w:r>
    </w:p>
    <w:p>
      <w:pPr>
        <w:spacing w:after="0" w:line="14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If we succeed in effecting our initial business combination, there will be, in all likelihood, intense competition from competitors of the target business. Subsequent to our initial business combination, we may not have the resources or ability to compete effectively.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202"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We currently maintain our principal executive offices at 40 Wall Street, 58th Floor, New York, NY 10005. The cost for this space is included in the $10,000 per-month fee (subject to deferral as described herein) payable to Magna Management LLC, a company controlled by our insiders, for office space, utilities and secretarial services. Our agreement with Magna Management LLC provides that commencing on the date that our securities are first listed on the Nasdaq Capital Market and until we consummate a business combination, such office space, as well as utilities and secretarial services, will be made available to us as may be required from time to time. We believe that the fee charged by Magna Management LLC is at least as favorable as we could have obtained from an unaffiliated person. We consider our current office space, combined with the other office space otherwise available to our executive officers, adequate for our current operations.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have two executive officers. These individuals are not obligated to devote any specific number of hours to our matters and intend to devote only as much time as they deem necessary to our affairs. The amount of time they will devote in any time period will vary based on whether a target business has been selected for the business combination and the stage of the business combination process the company is in. Accordingly, once a suitable target business to consummate our initial business combination with has been located, management will spend more time investigating such target business and negotiating and processing the business combination (and consequently spend more time on our affairs) than had been spent prior to locating a suitable target business. We presently expect our executive officers to devote an average of approximately 10 hours per week to our business. We do not intend to have any full time employees prior to the consummation of our initial business combination.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have registered our units,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ectPr>
          <w:pgSz w:w="11900" w:h="16838" w:orient="portrait"/>
          <w:cols w:equalWidth="0" w:num="1">
            <w:col w:w="9019"/>
          </w:cols>
          <w:pgMar w:left="1440" w:top="301" w:right="1440"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6" w:name="page67"/>
    <w:bookmarkEnd w:id="66"/>
    <w:p>
      <w:pPr>
        <w:jc w:val="both"/>
        <w:ind w:left="460" w:right="459"/>
        <w:spacing w:after="0" w:line="255"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any proxy solicitation materials or tender offer documents sent to stockholders to assist them in assessing the target business. These financial statements will need to be prepared in accordance with or reconciled to United States GAAP or IFRS as issued by the IASB. A particular target business identified by us as a potential business combination candidate may not have the necessary financial statements. To the extent that this requirement cannot be met, we may not be able to consummate our initial business combination with the proposed target business.</w:t>
      </w:r>
    </w:p>
    <w:p>
      <w:pPr>
        <w:spacing w:after="0" w:line="16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may be required by the Sarbanes-Oxley Act to have our internal control over financial reporting audited for the fiscal year ending December 31, 2016. A target company may not be in compliance with the provisions of the Sarbanes-Oxley Act regarding the adequacy of their internal control over financial reporting. The development of the internal control over financial reporting of any such entity to achieve compliance with the Sarbanes-Oxley Act may increase the time and costs necessary to complete any such initial business combination.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There is no material litigation, arbitration, governmental proceeding or any other legal proceeding currently pending or known to be contemplated against us or any members of our management team in their capacity as such, and we and the members of our management team have not been subject to any such proceeding in the 10 years preceding the date of this prospectus.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4"/>
              </w:rPr>
              <w:t>Terms of the Offering</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Terms Under a Rule 419 Offering</w:t>
            </w:r>
          </w:p>
        </w:tc>
      </w:tr>
      <w:tr>
        <w:trPr>
          <w:trHeight w:val="201"/>
        </w:trPr>
        <w:tc>
          <w:tcPr>
            <w:tcW w:w="2300" w:type="dxa"/>
            <w:vAlign w:val="bottom"/>
          </w:tcPr>
          <w:p>
            <w:pPr>
              <w:spacing w:after="0" w:line="201" w:lineRule="exact"/>
              <w:rPr>
                <w:sz w:val="20"/>
                <w:szCs w:val="20"/>
                <w:color w:val="auto"/>
              </w:rPr>
            </w:pPr>
            <w:r>
              <w:rPr>
                <w:rFonts w:ascii="Arial" w:cs="Arial" w:eastAsia="Arial" w:hAnsi="Arial"/>
                <w:sz w:val="18"/>
                <w:szCs w:val="18"/>
                <w:color w:val="auto"/>
              </w:rPr>
              <w:t>Escrow of offering proceeds</w:t>
            </w:r>
          </w:p>
        </w:tc>
        <w:tc>
          <w:tcPr>
            <w:tcW w:w="80" w:type="dxa"/>
            <w:vAlign w:val="bottom"/>
          </w:tcPr>
          <w:p>
            <w:pPr>
              <w:spacing w:after="0"/>
              <w:rPr>
                <w:sz w:val="17"/>
                <w:szCs w:val="17"/>
                <w:color w:val="auto"/>
              </w:rPr>
            </w:pPr>
          </w:p>
        </w:tc>
        <w:tc>
          <w:tcPr>
            <w:tcW w:w="960" w:type="dxa"/>
            <w:vAlign w:val="bottom"/>
            <w:gridSpan w:val="2"/>
          </w:tcPr>
          <w:p>
            <w:pPr>
              <w:spacing w:after="0" w:line="201" w:lineRule="exact"/>
              <w:rPr>
                <w:sz w:val="20"/>
                <w:szCs w:val="20"/>
                <w:color w:val="auto"/>
              </w:rPr>
            </w:pPr>
            <w:r>
              <w:rPr>
                <w:rFonts w:ascii="Arial" w:cs="Arial" w:eastAsia="Arial" w:hAnsi="Arial"/>
                <w:sz w:val="18"/>
                <w:szCs w:val="18"/>
                <w:color w:val="auto"/>
                <w:w w:val="93"/>
              </w:rPr>
              <w:t>$51,500,000</w:t>
            </w:r>
          </w:p>
        </w:tc>
        <w:tc>
          <w:tcPr>
            <w:tcW w:w="360" w:type="dxa"/>
            <w:vAlign w:val="bottom"/>
          </w:tcPr>
          <w:p>
            <w:pPr>
              <w:ind w:left="100"/>
              <w:spacing w:after="0" w:line="201" w:lineRule="exact"/>
              <w:rPr>
                <w:sz w:val="20"/>
                <w:szCs w:val="20"/>
                <w:color w:val="auto"/>
              </w:rPr>
            </w:pPr>
            <w:r>
              <w:rPr>
                <w:rFonts w:ascii="Arial" w:cs="Arial" w:eastAsia="Arial" w:hAnsi="Arial"/>
                <w:sz w:val="18"/>
                <w:szCs w:val="18"/>
                <w:color w:val="auto"/>
              </w:rPr>
              <w:t>of</w:t>
            </w:r>
          </w:p>
        </w:tc>
        <w:tc>
          <w:tcPr>
            <w:tcW w:w="400" w:type="dxa"/>
            <w:vAlign w:val="bottom"/>
          </w:tcPr>
          <w:p>
            <w:pPr>
              <w:ind w:left="80"/>
              <w:spacing w:after="0" w:line="201" w:lineRule="exact"/>
              <w:rPr>
                <w:sz w:val="20"/>
                <w:szCs w:val="20"/>
                <w:color w:val="auto"/>
              </w:rPr>
            </w:pPr>
            <w:r>
              <w:rPr>
                <w:rFonts w:ascii="Arial" w:cs="Arial" w:eastAsia="Arial" w:hAnsi="Arial"/>
                <w:sz w:val="18"/>
                <w:szCs w:val="18"/>
                <w:color w:val="auto"/>
              </w:rPr>
              <w:t>the</w:t>
            </w:r>
          </w:p>
        </w:tc>
        <w:tc>
          <w:tcPr>
            <w:tcW w:w="480" w:type="dxa"/>
            <w:vAlign w:val="bottom"/>
          </w:tcPr>
          <w:p>
            <w:pPr>
              <w:ind w:left="80"/>
              <w:spacing w:after="0" w:line="201" w:lineRule="exact"/>
              <w:rPr>
                <w:sz w:val="20"/>
                <w:szCs w:val="20"/>
                <w:color w:val="auto"/>
              </w:rPr>
            </w:pPr>
            <w:r>
              <w:rPr>
                <w:rFonts w:ascii="Arial" w:cs="Arial" w:eastAsia="Arial" w:hAnsi="Arial"/>
                <w:sz w:val="18"/>
                <w:szCs w:val="18"/>
                <w:color w:val="auto"/>
              </w:rPr>
              <w:t>net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w w:val="93"/>
              </w:rPr>
              <w:t>offering</w:t>
            </w:r>
          </w:p>
        </w:tc>
        <w:tc>
          <w:tcPr>
            <w:tcW w:w="1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w w:val="95"/>
              </w:rPr>
              <w:t>$42,345,000 of the offering proceeds</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3"/>
              </w:rPr>
              <w:t>proceeds and proceeds from the sale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2"/>
              </w:rPr>
              <w:t>would be required to be deposited into</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7"/>
              </w:rPr>
              <w:t>of the private units will be deposited</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8"/>
              </w:rPr>
              <w:t>either  an  escrow  account  with  an</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6"/>
              </w:rPr>
              <w:t>into  a  trust  account  in  the  United</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9"/>
              </w:rPr>
              <w:t>insured depositary institution or in a</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3"/>
              </w:rPr>
              <w:t>States at Morgan Stanley Bank, N.A.,</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88"/>
              </w:rPr>
              <w:t>separate bank account established by a</w:t>
            </w:r>
          </w:p>
        </w:tc>
      </w:tr>
      <w:tr>
        <w:trPr>
          <w:trHeight w:val="216"/>
        </w:trPr>
        <w:tc>
          <w:tcPr>
            <w:tcW w:w="2300" w:type="dxa"/>
            <w:vAlign w:val="bottom"/>
          </w:tcPr>
          <w:p>
            <w:pPr>
              <w:spacing w:after="0"/>
              <w:rPr>
                <w:sz w:val="18"/>
                <w:szCs w:val="18"/>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color w:val="auto"/>
              </w:rPr>
              <w:t>maintained</w:t>
            </w:r>
          </w:p>
        </w:tc>
        <w:tc>
          <w:tcPr>
            <w:tcW w:w="360" w:type="dxa"/>
            <w:vAlign w:val="bottom"/>
          </w:tcPr>
          <w:p>
            <w:pPr>
              <w:ind w:left="20"/>
              <w:spacing w:after="0"/>
              <w:rPr>
                <w:sz w:val="20"/>
                <w:szCs w:val="20"/>
                <w:color w:val="auto"/>
              </w:rPr>
            </w:pPr>
            <w:r>
              <w:rPr>
                <w:rFonts w:ascii="Arial" w:cs="Arial" w:eastAsia="Arial" w:hAnsi="Arial"/>
                <w:sz w:val="18"/>
                <w:szCs w:val="18"/>
                <w:color w:val="auto"/>
              </w:rPr>
              <w:t>by</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w w:val="92"/>
              </w:rPr>
              <w:t>Continental</w:t>
            </w:r>
          </w:p>
        </w:tc>
        <w:tc>
          <w:tcPr>
            <w:tcW w:w="580" w:type="dxa"/>
            <w:vAlign w:val="bottom"/>
          </w:tcPr>
          <w:p>
            <w:pPr>
              <w:jc w:val="right"/>
              <w:spacing w:after="0"/>
              <w:rPr>
                <w:sz w:val="20"/>
                <w:szCs w:val="20"/>
                <w:color w:val="auto"/>
              </w:rPr>
            </w:pPr>
            <w:r>
              <w:rPr>
                <w:rFonts w:ascii="Arial" w:cs="Arial" w:eastAsia="Arial" w:hAnsi="Arial"/>
                <w:sz w:val="18"/>
                <w:szCs w:val="18"/>
                <w:color w:val="auto"/>
              </w:rPr>
              <w:t>Stock</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7"/>
              </w:rPr>
              <w:t>broker-dealer  in  which  the  broker-</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4"/>
              </w:rPr>
              <w:t>Transfer &amp; Trust Company, acting as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6"/>
              </w:rPr>
              <w:t>dealer  acts  as  trustee  for  persons</w:t>
            </w:r>
          </w:p>
        </w:tc>
      </w:tr>
      <w:tr>
        <w:trPr>
          <w:trHeight w:val="216"/>
        </w:trPr>
        <w:tc>
          <w:tcPr>
            <w:tcW w:w="230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89"/>
              </w:rPr>
              <w:t>trustee.</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8"/>
              </w:rPr>
              <w:t>having the beneficial interests in the</w:t>
            </w:r>
          </w:p>
        </w:tc>
      </w:tr>
      <w:tr>
        <w:trPr>
          <w:trHeight w:val="230"/>
        </w:trPr>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account.</w:t>
            </w:r>
          </w:p>
        </w:tc>
      </w:tr>
      <w:tr>
        <w:trPr>
          <w:trHeight w:val="445"/>
        </w:trPr>
        <w:tc>
          <w:tcPr>
            <w:tcW w:w="2300" w:type="dxa"/>
            <w:vAlign w:val="bottom"/>
          </w:tcPr>
          <w:p>
            <w:pPr>
              <w:spacing w:after="0"/>
              <w:rPr>
                <w:sz w:val="20"/>
                <w:szCs w:val="20"/>
                <w:color w:val="auto"/>
              </w:rPr>
            </w:pPr>
            <w:r>
              <w:rPr>
                <w:rFonts w:ascii="Arial" w:cs="Arial" w:eastAsia="Arial" w:hAnsi="Arial"/>
                <w:sz w:val="18"/>
                <w:szCs w:val="18"/>
                <w:color w:val="auto"/>
              </w:rPr>
              <w:t>Investment of net proceeds</w:t>
            </w: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4"/>
              </w:rPr>
              <w:t>$51,500,000 of net offering proceeds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Proceeds could be invested only in</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rPr>
              <w:t>and proceeds from the sale of the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6"/>
              </w:rPr>
              <w:t>specified securities such as a money</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4"/>
              </w:rPr>
              <w:t>private units held in the trust account</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market fund meeting conditions of the</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rPr>
              <w:t>will  be  invested  only  in  U.S.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Investment  Company  Act  or  in</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8"/>
              </w:rPr>
              <w:t>government treasury bills, bonds or</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1"/>
              </w:rPr>
              <w:t>securities that are direct obligations of,</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7"/>
              </w:rPr>
              <w:t>notes with a maturity of 180 days or</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or  obligations  guaranteed  as  to</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rPr>
              <w:t>less  or  in  money  market  funds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6"/>
              </w:rPr>
              <w:t>principal  or  interest  by,  the  United</w:t>
            </w:r>
          </w:p>
        </w:tc>
      </w:tr>
      <w:tr>
        <w:trPr>
          <w:trHeight w:val="216"/>
        </w:trPr>
        <w:tc>
          <w:tcPr>
            <w:tcW w:w="2300" w:type="dxa"/>
            <w:vAlign w:val="bottom"/>
          </w:tcPr>
          <w:p>
            <w:pPr>
              <w:spacing w:after="0"/>
              <w:rPr>
                <w:sz w:val="18"/>
                <w:szCs w:val="18"/>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color w:val="auto"/>
                <w:w w:val="96"/>
              </w:rPr>
              <w:t>meeting  the</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applicable  conditions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States.</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1"/>
              </w:rPr>
              <w:t>under Rule 2a-7 under the Investment</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rPr>
              <w:t>Company Act which invest only in</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direct</w:t>
            </w:r>
          </w:p>
        </w:tc>
        <w:tc>
          <w:tcPr>
            <w:tcW w:w="420" w:type="dxa"/>
            <w:vAlign w:val="bottom"/>
          </w:tcPr>
          <w:p>
            <w:pPr>
              <w:ind w:left="60"/>
              <w:spacing w:after="0"/>
              <w:rPr>
                <w:sz w:val="20"/>
                <w:szCs w:val="20"/>
                <w:color w:val="auto"/>
              </w:rPr>
            </w:pPr>
            <w:r>
              <w:rPr>
                <w:rFonts w:ascii="Arial" w:cs="Arial" w:eastAsia="Arial" w:hAnsi="Arial"/>
                <w:sz w:val="18"/>
                <w:szCs w:val="18"/>
                <w:color w:val="auto"/>
                <w:w w:val="96"/>
              </w:rPr>
              <w:t>U.S.</w:t>
            </w: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90"/>
              </w:rPr>
              <w:t>government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treasury</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color w:val="auto"/>
              </w:rPr>
              <w:t>obligations.</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45"/>
        </w:trPr>
        <w:tc>
          <w:tcPr>
            <w:tcW w:w="2300" w:type="dxa"/>
            <w:vAlign w:val="bottom"/>
          </w:tcPr>
          <w:p>
            <w:pPr>
              <w:spacing w:after="0"/>
              <w:rPr>
                <w:sz w:val="20"/>
                <w:szCs w:val="20"/>
                <w:color w:val="auto"/>
              </w:rPr>
            </w:pPr>
            <w:r>
              <w:rPr>
                <w:rFonts w:ascii="Arial" w:cs="Arial" w:eastAsia="Arial" w:hAnsi="Arial"/>
                <w:sz w:val="18"/>
                <w:szCs w:val="18"/>
                <w:color w:val="auto"/>
                <w:w w:val="98"/>
              </w:rPr>
              <w:t>Limitation on fair value or net</w:t>
            </w: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3"/>
              </w:rPr>
              <w:t>Our initial business combination must</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The fair value or net assets of a target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assets of target business</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occur</w:t>
            </w:r>
          </w:p>
        </w:tc>
        <w:tc>
          <w:tcPr>
            <w:tcW w:w="420" w:type="dxa"/>
            <w:vAlign w:val="bottom"/>
          </w:tcPr>
          <w:p>
            <w:pPr>
              <w:ind w:left="20"/>
              <w:spacing w:after="0"/>
              <w:rPr>
                <w:sz w:val="20"/>
                <w:szCs w:val="20"/>
                <w:color w:val="auto"/>
              </w:rPr>
            </w:pPr>
            <w:r>
              <w:rPr>
                <w:rFonts w:ascii="Arial" w:cs="Arial" w:eastAsia="Arial" w:hAnsi="Arial"/>
                <w:sz w:val="18"/>
                <w:szCs w:val="18"/>
                <w:color w:val="auto"/>
              </w:rPr>
              <w:t>with</w:t>
            </w:r>
          </w:p>
        </w:tc>
        <w:tc>
          <w:tcPr>
            <w:tcW w:w="360" w:type="dxa"/>
            <w:vAlign w:val="bottom"/>
          </w:tcPr>
          <w:p>
            <w:pPr>
              <w:ind w:left="100"/>
              <w:spacing w:after="0"/>
              <w:rPr>
                <w:sz w:val="20"/>
                <w:szCs w:val="20"/>
                <w:color w:val="auto"/>
              </w:rPr>
            </w:pPr>
            <w:r>
              <w:rPr>
                <w:rFonts w:ascii="Arial" w:cs="Arial" w:eastAsia="Arial" w:hAnsi="Arial"/>
                <w:sz w:val="18"/>
                <w:szCs w:val="18"/>
                <w:color w:val="auto"/>
                <w:w w:val="79"/>
              </w:rPr>
              <w:t>one</w:t>
            </w:r>
          </w:p>
        </w:tc>
        <w:tc>
          <w:tcPr>
            <w:tcW w:w="400" w:type="dxa"/>
            <w:vAlign w:val="bottom"/>
          </w:tcPr>
          <w:p>
            <w:pPr>
              <w:jc w:val="center"/>
              <w:ind w:left="10"/>
              <w:spacing w:after="0"/>
              <w:rPr>
                <w:sz w:val="20"/>
                <w:szCs w:val="20"/>
                <w:color w:val="auto"/>
              </w:rPr>
            </w:pPr>
            <w:r>
              <w:rPr>
                <w:rFonts w:ascii="Arial" w:cs="Arial" w:eastAsia="Arial" w:hAnsi="Arial"/>
                <w:sz w:val="18"/>
                <w:szCs w:val="18"/>
                <w:color w:val="auto"/>
                <w:w w:val="87"/>
              </w:rPr>
              <w:t>or</w:t>
            </w:r>
          </w:p>
        </w:tc>
        <w:tc>
          <w:tcPr>
            <w:tcW w:w="480" w:type="dxa"/>
            <w:vAlign w:val="bottom"/>
          </w:tcPr>
          <w:p>
            <w:pPr>
              <w:ind w:left="100"/>
              <w:spacing w:after="0"/>
              <w:rPr>
                <w:sz w:val="20"/>
                <w:szCs w:val="20"/>
                <w:color w:val="auto"/>
              </w:rPr>
            </w:pPr>
            <w:r>
              <w:rPr>
                <w:rFonts w:ascii="Arial" w:cs="Arial" w:eastAsia="Arial" w:hAnsi="Arial"/>
                <w:sz w:val="18"/>
                <w:szCs w:val="18"/>
                <w:color w:val="auto"/>
                <w:w w:val="87"/>
              </w:rPr>
              <w:t>more</w:t>
            </w:r>
          </w:p>
        </w:tc>
        <w:tc>
          <w:tcPr>
            <w:tcW w:w="580" w:type="dxa"/>
            <w:vAlign w:val="bottom"/>
          </w:tcPr>
          <w:p>
            <w:pPr>
              <w:jc w:val="right"/>
              <w:spacing w:after="0"/>
              <w:rPr>
                <w:sz w:val="20"/>
                <w:szCs w:val="20"/>
                <w:color w:val="auto"/>
              </w:rPr>
            </w:pPr>
            <w:r>
              <w:rPr>
                <w:rFonts w:ascii="Arial" w:cs="Arial" w:eastAsia="Arial" w:hAnsi="Arial"/>
                <w:sz w:val="18"/>
                <w:szCs w:val="18"/>
                <w:color w:val="auto"/>
              </w:rPr>
              <w:t>target</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business must represent at least 80%</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7"/>
              </w:rPr>
              <w:t>businesses  that  together  have  an</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of the maximum offering proceeds.</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1"/>
              </w:rPr>
              <w:t>aggregate fair market value of at least</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5"/>
              </w:rPr>
              <w:t>80% of the value of the trust account</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3"/>
              </w:rPr>
              <w:t>(excluding any deferred underwriter’s</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1"/>
              </w:rPr>
              <w:t>fees and taxes payable on the income</w:t>
            </w: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r>
    </w:tbl>
    <w:p>
      <w:pPr>
        <w:ind w:left="2820"/>
        <w:spacing w:after="0"/>
        <w:rPr>
          <w:sz w:val="20"/>
          <w:szCs w:val="20"/>
          <w:color w:val="auto"/>
        </w:rPr>
      </w:pPr>
      <w:r>
        <w:rPr>
          <w:rFonts w:ascii="Arial" w:cs="Arial" w:eastAsia="Arial" w:hAnsi="Arial"/>
          <w:sz w:val="18"/>
          <w:szCs w:val="18"/>
          <w:color w:val="auto"/>
        </w:rPr>
        <w:t>earned on the trust account) at the</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time of the agreement to enter into the</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initial business combination.</w:t>
      </w:r>
    </w:p>
    <w:p>
      <w:pPr>
        <w:sectPr>
          <w:pgSz w:w="11900" w:h="16838" w:orient="portrait"/>
          <w:cols w:equalWidth="0" w:num="1">
            <w:col w:w="9019"/>
          </w:cols>
          <w:pgMar w:left="1440" w:top="301"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7" w:name="page68"/>
    <w:bookmarkEnd w:id="67"/>
    <w:tbl>
      <w:tblPr>
        <w:tblLayout w:type="fixed"/>
        <w:tblInd w:w="460" w:type="dxa"/>
        <w:tblCellMar>
          <w:top w:w="0" w:type="dxa"/>
          <w:left w:w="0" w:type="dxa"/>
          <w:bottom w:w="0" w:type="dxa"/>
          <w:right w:w="0" w:type="dxa"/>
        </w:tblCellMar>
      </w:tblPr>
      <w:tr>
        <w:trPr>
          <w:trHeight w:val="210"/>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Terms of the Offering</w:t>
            </w:r>
          </w:p>
        </w:tc>
        <w:tc>
          <w:tcPr>
            <w:tcW w:w="12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6"/>
                <w:szCs w:val="16"/>
                <w:b w:val="1"/>
                <w:bCs w:val="1"/>
                <w:color w:val="auto"/>
              </w:rPr>
              <w:t>Terms Under a Rule 419 Offering</w:t>
            </w:r>
          </w:p>
        </w:tc>
      </w:tr>
      <w:tr>
        <w:trPr>
          <w:trHeight w:val="201"/>
        </w:trPr>
        <w:tc>
          <w:tcPr>
            <w:tcW w:w="2260" w:type="dxa"/>
            <w:vAlign w:val="bottom"/>
          </w:tcPr>
          <w:p>
            <w:pPr>
              <w:spacing w:after="0" w:line="201" w:lineRule="exact"/>
              <w:rPr>
                <w:sz w:val="20"/>
                <w:szCs w:val="20"/>
                <w:color w:val="auto"/>
              </w:rPr>
            </w:pPr>
            <w:r>
              <w:rPr>
                <w:rFonts w:ascii="Arial" w:cs="Arial" w:eastAsia="Arial" w:hAnsi="Arial"/>
                <w:sz w:val="18"/>
                <w:szCs w:val="18"/>
                <w:color w:val="auto"/>
              </w:rPr>
              <w:t>Trading of securities issued</w:t>
            </w:r>
          </w:p>
        </w:tc>
        <w:tc>
          <w:tcPr>
            <w:tcW w:w="100" w:type="dxa"/>
            <w:vAlign w:val="bottom"/>
          </w:tcPr>
          <w:p>
            <w:pPr>
              <w:spacing w:after="0"/>
              <w:rPr>
                <w:sz w:val="17"/>
                <w:szCs w:val="17"/>
                <w:color w:val="auto"/>
              </w:rPr>
            </w:pPr>
          </w:p>
        </w:tc>
        <w:tc>
          <w:tcPr>
            <w:tcW w:w="2800" w:type="dxa"/>
            <w:vAlign w:val="bottom"/>
            <w:gridSpan w:val="3"/>
          </w:tcPr>
          <w:p>
            <w:pPr>
              <w:spacing w:after="0" w:line="201" w:lineRule="exact"/>
              <w:rPr>
                <w:sz w:val="20"/>
                <w:szCs w:val="20"/>
                <w:color w:val="auto"/>
              </w:rPr>
            </w:pPr>
            <w:r>
              <w:rPr>
                <w:rFonts w:ascii="Arial" w:cs="Arial" w:eastAsia="Arial" w:hAnsi="Arial"/>
                <w:sz w:val="18"/>
                <w:szCs w:val="18"/>
                <w:color w:val="auto"/>
                <w:w w:val="95"/>
              </w:rPr>
              <w:t>The units may commence trading on</w:t>
            </w:r>
          </w:p>
        </w:tc>
        <w:tc>
          <w:tcPr>
            <w:tcW w:w="120" w:type="dxa"/>
            <w:vAlign w:val="bottom"/>
          </w:tcPr>
          <w:p>
            <w:pPr>
              <w:spacing w:after="0"/>
              <w:rPr>
                <w:sz w:val="17"/>
                <w:szCs w:val="17"/>
                <w:color w:val="auto"/>
              </w:rPr>
            </w:pPr>
          </w:p>
        </w:tc>
        <w:tc>
          <w:tcPr>
            <w:tcW w:w="2840" w:type="dxa"/>
            <w:vAlign w:val="bottom"/>
            <w:gridSpan w:val="4"/>
          </w:tcPr>
          <w:p>
            <w:pPr>
              <w:spacing w:after="0" w:line="201" w:lineRule="exact"/>
              <w:rPr>
                <w:sz w:val="20"/>
                <w:szCs w:val="20"/>
                <w:color w:val="auto"/>
              </w:rPr>
            </w:pPr>
            <w:r>
              <w:rPr>
                <w:rFonts w:ascii="Arial" w:cs="Arial" w:eastAsia="Arial" w:hAnsi="Arial"/>
                <w:sz w:val="18"/>
                <w:szCs w:val="18"/>
                <w:color w:val="auto"/>
              </w:rPr>
              <w:t>No  trading  of  the  units  or  the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or  promptly  after  the  date  of  this</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underlying</w:t>
            </w: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common</w:t>
            </w:r>
          </w:p>
        </w:tc>
        <w:tc>
          <w:tcPr>
            <w:tcW w:w="1040" w:type="dxa"/>
            <w:vAlign w:val="bottom"/>
          </w:tcPr>
          <w:p>
            <w:pPr>
              <w:jc w:val="right"/>
              <w:spacing w:after="0"/>
              <w:rPr>
                <w:sz w:val="20"/>
                <w:szCs w:val="20"/>
                <w:color w:val="auto"/>
              </w:rPr>
            </w:pPr>
            <w:r>
              <w:rPr>
                <w:rFonts w:ascii="Arial" w:cs="Arial" w:eastAsia="Arial" w:hAnsi="Arial"/>
                <w:sz w:val="18"/>
                <w:szCs w:val="18"/>
                <w:color w:val="auto"/>
              </w:rPr>
              <w:t>stock   and</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prospectus. The common stock and</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warrants would be permitted until the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warrants  comprising  the  units  will</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2"/>
              </w:rPr>
              <w:t>completion of a business combination.</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line="216" w:lineRule="exact"/>
              <w:rPr>
                <w:sz w:val="20"/>
                <w:szCs w:val="20"/>
                <w:color w:val="auto"/>
              </w:rPr>
            </w:pPr>
            <w:r>
              <w:rPr>
                <w:rFonts w:ascii="Arial" w:cs="Arial" w:eastAsia="Arial" w:hAnsi="Arial"/>
                <w:sz w:val="18"/>
                <w:szCs w:val="18"/>
                <w:color w:val="auto"/>
                <w:w w:val="95"/>
              </w:rPr>
              <w:t>begin to trade separately on the 90</w:t>
            </w:r>
            <w:r>
              <w:rPr>
                <w:rFonts w:ascii="Arial" w:cs="Arial" w:eastAsia="Arial" w:hAnsi="Arial"/>
                <w:sz w:val="21"/>
                <w:szCs w:val="21"/>
                <w:color w:val="auto"/>
                <w:w w:val="95"/>
                <w:vertAlign w:val="superscript"/>
              </w:rPr>
              <w:t>th</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During  this  period,  the  securities</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day after the date of this prospectus</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9"/>
              </w:rPr>
              <w:t>would be held in the escrow or trust</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2"/>
              </w:rPr>
              <w:t>unless Chardan Capital Markets, LLC</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account.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informs us of its decision to allow</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88"/>
              </w:rPr>
              <w:t>earlier separate trading (based upon its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0"/>
              </w:rPr>
              <w:t>assessment of the relative strengths of</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the  securities  markets  and  small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w w:val="99"/>
              </w:rPr>
              <w:t>capitalization</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companies  in</w:t>
            </w:r>
          </w:p>
        </w:tc>
        <w:tc>
          <w:tcPr>
            <w:tcW w:w="680" w:type="dxa"/>
            <w:vAlign w:val="bottom"/>
          </w:tcPr>
          <w:p>
            <w:pPr>
              <w:ind w:left="100"/>
              <w:spacing w:after="0"/>
              <w:rPr>
                <w:sz w:val="20"/>
                <w:szCs w:val="20"/>
                <w:color w:val="auto"/>
              </w:rPr>
            </w:pPr>
            <w:r>
              <w:rPr>
                <w:rFonts w:ascii="Arial" w:cs="Arial" w:eastAsia="Arial" w:hAnsi="Arial"/>
                <w:sz w:val="18"/>
                <w:szCs w:val="18"/>
                <w:color w:val="auto"/>
                <w:w w:val="86"/>
              </w:rPr>
              <w:t>general,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89"/>
              </w:rPr>
              <w:t>and the trading pattern of, and demand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for,  our  securities  in  particular),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1"/>
              </w:rPr>
              <w:t>provided we have filed with the SEC a</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9"/>
              </w:rPr>
              <w:t>Current Report on Form 8-K, which</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includes  an  audited  balance  sheet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reflecting our receipt of the proceeds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2220" w:type="dxa"/>
            <w:vAlign w:val="bottom"/>
            <w:gridSpan w:val="3"/>
          </w:tcPr>
          <w:p>
            <w:pPr>
              <w:ind w:left="100"/>
              <w:spacing w:after="0"/>
              <w:rPr>
                <w:sz w:val="20"/>
                <w:szCs w:val="20"/>
                <w:color w:val="auto"/>
              </w:rPr>
            </w:pPr>
            <w:r>
              <w:rPr>
                <w:rFonts w:ascii="Arial" w:cs="Arial" w:eastAsia="Arial" w:hAnsi="Arial"/>
                <w:sz w:val="18"/>
                <w:szCs w:val="18"/>
                <w:color w:val="auto"/>
              </w:rPr>
              <w:t>of this offering.</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5"/>
        </w:trPr>
        <w:tc>
          <w:tcPr>
            <w:tcW w:w="2260" w:type="dxa"/>
            <w:vAlign w:val="bottom"/>
          </w:tcPr>
          <w:p>
            <w:pPr>
              <w:spacing w:after="0"/>
              <w:rPr>
                <w:sz w:val="20"/>
                <w:szCs w:val="20"/>
                <w:color w:val="auto"/>
              </w:rPr>
            </w:pPr>
            <w:r>
              <w:rPr>
                <w:rFonts w:ascii="Arial" w:cs="Arial" w:eastAsia="Arial" w:hAnsi="Arial"/>
                <w:sz w:val="18"/>
                <w:szCs w:val="18"/>
                <w:color w:val="auto"/>
              </w:rPr>
              <w:t>Exercise of the warrants</w:t>
            </w: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89"/>
              </w:rPr>
              <w:t>The warrants cannot be exercised until</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3"/>
              </w:rPr>
              <w:t>The warrants could be exercised prior</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the  later  of  30  days  after  the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to  the  completion  of  a  business</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9"/>
              </w:rPr>
              <w:t>completion  of  our  initial  business</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97"/>
              </w:rPr>
              <w:t>combination,</w:t>
            </w:r>
          </w:p>
        </w:tc>
        <w:tc>
          <w:tcPr>
            <w:tcW w:w="340" w:type="dxa"/>
            <w:vAlign w:val="bottom"/>
          </w:tcPr>
          <w:p>
            <w:pPr>
              <w:jc w:val="center"/>
              <w:spacing w:after="0"/>
              <w:rPr>
                <w:sz w:val="20"/>
                <w:szCs w:val="20"/>
                <w:color w:val="auto"/>
              </w:rPr>
            </w:pPr>
            <w:r>
              <w:rPr>
                <w:rFonts w:ascii="Arial" w:cs="Arial" w:eastAsia="Arial" w:hAnsi="Arial"/>
                <w:sz w:val="18"/>
                <w:szCs w:val="18"/>
                <w:color w:val="auto"/>
                <w:w w:val="95"/>
              </w:rPr>
              <w:t>but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w w:val="93"/>
              </w:rPr>
              <w:t>securities  received</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9"/>
              </w:rPr>
              <w:t>combination or 12 months from the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7"/>
              </w:rPr>
              <w:t>and cash paid in connection with the</w:t>
            </w:r>
          </w:p>
        </w:tc>
      </w:tr>
      <w:tr>
        <w:trPr>
          <w:trHeight w:val="216"/>
        </w:trPr>
        <w:tc>
          <w:tcPr>
            <w:tcW w:w="2260" w:type="dxa"/>
            <w:vAlign w:val="bottom"/>
          </w:tcPr>
          <w:p>
            <w:pPr>
              <w:spacing w:after="0"/>
              <w:rPr>
                <w:sz w:val="18"/>
                <w:szCs w:val="18"/>
                <w:color w:val="auto"/>
              </w:rPr>
            </w:pPr>
          </w:p>
        </w:tc>
        <w:tc>
          <w:tcPr>
            <w:tcW w:w="2220" w:type="dxa"/>
            <w:vAlign w:val="bottom"/>
            <w:gridSpan w:val="3"/>
          </w:tcPr>
          <w:p>
            <w:pPr>
              <w:ind w:left="100"/>
              <w:spacing w:after="0"/>
              <w:rPr>
                <w:sz w:val="20"/>
                <w:szCs w:val="20"/>
                <w:color w:val="auto"/>
              </w:rPr>
            </w:pPr>
            <w:r>
              <w:rPr>
                <w:rFonts w:ascii="Arial" w:cs="Arial" w:eastAsia="Arial" w:hAnsi="Arial"/>
                <w:sz w:val="18"/>
                <w:szCs w:val="18"/>
                <w:color w:val="auto"/>
              </w:rPr>
              <w:t>closing of this offering.</w:t>
            </w:r>
          </w:p>
        </w:tc>
        <w:tc>
          <w:tcPr>
            <w:tcW w:w="680" w:type="dxa"/>
            <w:vAlign w:val="bottom"/>
          </w:tcPr>
          <w:p>
            <w:pPr>
              <w:spacing w:after="0"/>
              <w:rPr>
                <w:sz w:val="18"/>
                <w:szCs w:val="18"/>
                <w:color w:val="auto"/>
              </w:rPr>
            </w:pP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exercise would be deposited in the</w:t>
            </w:r>
          </w:p>
        </w:tc>
      </w:tr>
      <w:tr>
        <w:trPr>
          <w:trHeight w:val="230"/>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20" w:type="dxa"/>
            <w:vAlign w:val="bottom"/>
            <w:gridSpan w:val="4"/>
          </w:tcPr>
          <w:p>
            <w:pPr>
              <w:ind w:left="120"/>
              <w:spacing w:after="0"/>
              <w:rPr>
                <w:sz w:val="20"/>
                <w:szCs w:val="20"/>
                <w:color w:val="auto"/>
              </w:rPr>
            </w:pPr>
            <w:r>
              <w:rPr>
                <w:rFonts w:ascii="Arial" w:cs="Arial" w:eastAsia="Arial" w:hAnsi="Arial"/>
                <w:sz w:val="18"/>
                <w:szCs w:val="18"/>
                <w:color w:val="auto"/>
                <w:w w:val="93"/>
              </w:rPr>
              <w:t>escrow or trust account.</w:t>
            </w:r>
          </w:p>
        </w:tc>
        <w:tc>
          <w:tcPr>
            <w:tcW w:w="1040" w:type="dxa"/>
            <w:vAlign w:val="bottom"/>
          </w:tcPr>
          <w:p>
            <w:pPr>
              <w:spacing w:after="0"/>
              <w:rPr>
                <w:sz w:val="20"/>
                <w:szCs w:val="20"/>
                <w:color w:val="auto"/>
              </w:rPr>
            </w:pPr>
          </w:p>
        </w:tc>
      </w:tr>
      <w:tr>
        <w:trPr>
          <w:trHeight w:val="445"/>
        </w:trPr>
        <w:tc>
          <w:tcPr>
            <w:tcW w:w="2260" w:type="dxa"/>
            <w:vAlign w:val="bottom"/>
          </w:tcPr>
          <w:p>
            <w:pPr>
              <w:spacing w:after="0"/>
              <w:rPr>
                <w:sz w:val="20"/>
                <w:szCs w:val="20"/>
                <w:color w:val="auto"/>
              </w:rPr>
            </w:pPr>
            <w:r>
              <w:rPr>
                <w:rFonts w:ascii="Arial" w:cs="Arial" w:eastAsia="Arial" w:hAnsi="Arial"/>
                <w:sz w:val="18"/>
                <w:szCs w:val="18"/>
                <w:color w:val="auto"/>
                <w:w w:val="94"/>
              </w:rPr>
              <w:t>Election to remain an investor</w:t>
            </w: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We   will   either   (i)   give   our</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95"/>
              </w:rPr>
              <w:t>A prospectus</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containing information</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stockholders the opportunity to vote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1"/>
              </w:rPr>
              <w:t>pertaining to the business combination</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on the business combination or (ii)</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4"/>
              </w:rPr>
              <w:t>required by the SEC would be sent to</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provide our public stockholders with</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3"/>
              </w:rPr>
              <w:t>each investor. Each investor would be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the opportunity to sell their shares of</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given the opportunity to notify the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our common stock for cash equal to</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company in writing, within a period of</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6"/>
              </w:rPr>
              <w:t>their pro rata share of the aggregate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3"/>
              </w:rPr>
              <w:t>no less than 20 business days and no</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amount then on deposit in the trust</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more than 45 business days from the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account,  less  taxes.  If  we  hold  a</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effective  date  of  a  post-effective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meeting  to  approve  a  proposed</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amendment</w:t>
            </w:r>
          </w:p>
        </w:tc>
        <w:tc>
          <w:tcPr>
            <w:tcW w:w="3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440" w:type="dxa"/>
            <w:vAlign w:val="bottom"/>
          </w:tcPr>
          <w:p>
            <w:pPr>
              <w:ind w:left="180"/>
              <w:spacing w:after="0"/>
              <w:rPr>
                <w:sz w:val="20"/>
                <w:szCs w:val="20"/>
                <w:color w:val="auto"/>
              </w:rPr>
            </w:pPr>
            <w:r>
              <w:rPr>
                <w:rFonts w:ascii="Arial" w:cs="Arial" w:eastAsia="Arial" w:hAnsi="Arial"/>
                <w:sz w:val="18"/>
                <w:szCs w:val="18"/>
                <w:color w:val="auto"/>
                <w:w w:val="95"/>
              </w:rPr>
              <w:t>the</w:t>
            </w:r>
          </w:p>
        </w:tc>
        <w:tc>
          <w:tcPr>
            <w:tcW w:w="1040" w:type="dxa"/>
            <w:vAlign w:val="bottom"/>
          </w:tcPr>
          <w:p>
            <w:pPr>
              <w:jc w:val="right"/>
              <w:spacing w:after="0"/>
              <w:rPr>
                <w:sz w:val="20"/>
                <w:szCs w:val="20"/>
                <w:color w:val="auto"/>
              </w:rPr>
            </w:pPr>
            <w:r>
              <w:rPr>
                <w:rFonts w:ascii="Arial" w:cs="Arial" w:eastAsia="Arial" w:hAnsi="Arial"/>
                <w:sz w:val="18"/>
                <w:szCs w:val="18"/>
                <w:color w:val="auto"/>
              </w:rPr>
              <w:t>company’s</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9"/>
              </w:rPr>
              <w:t>business combination, we will send</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3"/>
              </w:rPr>
              <w:t>registration statement, to decide if 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each stockholder a proxy statement</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1"/>
              </w:rPr>
              <w:t>she or it elects to remain a stockholder</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2"/>
              </w:rPr>
              <w:t>containing information required by the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1"/>
              </w:rPr>
              <w:t>of the company or require the return of</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2"/>
              </w:rPr>
              <w:t>SEC. Alternatively, if we do not hold a</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his,  her  or  its  investment.  If  the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2"/>
              </w:rPr>
              <w:t>meeting and instead conduct a tender</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company   has   not   received   the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offer,  we  will  conduct  such  tender</w:t>
            </w:r>
          </w:p>
        </w:tc>
        <w:tc>
          <w:tcPr>
            <w:tcW w:w="2960" w:type="dxa"/>
            <w:vAlign w:val="bottom"/>
            <w:gridSpan w:val="5"/>
          </w:tcPr>
          <w:p>
            <w:pPr>
              <w:ind w:left="120"/>
              <w:spacing w:after="0" w:line="216" w:lineRule="exact"/>
              <w:rPr>
                <w:sz w:val="20"/>
                <w:szCs w:val="20"/>
                <w:color w:val="auto"/>
              </w:rPr>
            </w:pPr>
            <w:r>
              <w:rPr>
                <w:rFonts w:ascii="Arial" w:cs="Arial" w:eastAsia="Arial" w:hAnsi="Arial"/>
                <w:sz w:val="18"/>
                <w:szCs w:val="18"/>
                <w:color w:val="auto"/>
              </w:rPr>
              <w:t>notification by the end of the 45</w:t>
            </w:r>
            <w:r>
              <w:rPr>
                <w:rFonts w:ascii="Arial" w:cs="Arial" w:eastAsia="Arial" w:hAnsi="Arial"/>
                <w:sz w:val="21"/>
                <w:szCs w:val="21"/>
                <w:color w:val="auto"/>
                <w:vertAlign w:val="superscript"/>
              </w:rPr>
              <w:t>th</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offer in accordance with the tender</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2"/>
              </w:rPr>
              <w:t>business  day,  funds  and  interest  or</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offer rules of the SEC and file tender</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9"/>
              </w:rPr>
              <w:t>dividends, if any, held in the trust or</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6"/>
              </w:rPr>
              <w:t>offer documents with the SEC which</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escrow  account</w:t>
            </w:r>
          </w:p>
        </w:tc>
        <w:tc>
          <w:tcPr>
            <w:tcW w:w="440" w:type="dxa"/>
            <w:vAlign w:val="bottom"/>
          </w:tcPr>
          <w:p>
            <w:pPr>
              <w:ind w:left="80"/>
              <w:spacing w:after="0"/>
              <w:rPr>
                <w:sz w:val="20"/>
                <w:szCs w:val="20"/>
                <w:color w:val="auto"/>
              </w:rPr>
            </w:pPr>
            <w:r>
              <w:rPr>
                <w:rFonts w:ascii="Arial" w:cs="Arial" w:eastAsia="Arial" w:hAnsi="Arial"/>
                <w:sz w:val="18"/>
                <w:szCs w:val="18"/>
                <w:color w:val="auto"/>
              </w:rPr>
              <w:t>are</w:t>
            </w: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automatically</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will  contain  substantially  the  same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returned to the stockholder. Unless a</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financial and other information about</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4"/>
              </w:rPr>
              <w:t>sufficient number of investors elect to</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2"/>
              </w:rPr>
              <w:t>the initial business combination as we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4"/>
              </w:rPr>
              <w:t>remain investors, all funds on deposit</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would  have  included  in  a  proxy</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89"/>
              </w:rPr>
              <w:t>in the escrow account must be returned</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statement. Under Delaware law and</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to all of the investors and none of the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our bylaws, we must provide at least</w:t>
            </w:r>
          </w:p>
        </w:tc>
        <w:tc>
          <w:tcPr>
            <w:tcW w:w="1920" w:type="dxa"/>
            <w:vAlign w:val="bottom"/>
            <w:gridSpan w:val="4"/>
          </w:tcPr>
          <w:p>
            <w:pPr>
              <w:ind w:left="120"/>
              <w:spacing w:after="0"/>
              <w:rPr>
                <w:sz w:val="20"/>
                <w:szCs w:val="20"/>
                <w:color w:val="auto"/>
              </w:rPr>
            </w:pPr>
            <w:r>
              <w:rPr>
                <w:rFonts w:ascii="Arial" w:cs="Arial" w:eastAsia="Arial" w:hAnsi="Arial"/>
                <w:sz w:val="18"/>
                <w:szCs w:val="18"/>
                <w:color w:val="auto"/>
              </w:rPr>
              <w:t>securities are issued.</w:t>
            </w: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89"/>
              </w:rPr>
              <w:t>10 days advance notice of any meeting</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9"/>
              </w:rPr>
              <w:t>of stockholders. Accordingly, this is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w w:val="96"/>
              </w:rPr>
              <w:t>the  minimum</w:t>
            </w:r>
          </w:p>
        </w:tc>
        <w:tc>
          <w:tcPr>
            <w:tcW w:w="1060" w:type="dxa"/>
            <w:vAlign w:val="bottom"/>
          </w:tcPr>
          <w:p>
            <w:pPr>
              <w:jc w:val="center"/>
              <w:spacing w:after="0"/>
              <w:rPr>
                <w:sz w:val="20"/>
                <w:szCs w:val="20"/>
                <w:color w:val="auto"/>
              </w:rPr>
            </w:pPr>
            <w:r>
              <w:rPr>
                <w:rFonts w:ascii="Arial" w:cs="Arial" w:eastAsia="Arial" w:hAnsi="Arial"/>
                <w:sz w:val="18"/>
                <w:szCs w:val="18"/>
                <w:color w:val="auto"/>
                <w:w w:val="96"/>
              </w:rPr>
              <w:t>amount  of</w:t>
            </w:r>
          </w:p>
        </w:tc>
        <w:tc>
          <w:tcPr>
            <w:tcW w:w="680" w:type="dxa"/>
            <w:vAlign w:val="bottom"/>
          </w:tcPr>
          <w:p>
            <w:pPr>
              <w:spacing w:after="0"/>
              <w:rPr>
                <w:sz w:val="20"/>
                <w:szCs w:val="20"/>
                <w:color w:val="auto"/>
              </w:rPr>
            </w:pPr>
            <w:r>
              <w:rPr>
                <w:rFonts w:ascii="Arial" w:cs="Arial" w:eastAsia="Arial" w:hAnsi="Arial"/>
                <w:sz w:val="18"/>
                <w:szCs w:val="18"/>
                <w:color w:val="auto"/>
                <w:w w:val="98"/>
              </w:rPr>
              <w:t>time  we</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ind w:left="2820"/>
        <w:spacing w:after="0"/>
        <w:rPr>
          <w:sz w:val="20"/>
          <w:szCs w:val="20"/>
          <w:color w:val="auto"/>
        </w:rPr>
      </w:pPr>
      <w:r>
        <w:rPr>
          <w:rFonts w:ascii="Arial" w:cs="Arial" w:eastAsia="Arial" w:hAnsi="Arial"/>
          <w:sz w:val="18"/>
          <w:szCs w:val="18"/>
          <w:color w:val="auto"/>
        </w:rPr>
        <w:t>would  need  to  provide  holders  to</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determine whether to exercise their</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rights to convert their shares into cash</w:t>
      </w:r>
    </w:p>
    <w:p>
      <w:pPr>
        <w:spacing w:after="0" w:line="9" w:lineRule="exact"/>
        <w:rPr>
          <w:sz w:val="20"/>
          <w:szCs w:val="20"/>
          <w:color w:val="auto"/>
        </w:rPr>
      </w:pPr>
    </w:p>
    <w:p>
      <w:pPr>
        <w:ind w:left="2820"/>
        <w:spacing w:after="0"/>
        <w:tabs>
          <w:tab w:leader="none" w:pos="3080" w:val="left"/>
          <w:tab w:leader="none" w:pos="3380" w:val="left"/>
          <w:tab w:leader="none" w:pos="4020" w:val="left"/>
          <w:tab w:leader="none" w:pos="4340" w:val="left"/>
          <w:tab w:leader="none" w:pos="5060" w:val="left"/>
          <w:tab w:leader="none" w:pos="5340" w:val="left"/>
        </w:tabs>
        <w:rPr>
          <w:sz w:val="20"/>
          <w:szCs w:val="20"/>
          <w:color w:val="auto"/>
        </w:rPr>
      </w:pPr>
      <w:r>
        <w:rPr>
          <w:rFonts w:ascii="Arial" w:cs="Arial" w:eastAsia="Arial" w:hAnsi="Arial"/>
          <w:sz w:val="18"/>
          <w:szCs w:val="18"/>
          <w:color w:val="auto"/>
        </w:rPr>
        <w:t>or</w:t>
        <w:tab/>
        <w:t>to</w:t>
        <w:tab/>
        <w:t>remain</w:t>
        <w:tab/>
        <w:t>an</w:t>
        <w:tab/>
        <w:t>investor</w:t>
        <w:tab/>
        <w:t>in</w:t>
      </w:r>
      <w:r>
        <w:rPr>
          <w:sz w:val="20"/>
          <w:szCs w:val="20"/>
          <w:color w:val="auto"/>
        </w:rPr>
        <w:tab/>
      </w:r>
      <w:r>
        <w:rPr>
          <w:rFonts w:ascii="Arial" w:cs="Arial" w:eastAsia="Arial" w:hAnsi="Arial"/>
          <w:sz w:val="16"/>
          <w:szCs w:val="16"/>
          <w:color w:val="auto"/>
        </w:rPr>
        <w:t>our</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53" w:right="1440" w:bottom="1440" w:gutter="0" w:footer="0" w:header="0"/>
        </w:sectPr>
      </w:pPr>
    </w:p>
    <w:bookmarkStart w:id="68" w:name="page69"/>
    <w:bookmarkEnd w:id="68"/>
    <w:tbl>
      <w:tblPr>
        <w:tblLayout w:type="fixed"/>
        <w:tblInd w:w="46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Borders>
              <w:bottom w:val="single" w:sz="8" w:color="auto"/>
            </w:tcBorders>
            <w:gridSpan w:val="6"/>
          </w:tcPr>
          <w:p>
            <w:pPr>
              <w:ind w:left="640"/>
              <w:spacing w:after="0"/>
              <w:rPr>
                <w:sz w:val="20"/>
                <w:szCs w:val="20"/>
                <w:color w:val="auto"/>
              </w:rPr>
            </w:pPr>
            <w:r>
              <w:rPr>
                <w:rFonts w:ascii="Arial" w:cs="Arial" w:eastAsia="Arial" w:hAnsi="Arial"/>
                <w:sz w:val="16"/>
                <w:szCs w:val="16"/>
                <w:b w:val="1"/>
                <w:bCs w:val="1"/>
                <w:color w:val="auto"/>
              </w:rPr>
              <w:t>Terms of the Offering</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Terms Under a Rule 419 Offering</w:t>
            </w:r>
          </w:p>
        </w:tc>
      </w:tr>
      <w:tr>
        <w:trPr>
          <w:trHeight w:val="201"/>
        </w:trPr>
        <w:tc>
          <w:tcPr>
            <w:tcW w:w="2300" w:type="dxa"/>
            <w:vAlign w:val="bottom"/>
          </w:tcPr>
          <w:p>
            <w:pPr>
              <w:spacing w:after="0" w:line="201" w:lineRule="exact"/>
              <w:rPr>
                <w:sz w:val="20"/>
                <w:szCs w:val="20"/>
                <w:color w:val="auto"/>
              </w:rPr>
            </w:pPr>
            <w:r>
              <w:rPr>
                <w:rFonts w:ascii="Arial" w:cs="Arial" w:eastAsia="Arial" w:hAnsi="Arial"/>
                <w:sz w:val="18"/>
                <w:szCs w:val="18"/>
                <w:color w:val="auto"/>
                <w:w w:val="91"/>
              </w:rPr>
              <w:t>Business combination deadline</w:t>
            </w:r>
          </w:p>
        </w:tc>
        <w:tc>
          <w:tcPr>
            <w:tcW w:w="80" w:type="dxa"/>
            <w:vAlign w:val="bottom"/>
          </w:tcPr>
          <w:p>
            <w:pPr>
              <w:spacing w:after="0"/>
              <w:rPr>
                <w:sz w:val="17"/>
                <w:szCs w:val="17"/>
                <w:color w:val="auto"/>
              </w:rPr>
            </w:pPr>
          </w:p>
        </w:tc>
        <w:tc>
          <w:tcPr>
            <w:tcW w:w="680" w:type="dxa"/>
            <w:vAlign w:val="bottom"/>
          </w:tcPr>
          <w:p>
            <w:pPr>
              <w:spacing w:after="0" w:line="201" w:lineRule="exact"/>
              <w:rPr>
                <w:sz w:val="20"/>
                <w:szCs w:val="20"/>
                <w:color w:val="auto"/>
              </w:rPr>
            </w:pPr>
            <w:r>
              <w:rPr>
                <w:rFonts w:ascii="Arial" w:cs="Arial" w:eastAsia="Arial" w:hAnsi="Arial"/>
                <w:sz w:val="18"/>
                <w:szCs w:val="18"/>
                <w:color w:val="auto"/>
                <w:w w:val="91"/>
              </w:rPr>
              <w:t>Pursuant</w:t>
            </w:r>
          </w:p>
        </w:tc>
        <w:tc>
          <w:tcPr>
            <w:tcW w:w="320" w:type="dxa"/>
            <w:vAlign w:val="bottom"/>
          </w:tcPr>
          <w:p>
            <w:pPr>
              <w:ind w:left="160"/>
              <w:spacing w:after="0" w:line="201" w:lineRule="exact"/>
              <w:rPr>
                <w:sz w:val="20"/>
                <w:szCs w:val="20"/>
                <w:color w:val="auto"/>
              </w:rPr>
            </w:pPr>
            <w:r>
              <w:rPr>
                <w:rFonts w:ascii="Arial" w:cs="Arial" w:eastAsia="Arial" w:hAnsi="Arial"/>
                <w:sz w:val="18"/>
                <w:szCs w:val="18"/>
                <w:color w:val="auto"/>
                <w:w w:val="92"/>
              </w:rPr>
              <w:t>to</w:t>
            </w:r>
          </w:p>
        </w:tc>
        <w:tc>
          <w:tcPr>
            <w:tcW w:w="200" w:type="dxa"/>
            <w:vAlign w:val="bottom"/>
          </w:tcPr>
          <w:p>
            <w:pPr>
              <w:spacing w:after="0"/>
              <w:rPr>
                <w:sz w:val="17"/>
                <w:szCs w:val="17"/>
                <w:color w:val="auto"/>
              </w:rPr>
            </w:pPr>
          </w:p>
        </w:tc>
        <w:tc>
          <w:tcPr>
            <w:tcW w:w="36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2"/>
              </w:rPr>
              <w:t>our</w:t>
            </w:r>
          </w:p>
        </w:tc>
        <w:tc>
          <w:tcPr>
            <w:tcW w:w="86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3"/>
              </w:rPr>
              <w:t>certificate</w:t>
            </w: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rPr>
              <w:t>of</w:t>
            </w:r>
          </w:p>
        </w:tc>
        <w:tc>
          <w:tcPr>
            <w:tcW w:w="1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If  an  acquisition  has  not  been</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7"/>
              </w:rPr>
              <w:t>incorporation,  if  we  are  unable  to</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5"/>
              </w:rPr>
              <w:t>completed within 18 months after the</w:t>
            </w:r>
          </w:p>
        </w:tc>
      </w:tr>
      <w:tr>
        <w:trPr>
          <w:trHeight w:val="216"/>
        </w:trPr>
        <w:tc>
          <w:tcPr>
            <w:tcW w:w="230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w w:val="93"/>
              </w:rPr>
              <w:t>complete</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w w:val="92"/>
              </w:rPr>
              <w:t>our</w:t>
            </w: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initial</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business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effective  date  of  the  company’s</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9"/>
              </w:rPr>
              <w:t>combination within 18 months from</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8"/>
              </w:rPr>
              <w:t>registration statement, funds held in</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the closing of this offering (or 21</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the  trust  or  escrow  account  are</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months  from  the  closing  of  this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returned to investors.</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offering  if  the  extension  criteria</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4"/>
              </w:rPr>
              <w:t>described elsewhere is satisfied), we</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4"/>
              </w:rPr>
              <w:t>will (i) cease all operations except for</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the purpose of winding up, (ii) as</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6"/>
              </w:rPr>
              <w:t>promptly as reasonably possible but</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7"/>
              </w:rPr>
              <w:t>not  more  than  ten  business  days</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thereafter,  redeem  100%  of  the</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auto"/>
              </w:rPr>
              <w:t>outstanding</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public</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shares  which</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3"/>
              </w:rPr>
              <w:t>redemption will completely extinguish</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public</w:t>
            </w:r>
          </w:p>
        </w:tc>
        <w:tc>
          <w:tcPr>
            <w:tcW w:w="1240" w:type="dxa"/>
            <w:vAlign w:val="bottom"/>
            <w:gridSpan w:val="4"/>
          </w:tcPr>
          <w:p>
            <w:pPr>
              <w:ind w:left="20"/>
              <w:spacing w:after="0"/>
              <w:rPr>
                <w:sz w:val="20"/>
                <w:szCs w:val="20"/>
                <w:color w:val="auto"/>
              </w:rPr>
            </w:pPr>
            <w:r>
              <w:rPr>
                <w:rFonts w:ascii="Arial" w:cs="Arial" w:eastAsia="Arial" w:hAnsi="Arial"/>
                <w:sz w:val="18"/>
                <w:szCs w:val="18"/>
                <w:color w:val="auto"/>
              </w:rPr>
              <w:t>stockholders’</w:t>
            </w:r>
          </w:p>
        </w:tc>
        <w:tc>
          <w:tcPr>
            <w:tcW w:w="500" w:type="dxa"/>
            <w:vAlign w:val="bottom"/>
          </w:tcPr>
          <w:p>
            <w:pPr>
              <w:jc w:val="center"/>
              <w:spacing w:after="0"/>
              <w:rPr>
                <w:sz w:val="20"/>
                <w:szCs w:val="20"/>
                <w:color w:val="auto"/>
              </w:rPr>
            </w:pPr>
            <w:r>
              <w:rPr>
                <w:rFonts w:ascii="Arial" w:cs="Arial" w:eastAsia="Arial" w:hAnsi="Arial"/>
                <w:sz w:val="18"/>
                <w:szCs w:val="18"/>
                <w:color w:val="auto"/>
                <w:w w:val="95"/>
              </w:rPr>
              <w:t>rights</w:t>
            </w:r>
          </w:p>
        </w:tc>
        <w:tc>
          <w:tcPr>
            <w:tcW w:w="360" w:type="dxa"/>
            <w:vAlign w:val="bottom"/>
          </w:tcPr>
          <w:p>
            <w:pPr>
              <w:jc w:val="right"/>
              <w:spacing w:after="0"/>
              <w:rPr>
                <w:sz w:val="20"/>
                <w:szCs w:val="20"/>
                <w:color w:val="auto"/>
              </w:rPr>
            </w:pPr>
            <w:r>
              <w:rPr>
                <w:rFonts w:ascii="Arial" w:cs="Arial" w:eastAsia="Arial" w:hAnsi="Arial"/>
                <w:sz w:val="18"/>
                <w:szCs w:val="18"/>
                <w:color w:val="auto"/>
              </w:rPr>
              <w:t>as</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stockholders (including the right to</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receive</w:t>
            </w:r>
          </w:p>
        </w:tc>
        <w:tc>
          <w:tcPr>
            <w:tcW w:w="3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2"/>
              </w:rPr>
              <w:t>further</w:t>
            </w:r>
          </w:p>
        </w:tc>
        <w:tc>
          <w:tcPr>
            <w:tcW w:w="3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liquidation</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distributions,  if  any),  subject  to</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1"/>
              </w:rPr>
              <w:t>applicable law, and (iii) as promptly as</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640" w:type="dxa"/>
            <w:vAlign w:val="bottom"/>
            <w:gridSpan w:val="5"/>
          </w:tcPr>
          <w:p>
            <w:pPr>
              <w:ind w:left="60"/>
              <w:spacing w:after="0"/>
              <w:rPr>
                <w:sz w:val="20"/>
                <w:szCs w:val="20"/>
                <w:color w:val="auto"/>
              </w:rPr>
            </w:pPr>
            <w:r>
              <w:rPr>
                <w:rFonts w:ascii="Arial" w:cs="Arial" w:eastAsia="Arial" w:hAnsi="Arial"/>
                <w:sz w:val="18"/>
                <w:szCs w:val="18"/>
                <w:color w:val="auto"/>
                <w:w w:val="95"/>
              </w:rPr>
              <w:t>reasonably  possible</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following</w:t>
            </w:r>
          </w:p>
        </w:tc>
        <w:tc>
          <w:tcPr>
            <w:tcW w:w="360" w:type="dxa"/>
            <w:vAlign w:val="bottom"/>
          </w:tcPr>
          <w:p>
            <w:pPr>
              <w:jc w:val="right"/>
              <w:spacing w:after="0"/>
              <w:rPr>
                <w:sz w:val="20"/>
                <w:szCs w:val="20"/>
                <w:color w:val="auto"/>
              </w:rPr>
            </w:pPr>
            <w:r>
              <w:rPr>
                <w:rFonts w:ascii="Arial" w:cs="Arial" w:eastAsia="Arial" w:hAnsi="Arial"/>
                <w:sz w:val="18"/>
                <w:szCs w:val="18"/>
                <w:color w:val="auto"/>
                <w:w w:val="89"/>
              </w:rPr>
              <w:t>such</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2"/>
              </w:rPr>
              <w:t>redemption, subject to the approval of</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8"/>
              </w:rPr>
              <w:t>our remaining stockholders and our</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board  of  directors,  dissolve  and</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liquidate, subject (in the case of (ii)</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7"/>
              </w:rPr>
              <w:t>and  (iii)  above)  to  our  obligations</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under Delaware law to provide for</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claims</w:t>
            </w:r>
          </w:p>
        </w:tc>
        <w:tc>
          <w:tcPr>
            <w:tcW w:w="320" w:type="dxa"/>
            <w:vAlign w:val="bottom"/>
          </w:tcPr>
          <w:p>
            <w:pPr>
              <w:ind w:left="40"/>
              <w:spacing w:after="0"/>
              <w:rPr>
                <w:sz w:val="20"/>
                <w:szCs w:val="20"/>
                <w:color w:val="auto"/>
              </w:rPr>
            </w:pPr>
            <w:r>
              <w:rPr>
                <w:rFonts w:ascii="Arial" w:cs="Arial" w:eastAsia="Arial" w:hAnsi="Arial"/>
                <w:sz w:val="18"/>
                <w:szCs w:val="18"/>
                <w:color w:val="auto"/>
              </w:rPr>
              <w:t>of</w:t>
            </w:r>
          </w:p>
        </w:tc>
        <w:tc>
          <w:tcPr>
            <w:tcW w:w="920" w:type="dxa"/>
            <w:vAlign w:val="bottom"/>
            <w:gridSpan w:val="3"/>
          </w:tcPr>
          <w:p>
            <w:pPr>
              <w:ind w:left="140"/>
              <w:spacing w:after="0"/>
              <w:rPr>
                <w:sz w:val="20"/>
                <w:szCs w:val="20"/>
                <w:color w:val="auto"/>
              </w:rPr>
            </w:pPr>
            <w:r>
              <w:rPr>
                <w:rFonts w:ascii="Arial" w:cs="Arial" w:eastAsia="Arial" w:hAnsi="Arial"/>
                <w:sz w:val="18"/>
                <w:szCs w:val="18"/>
                <w:color w:val="auto"/>
              </w:rPr>
              <w:t>creditors</w:t>
            </w:r>
          </w:p>
        </w:tc>
        <w:tc>
          <w:tcPr>
            <w:tcW w:w="50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360" w:type="dxa"/>
            <w:vAlign w:val="bottom"/>
          </w:tcPr>
          <w:p>
            <w:pPr>
              <w:jc w:val="right"/>
              <w:spacing w:after="0"/>
              <w:rPr>
                <w:sz w:val="20"/>
                <w:szCs w:val="20"/>
                <w:color w:val="auto"/>
              </w:rPr>
            </w:pPr>
            <w:r>
              <w:rPr>
                <w:rFonts w:ascii="Arial" w:cs="Arial" w:eastAsia="Arial" w:hAnsi="Arial"/>
                <w:sz w:val="18"/>
                <w:szCs w:val="18"/>
                <w:color w:val="auto"/>
              </w:rPr>
              <w:t>the</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4"/>
              </w:rPr>
              <w:t>requirements of other applicable law.</w:t>
            </w: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45"/>
        </w:trPr>
        <w:tc>
          <w:tcPr>
            <w:tcW w:w="2300" w:type="dxa"/>
            <w:vAlign w:val="bottom"/>
          </w:tcPr>
          <w:p>
            <w:pPr>
              <w:spacing w:after="0"/>
              <w:rPr>
                <w:sz w:val="20"/>
                <w:szCs w:val="20"/>
                <w:color w:val="auto"/>
              </w:rPr>
            </w:pPr>
            <w:r>
              <w:rPr>
                <w:rFonts w:ascii="Arial" w:cs="Arial" w:eastAsia="Arial" w:hAnsi="Arial"/>
                <w:sz w:val="18"/>
                <w:szCs w:val="18"/>
                <w:color w:val="auto"/>
                <w:w w:val="93"/>
              </w:rPr>
              <w:t>Interest earned on the funds in</w:t>
            </w: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89"/>
              </w:rPr>
              <w:t>There can be released to us, from time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9"/>
              </w:rPr>
              <w:t>Interest on funds in escrow account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the trust account</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to time,</w:t>
            </w:r>
          </w:p>
        </w:tc>
        <w:tc>
          <w:tcPr>
            <w:tcW w:w="2100" w:type="dxa"/>
            <w:vAlign w:val="bottom"/>
            <w:gridSpan w:val="6"/>
          </w:tcPr>
          <w:p>
            <w:pPr>
              <w:ind w:left="20"/>
              <w:spacing w:after="0"/>
              <w:rPr>
                <w:sz w:val="20"/>
                <w:szCs w:val="20"/>
                <w:color w:val="auto"/>
              </w:rPr>
            </w:pPr>
            <w:r>
              <w:rPr>
                <w:rFonts w:ascii="Arial" w:cs="Arial" w:eastAsia="Arial" w:hAnsi="Arial"/>
                <w:sz w:val="18"/>
                <w:szCs w:val="18"/>
                <w:color w:val="auto"/>
                <w:w w:val="98"/>
              </w:rPr>
              <w:t>any interest earned on the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9"/>
              </w:rPr>
              <w:t>would be held for the sole benefit of</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5"/>
              </w:rPr>
              <w:t>funds in the trust account (1) that we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investors, unless and only after the</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6"/>
              </w:rPr>
              <w:t>may need to pay our tax obligations,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funds held in escrow were released to</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5"/>
              </w:rPr>
              <w:t>(2)  any  remaining  interest  that  we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7"/>
              </w:rPr>
              <w:t>us in connection with our completion</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need   for   our   working   capital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of a business combination.</w:t>
            </w:r>
          </w:p>
        </w:tc>
      </w:tr>
      <w:tr>
        <w:trPr>
          <w:trHeight w:val="230"/>
        </w:trPr>
        <w:tc>
          <w:tcPr>
            <w:tcW w:w="2300" w:type="dxa"/>
            <w:vAlign w:val="bottom"/>
          </w:tcPr>
          <w:p>
            <w:pPr>
              <w:spacing w:after="0"/>
              <w:rPr>
                <w:sz w:val="20"/>
                <w:szCs w:val="20"/>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auto"/>
                <w:w w:val="90"/>
              </w:rPr>
              <w:t>requirements.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45"/>
        </w:trPr>
        <w:tc>
          <w:tcPr>
            <w:tcW w:w="2300" w:type="dxa"/>
            <w:vAlign w:val="bottom"/>
          </w:tcPr>
          <w:p>
            <w:pPr>
              <w:spacing w:after="0"/>
              <w:rPr>
                <w:sz w:val="20"/>
                <w:szCs w:val="20"/>
                <w:color w:val="auto"/>
              </w:rPr>
            </w:pPr>
            <w:r>
              <w:rPr>
                <w:rFonts w:ascii="Arial" w:cs="Arial" w:eastAsia="Arial" w:hAnsi="Arial"/>
                <w:sz w:val="18"/>
                <w:szCs w:val="18"/>
                <w:color w:val="auto"/>
              </w:rPr>
              <w:t>Release of funds</w:t>
            </w: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6"/>
              </w:rPr>
              <w:t>Except for (1) interest earned on the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8"/>
              </w:rPr>
              <w:t>The  proceeds  held  in  the  escrow</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7"/>
              </w:rPr>
              <w:t>funds in the trust account (which we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6"/>
              </w:rPr>
              <w:t>account  are  not  released  until  the</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2"/>
              </w:rPr>
              <w:t>estimate to be approximately $87,500</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earlier of the completion of a business</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5"/>
              </w:rPr>
              <w:t>over a 21 month period assuming an</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8"/>
              </w:rPr>
              <w:t>combination or the failure to effect a</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4"/>
              </w:rPr>
              <w:t>interest rate of 0.1% per annum) that</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9"/>
              </w:rPr>
              <w:t>business   combination   within   the</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5"/>
              </w:rPr>
              <w:t>may be released to us to pay our tax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allotted time.</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2"/>
              </w:rPr>
              <w:t>obligations (which we estimate will be</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w w:val="98"/>
              </w:rPr>
              <w:t>nominal)</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and</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99"/>
              </w:rPr>
              <w:t>(2)</w:t>
            </w:r>
          </w:p>
        </w:tc>
        <w:tc>
          <w:tcPr>
            <w:tcW w:w="360" w:type="dxa"/>
            <w:vAlign w:val="bottom"/>
          </w:tcPr>
          <w:p>
            <w:pPr>
              <w:ind w:left="60"/>
              <w:spacing w:after="0"/>
              <w:rPr>
                <w:sz w:val="20"/>
                <w:szCs w:val="20"/>
                <w:color w:val="auto"/>
              </w:rPr>
            </w:pPr>
            <w:r>
              <w:rPr>
                <w:rFonts w:ascii="Arial" w:cs="Arial" w:eastAsia="Arial" w:hAnsi="Arial"/>
                <w:sz w:val="18"/>
                <w:szCs w:val="18"/>
                <w:color w:val="auto"/>
                <w:w w:val="96"/>
              </w:rPr>
              <w:t>any</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remaining</w:t>
            </w: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r>
    </w:tbl>
    <w:p>
      <w:pPr>
        <w:ind w:left="2820"/>
        <w:spacing w:after="0"/>
        <w:rPr>
          <w:sz w:val="20"/>
          <w:szCs w:val="20"/>
          <w:color w:val="auto"/>
        </w:rPr>
      </w:pPr>
      <w:r>
        <w:rPr>
          <w:rFonts w:ascii="Arial" w:cs="Arial" w:eastAsia="Arial" w:hAnsi="Arial"/>
          <w:sz w:val="18"/>
          <w:szCs w:val="18"/>
          <w:color w:val="auto"/>
        </w:rPr>
        <w:t>interest that we may need for our</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working capital requirements that may</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be released to us from the interest</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earned on the trust account balance,</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the proceeds held in the trust account</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will not be released until the earlier of</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the completion of our initial business</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combination and our liquidation upon</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failure to effect our initial business</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combination within the allotted time.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53" w:right="1440" w:bottom="1440" w:gutter="0" w:footer="0" w:header="0"/>
        </w:sectPr>
      </w:pPr>
    </w:p>
    <w:bookmarkStart w:id="69" w:name="page70"/>
    <w:bookmarkEnd w:id="69"/>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Directors and Executive Officers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current directors, director nominees and executive officers are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3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Age</w:t>
            </w:r>
          </w:p>
        </w:tc>
        <w:tc>
          <w:tcPr>
            <w:tcW w:w="120" w:type="dxa"/>
            <w:vAlign w:val="bottom"/>
          </w:tcPr>
          <w:p>
            <w:pPr>
              <w:spacing w:after="0"/>
              <w:rPr>
                <w:sz w:val="18"/>
                <w:szCs w:val="18"/>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Position</w:t>
            </w:r>
          </w:p>
        </w:tc>
      </w:tr>
      <w:tr>
        <w:trPr>
          <w:trHeight w:val="239"/>
        </w:trPr>
        <w:tc>
          <w:tcPr>
            <w:tcW w:w="3200" w:type="dxa"/>
            <w:vAlign w:val="bottom"/>
          </w:tcPr>
          <w:p>
            <w:pPr>
              <w:spacing w:after="0"/>
              <w:rPr>
                <w:sz w:val="20"/>
                <w:szCs w:val="20"/>
                <w:color w:val="auto"/>
              </w:rPr>
            </w:pPr>
            <w:r>
              <w:rPr>
                <w:rFonts w:ascii="Arial" w:cs="Arial" w:eastAsia="Arial" w:hAnsi="Arial"/>
                <w:sz w:val="18"/>
                <w:szCs w:val="18"/>
                <w:color w:val="auto"/>
              </w:rPr>
              <w:t>Joshua Sason</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28</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Marc Manuel</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48</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 and Director</w:t>
            </w:r>
          </w:p>
        </w:tc>
      </w:tr>
      <w:tr>
        <w:trPr>
          <w:trHeight w:val="244"/>
        </w:trPr>
        <w:tc>
          <w:tcPr>
            <w:tcW w:w="3200" w:type="dxa"/>
            <w:vAlign w:val="bottom"/>
          </w:tcPr>
          <w:p>
            <w:pPr>
              <w:spacing w:after="0"/>
              <w:rPr>
                <w:sz w:val="20"/>
                <w:szCs w:val="20"/>
                <w:color w:val="auto"/>
              </w:rPr>
            </w:pPr>
            <w:r>
              <w:rPr>
                <w:rFonts w:ascii="Arial" w:cs="Arial" w:eastAsia="Arial" w:hAnsi="Arial"/>
                <w:sz w:val="18"/>
                <w:szCs w:val="18"/>
                <w:color w:val="auto"/>
              </w:rPr>
              <w:t>Russell Rieger</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57</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Vice President of Strategy</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Donald S. Ienner</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64</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David Schulhof</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44</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Samuel S. Holdsworth</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63</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bl>
    <w:p>
      <w:pPr>
        <w:spacing w:after="0" w:line="161"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i w:val="1"/>
          <w:iCs w:val="1"/>
          <w:color w:val="auto"/>
        </w:rPr>
        <w:t xml:space="preserve">Joshua Sason </w:t>
      </w:r>
      <w:r>
        <w:rPr>
          <w:rFonts w:ascii="Arial" w:cs="Arial" w:eastAsia="Arial" w:hAnsi="Arial"/>
          <w:sz w:val="16"/>
          <w:szCs w:val="16"/>
          <w:color w:val="auto"/>
        </w:rPr>
        <w:t>has served as our Chief Executive Officer and a Director since our inception. Mr. Sason is the</w:t>
      </w:r>
      <w:r>
        <w:rPr>
          <w:rFonts w:ascii="Arial" w:cs="Arial" w:eastAsia="Arial" w:hAnsi="Arial"/>
          <w:sz w:val="16"/>
          <w:szCs w:val="16"/>
          <w:i w:val="1"/>
          <w:iCs w:val="1"/>
          <w:color w:val="auto"/>
        </w:rPr>
        <w:t xml:space="preserve"> </w:t>
      </w:r>
      <w:r>
        <w:rPr>
          <w:rFonts w:ascii="Arial" w:cs="Arial" w:eastAsia="Arial" w:hAnsi="Arial"/>
          <w:sz w:val="16"/>
          <w:szCs w:val="16"/>
          <w:color w:val="auto"/>
        </w:rPr>
        <w:t>founder &amp; Chief Executive Officer of Magna Management LLC, a global investment firm which makes direct investments across the worldwide public and private equity markets and the entertainment industry. In the six years since launching the firm, Mr. Sason has grown Magna Management LLC into a leading investor in its market segment, investing over $200M across three divisions with holdings on six continents and nine distinct lines of business. Mr. Sason has served as Chairman of the New York construction company Sason Builders, LLC since June 2014 and Chairman of the boutique customer experience firm, Mainz, since November 2013. In addition, Mr. Sason has been the Chief Executive Officer of Magna Entertainment, LLC since 2013. Magna Entertainment has produced four feature films, including its latest feature film, “Bleed for This”, which is scheduled for release in late 2016. We believe that Mr. Sason’s experience as CEO and founder of Magna Management LLC, as Chairman of Mainz and as Chairman of Sason Builders make him well qualified to serve as our chief executive officer and a member of our Board of Directors.</w:t>
      </w:r>
    </w:p>
    <w:p>
      <w:pPr>
        <w:spacing w:after="0" w:line="169"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i w:val="1"/>
          <w:iCs w:val="1"/>
          <w:color w:val="auto"/>
        </w:rPr>
        <w:t xml:space="preserve">Marc Manuel </w:t>
      </w:r>
      <w:r>
        <w:rPr>
          <w:rFonts w:ascii="Arial" w:cs="Arial" w:eastAsia="Arial" w:hAnsi="Arial"/>
          <w:sz w:val="16"/>
          <w:szCs w:val="16"/>
          <w:color w:val="auto"/>
        </w:rPr>
        <w:t>has served as our Chief Financial Officer and Director since July 12, 2016. Marc has served as a</w:t>
      </w:r>
      <w:r>
        <w:rPr>
          <w:rFonts w:ascii="Arial" w:cs="Arial" w:eastAsia="Arial" w:hAnsi="Arial"/>
          <w:sz w:val="16"/>
          <w:szCs w:val="16"/>
          <w:i w:val="1"/>
          <w:iCs w:val="1"/>
          <w:color w:val="auto"/>
        </w:rPr>
        <w:t xml:space="preserve"> </w:t>
      </w:r>
      <w:r>
        <w:rPr>
          <w:rFonts w:ascii="Arial" w:cs="Arial" w:eastAsia="Arial" w:hAnsi="Arial"/>
          <w:sz w:val="16"/>
          <w:szCs w:val="16"/>
          <w:color w:val="auto"/>
        </w:rPr>
        <w:t>Managing Director for Magna Management, LLC since 2012. Since joining Magna as Managing Director, Mr. Manuel has been responsible for helping to build out the Magna’s Equities division, structuring the Equities division’s investments both as lead investor in syndicated transactions and as a sole investor. Prior to joining Magna, from September 2009 until July 2012, Mr. Manuel worked as an Investment Banker at Scarsdale Equities LLC. Prior to working at Scarsdale Equities LLC, Mr. Manuel owned his own business and consulted for a wide array of companies ranging from early stage startups to members of the Fortune 10. He holds a B.A. from George Washington University, Cum Laude and an MBA from Fordham University.</w:t>
      </w:r>
    </w:p>
    <w:p>
      <w:pPr>
        <w:spacing w:after="0" w:line="166"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i w:val="1"/>
          <w:iCs w:val="1"/>
          <w:color w:val="1A1A1A"/>
        </w:rPr>
        <w:t xml:space="preserve">Russell Rieger </w:t>
      </w:r>
      <w:r>
        <w:rPr>
          <w:rFonts w:ascii="Arial" w:cs="Arial" w:eastAsia="Arial" w:hAnsi="Arial"/>
          <w:sz w:val="16"/>
          <w:szCs w:val="16"/>
          <w:color w:val="1A1A1A"/>
        </w:rPr>
        <w:t>has been our Vice President of Strategy since July 25, 2016. Mr. Rieger has been Vice President</w:t>
      </w:r>
      <w:r>
        <w:rPr>
          <w:rFonts w:ascii="Arial" w:cs="Arial" w:eastAsia="Arial" w:hAnsi="Arial"/>
          <w:sz w:val="16"/>
          <w:szCs w:val="16"/>
          <w:i w:val="1"/>
          <w:iCs w:val="1"/>
          <w:color w:val="1A1A1A"/>
        </w:rPr>
        <w:t xml:space="preserve"> </w:t>
      </w:r>
      <w:r>
        <w:rPr>
          <w:rFonts w:ascii="Arial" w:cs="Arial" w:eastAsia="Arial" w:hAnsi="Arial"/>
          <w:sz w:val="16"/>
          <w:szCs w:val="16"/>
          <w:color w:val="1A1A1A"/>
        </w:rPr>
        <w:t>of Magna Entertainment, LLC since April 2014. From 1997 to 2002, he served as General Manager and Executive Vice President of Creative for Maverick Records (of which Madonna was one of the founders), building the label into a freestanding record company with over 100 employees and working with successful artists including the Prodigy, Alanis Morissette, Muse, and the Deftones, as well as was executive producing movie soundtracks, including The Matrix. In 2003 he became principal founder and partner at Pipeline LLC, an entertainment branding and marketing company based in Los Angeles where he worked until 2009. Mr. Rieger moved to NYC in 2010 and founded his own consulting firm, working with startup companies, private equity and hedge funds focusing on the entertainment and media industries, where he worked until April 2014. Prior to working at Maverick and Pipeline, Mr. Rieger was the General Manager of London Records, from 1992 to 1997, where he helped to launch the record label in the United States and worked with several gold and platinum artists such as Portishead, Salt n’ Pepa, Meat Puppets and Paul Weller. He began his career, in 1982 as a co-manager for Modern English and shortly after, co-founded a management company that represented the Replacements, the Del Fuegos and Cyndi Lauper among others. Mr. Rieger is a graduate of the State University of New York at Albany where he received a BA in both Political Science and Philosophy.</w:t>
      </w:r>
    </w:p>
    <w:p>
      <w:pPr>
        <w:spacing w:after="0" w:line="101"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i w:val="1"/>
          <w:iCs w:val="1"/>
          <w:color w:val="auto"/>
        </w:rPr>
        <w:t xml:space="preserve">Donald S. Ienner </w:t>
      </w:r>
      <w:r>
        <w:rPr>
          <w:rFonts w:ascii="Arial" w:cs="Arial" w:eastAsia="Arial" w:hAnsi="Arial"/>
          <w:sz w:val="17"/>
          <w:szCs w:val="17"/>
          <w:color w:val="auto"/>
        </w:rPr>
        <w:t>has been our director since February 1, 2016. Mr. Ienner has been the managing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DSI-1008, LLC, a consulting firm for the music industry, since October 2011. From 2007 to October 2011, he served as a consultant to the music industry. From 1989 to 2006, he served in various capacities with Columbia Records/Sony Music, most recently as Chairman and CEO of Sony Music Label Group U.S. Mr. Ienner has worked in the music industry since 1969 and held various positions with Cam-USA, Millennium Records and Arista Records prior to joining Columbia Records/Sony Music in 1989. Mr. Ienner has previously been a nominating committee member for the Rock and Roll Hall of Fame, a board member of the Recording Industry Association of America, and a board member of Gibson Guitars.</w:t>
      </w:r>
    </w:p>
    <w:p>
      <w:pPr>
        <w:spacing w:after="0" w:line="125"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i w:val="1"/>
          <w:iCs w:val="1"/>
          <w:color w:val="auto"/>
        </w:rPr>
        <w:t xml:space="preserve">David Schulhof </w:t>
      </w:r>
      <w:r>
        <w:rPr>
          <w:rFonts w:ascii="Arial" w:cs="Arial" w:eastAsia="Arial" w:hAnsi="Arial"/>
          <w:sz w:val="16"/>
          <w:szCs w:val="16"/>
          <w:color w:val="auto"/>
        </w:rPr>
        <w:t>has been our director since December 16, 2015. Mr. Schulhof has served as the President of IM</w:t>
      </w:r>
      <w:r>
        <w:rPr>
          <w:rFonts w:ascii="Arial" w:cs="Arial" w:eastAsia="Arial" w:hAnsi="Arial"/>
          <w:sz w:val="16"/>
          <w:szCs w:val="16"/>
          <w:i w:val="1"/>
          <w:iCs w:val="1"/>
          <w:color w:val="auto"/>
        </w:rPr>
        <w:t xml:space="preserve"> </w:t>
      </w:r>
      <w:r>
        <w:rPr>
          <w:rFonts w:ascii="Arial" w:cs="Arial" w:eastAsia="Arial" w:hAnsi="Arial"/>
          <w:sz w:val="16"/>
          <w:szCs w:val="16"/>
          <w:color w:val="auto"/>
        </w:rPr>
        <w:t>Global Music since December 2014. Previously, from March 2012 to November 2014, he was a Managing Director at G2 Investment Group, an offshoot of New York private equity firm Guggenheim Partners, focusing on the firm’s media investments. Prior to G2, he was Co-Founder and CEO of Evergreen Copyrights from January 2005 through December 2010, which pursued a global acquisition strategy. Schulhof and his partners built Evergreen into one of the leading independent music publishing companies worldwide and in 2010 sold Evergreen to KKR/BMG Rights Management. Before launching Evergreen, from 1997 to 2004, he was Vice President of Motion Picture Music at Miramax and Dimension films, overseeing music, music publishing, music supervision and soundtracks for the Studio. Prior to joining Miramax, he was a lawyer at the law offices of Pryor Cashman Sherman and Flynn, representing film, music and TV clients. He began his career at Interscope Records and graduated from the NYU School of Law and Georgetown University.</w:t>
      </w:r>
    </w:p>
    <w:p>
      <w:pPr>
        <w:spacing w:after="0" w:line="119"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i w:val="1"/>
          <w:iCs w:val="1"/>
          <w:color w:val="auto"/>
        </w:rPr>
        <w:t xml:space="preserve">Samuel S. Holdsworth </w:t>
      </w:r>
      <w:r>
        <w:rPr>
          <w:rFonts w:ascii="Arial" w:cs="Arial" w:eastAsia="Arial" w:hAnsi="Arial"/>
          <w:sz w:val="16"/>
          <w:szCs w:val="16"/>
          <w:color w:val="auto"/>
        </w:rPr>
        <w:t>has been our director since December 16, 2015. Mr. Holdsworth is a Managing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of Sword, Rowe &amp; Co., a firm providing investment and advisory services for media and entertainment businesses. Prior thereto, from January 2012 until December 2013, Mr. Holdsworth provided consulting</w:t>
      </w:r>
    </w:p>
    <w:p>
      <w:pPr>
        <w:sectPr>
          <w:pgSz w:w="11900" w:h="16939" w:orient="portrait"/>
          <w:cols w:equalWidth="0" w:num="1">
            <w:col w:w="9019"/>
          </w:cols>
          <w:pgMar w:left="1440" w:top="337" w:right="1440" w:bottom="0" w:gutter="0" w:footer="0" w:header="0"/>
        </w:sectPr>
      </w:pPr>
    </w:p>
    <w:bookmarkStart w:id="70" w:name="page71"/>
    <w:bookmarkEnd w:id="70"/>
    <w:p>
      <w:pPr>
        <w:jc w:val="both"/>
        <w:ind w:left="460" w:right="459"/>
        <w:spacing w:after="0" w:line="269" w:lineRule="auto"/>
        <w:rPr>
          <w:sz w:val="20"/>
          <w:szCs w:val="20"/>
          <w:color w:val="auto"/>
        </w:rPr>
      </w:pPr>
      <w:r>
        <w:rPr>
          <w:rFonts w:ascii="Arial" w:cs="Arial" w:eastAsia="Arial" w:hAnsi="Arial"/>
          <w:sz w:val="17"/>
          <w:szCs w:val="17"/>
          <w:color w:val="auto"/>
        </w:rPr>
        <w:t>services to financial and content related businesses. From January 2008 until January 2012 he was the Executive Chairman of Solvi Brands, LLC, an early stage consumables company. Mr. Holdsworth was a founding partner at JPMorgan Entertainment Partners, a private equity fund, from Jan. 1999 until June 2006. He was also Chairman and CEO of Ryko Corp., a diversified music company from early 2001 until it was sold to Warner Music Group in June 2006. From 1991 through 1999 he ran an investment banking practice doing M&amp;A, turn-around and fundraising for businesses in the media, entertainment and lodging space. He began his entrepreneurial career in publishing, founding Musician Magazine in 1976 and selling it to Billboard Publications in 1981. He was previously a principal and president of BPI Communications Entertainment division, publisher of Billboard Magazine and managed the Hollywood Reporter, Adweek and other media business properties. He also founded and was Executive Producer of the Billboard Awards Show on the Fox Network from 1990 through 1997.</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75"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Upon consummation of this offering, our board of directors will have five members, three of whom will be deemed “independent” under SEC and Nasdaq rules. Our board of directors will be divided into three classes with only one class of directors being elected in each year and each class serving a three-year term. The term of office of the first class of directors, consisting of Joshua Sason, will expire at our first annual meeting of stockholders. The term of office of the second class of directors, consisting of Samuel S. Holdsworth, will expire at the second annual meeting. The term of office of the third class of directors, consisting of David Schulhof and Donald S. Ienner, will expire at our third annual meeting of stockholders. We may not hold an annual meeting of stockholders until after we consummate our initial business combination.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1" w:name="page72"/>
    <w:bookmarkEnd w:id="71"/>
    <w:p>
      <w:pPr>
        <w:jc w:val="both"/>
        <w:ind w:left="460" w:right="459"/>
        <w:spacing w:after="0" w:line="297" w:lineRule="auto"/>
        <w:rPr>
          <w:sz w:val="20"/>
          <w:szCs w:val="20"/>
          <w:color w:val="auto"/>
        </w:rPr>
      </w:pPr>
      <w:r>
        <w:rPr>
          <w:rFonts w:ascii="Arial" w:cs="Arial" w:eastAsia="Arial" w:hAnsi="Arial"/>
          <w:sz w:val="16"/>
          <w:szCs w:val="16"/>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vice chairman of the board, chief executive officer, president, chief financial officer, vice president(s), secretary, treasurer and such other officers as may be determined by the board of directors.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Compensation</w:t>
      </w:r>
    </w:p>
    <w:p>
      <w:pPr>
        <w:spacing w:after="0" w:line="189"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No executive officer has received any cash compensation for services rendered to us. Commencing on the date of this prospectus through the completion of our initial business combination with a target business, we will pay to Magna Management LLC, a company owned by our insiders, a fee of $10,000 per month for providing us with office space and certain office and secretarial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Other than the $10,000 per month administrative fee,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36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8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Nasdaq listing standards require that within one year of the listing of our securities on the Nasdaq Capital Market we have at least three independent directors and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Three “independent director” as defined in the Nasdaq listing standards and applicable SEC rules will be elected prior to this Offering. Our independent directors will have regularly scheduled meetings at which only independent directors are present.</w:t>
      </w:r>
    </w:p>
    <w:p>
      <w:pPr>
        <w:spacing w:after="0" w:line="13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We will only enter into a business combination if it is approved by a majority of our independent directors. Additionally, we will only enter into transactions with our officers and directors and their respective affiliates that are on terms no less favorable to us than could be obtained from independent parties. Any related-party transactions must be approved by our audit committee and a majority of disinterested directors.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20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Effective as of the date of this prospectus, we will establish an audit committee of the board of directors, which will consist of three directors elected prior to this Offering, each of whom will be an independent director. One of those directors will serve as chairman of the audit committee. Nasdaq’s listing standards will require us to have a third independent member of our audit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2" w:name="page73"/>
    <w:bookmarkEnd w:id="72"/>
    <w:p>
      <w:pPr>
        <w:ind w:left="460" w:right="459"/>
        <w:spacing w:after="0" w:line="308" w:lineRule="auto"/>
        <w:rPr>
          <w:sz w:val="20"/>
          <w:szCs w:val="20"/>
          <w:color w:val="auto"/>
        </w:rPr>
      </w:pPr>
      <w:r>
        <w:rPr>
          <w:rFonts w:ascii="Arial" w:cs="Arial" w:eastAsia="Arial" w:hAnsi="Arial"/>
          <w:sz w:val="17"/>
          <w:szCs w:val="17"/>
          <w:color w:val="auto"/>
        </w:rPr>
        <w:t>committee within one year of the listing of our securities on the Nasdaq Capital Market. The audit committee’s duties, which are specified in our Audit Committee Charter, include, but are not limited to:</w:t>
      </w:r>
    </w:p>
    <w:p>
      <w:pPr>
        <w:spacing w:after="0" w:line="120" w:lineRule="exact"/>
        <w:rPr>
          <w:sz w:val="20"/>
          <w:szCs w:val="20"/>
          <w:color w:val="auto"/>
        </w:rPr>
      </w:pPr>
    </w:p>
    <w:p>
      <w:pPr>
        <w:jc w:val="both"/>
        <w:ind w:left="1120" w:right="459" w:hanging="333"/>
        <w:spacing w:after="0" w:line="264" w:lineRule="auto"/>
        <w:tabs>
          <w:tab w:leader="none" w:pos="1163"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40" w:lineRule="exact"/>
        <w:rPr>
          <w:rFonts w:ascii="Arial" w:cs="Arial" w:eastAsia="Arial" w:hAnsi="Arial"/>
          <w:sz w:val="18"/>
          <w:szCs w:val="18"/>
          <w:color w:val="auto"/>
        </w:rPr>
      </w:pPr>
    </w:p>
    <w:p>
      <w:pPr>
        <w:ind w:left="1120" w:right="459" w:hanging="333"/>
        <w:spacing w:after="0" w:line="277" w:lineRule="auto"/>
        <w:tabs>
          <w:tab w:leader="none" w:pos="12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96" w:lineRule="exact"/>
        <w:rPr>
          <w:rFonts w:ascii="Arial" w:cs="Arial" w:eastAsia="Arial" w:hAnsi="Arial"/>
          <w:sz w:val="17"/>
          <w:szCs w:val="17"/>
          <w:color w:val="auto"/>
        </w:rPr>
      </w:pPr>
    </w:p>
    <w:p>
      <w:pPr>
        <w:ind w:left="1120" w:right="459" w:hanging="333"/>
        <w:spacing w:after="0" w:line="277" w:lineRule="auto"/>
        <w:tabs>
          <w:tab w:leader="none" w:pos="11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198" w:lineRule="exact"/>
        <w:rPr>
          <w:rFonts w:ascii="Arial" w:cs="Arial" w:eastAsia="Arial" w:hAnsi="Arial"/>
          <w:sz w:val="18"/>
          <w:szCs w:val="18"/>
          <w:color w:val="auto"/>
        </w:rPr>
      </w:pPr>
    </w:p>
    <w:p>
      <w:pPr>
        <w:jc w:val="both"/>
        <w:ind w:left="1120" w:right="459" w:hanging="333"/>
        <w:spacing w:after="0" w:line="286" w:lineRule="auto"/>
        <w:tabs>
          <w:tab w:leader="none" w:pos="1321"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25" w:lineRule="exact"/>
        <w:rPr>
          <w:rFonts w:ascii="Arial" w:cs="Arial" w:eastAsia="Arial" w:hAnsi="Arial"/>
          <w:sz w:val="17"/>
          <w:szCs w:val="17"/>
          <w:color w:val="auto"/>
        </w:rPr>
      </w:pPr>
    </w:p>
    <w:p>
      <w:pPr>
        <w:jc w:val="both"/>
        <w:ind w:left="1120" w:right="459" w:hanging="333"/>
        <w:spacing w:after="0" w:line="264" w:lineRule="auto"/>
        <w:tabs>
          <w:tab w:leader="none" w:pos="1129"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40" w:lineRule="exact"/>
        <w:rPr>
          <w:rFonts w:ascii="Arial" w:cs="Arial" w:eastAsia="Arial" w:hAnsi="Arial"/>
          <w:sz w:val="18"/>
          <w:szCs w:val="18"/>
          <w:color w:val="auto"/>
        </w:rPr>
      </w:pPr>
    </w:p>
    <w:p>
      <w:pPr>
        <w:ind w:left="1120" w:right="459" w:hanging="333"/>
        <w:spacing w:after="0" w:line="277" w:lineRule="auto"/>
        <w:tabs>
          <w:tab w:leader="none" w:pos="1113"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Experts on Audit Committee</w:t>
      </w:r>
    </w:p>
    <w:p>
      <w:pPr>
        <w:spacing w:after="0" w:line="20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the Nasdaq listing standards. The Nasdaq listing standards define “financially literate” as being able to read and understand fundamental financial statements, including a company’s balance sheet, income statement and cash flow statement.</w:t>
      </w:r>
    </w:p>
    <w:p>
      <w:pPr>
        <w:spacing w:after="0" w:line="146"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will determine whether any of the independent directors qualifies as an “audit committee financial expert,” as defined under rules and regulations of the SEC.</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189"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 compensation committee of the board of directors. The members of our Compensation Committee will consist of three directors elected prior to this Offering, each of whom will be an independent director. One of those directors will serve as chairman of the compensation committee. We will adopt a compensation committee charter, which will detail the principal functions of the compensation committee, including:</w:t>
      </w:r>
    </w:p>
    <w:p>
      <w:pPr>
        <w:spacing w:after="0" w:line="146" w:lineRule="exact"/>
        <w:rPr>
          <w:sz w:val="20"/>
          <w:szCs w:val="20"/>
          <w:color w:val="auto"/>
        </w:rPr>
      </w:pPr>
    </w:p>
    <w:p>
      <w:pPr>
        <w:jc w:val="both"/>
        <w:ind w:left="1120" w:right="459" w:hanging="333"/>
        <w:spacing w:after="0" w:line="302" w:lineRule="auto"/>
        <w:tabs>
          <w:tab w:leader="none" w:pos="10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reviewing and approving on an annual basis the corporate goals and objectives relevant to our President and Chief Executive Officer’s compensation, evaluating our President and Chief Executive Officer’s performance in light of such goals and objectives and determining and approving the remuneration (if any) of our President and Chief Executive Officer based on such evaluation;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73" w:name="page74"/>
    <w:bookmarkEnd w:id="73"/>
    <w:p>
      <w:pPr>
        <w:ind w:left="1080" w:hanging="293"/>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96" w:lineRule="exact"/>
        <w:rPr>
          <w:rFonts w:ascii="Arial" w:cs="Arial" w:eastAsia="Arial" w:hAnsi="Arial"/>
          <w:sz w:val="17"/>
          <w:szCs w:val="17"/>
          <w:color w:val="auto"/>
        </w:rPr>
      </w:pPr>
    </w:p>
    <w:p>
      <w:pPr>
        <w:ind w:left="1120" w:right="459" w:hanging="333"/>
        <w:spacing w:after="0" w:line="277" w:lineRule="auto"/>
        <w:tabs>
          <w:tab w:leader="none" w:pos="14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43" w:lineRule="exact"/>
        <w:rPr>
          <w:rFonts w:ascii="Arial" w:cs="Arial" w:eastAsia="Arial" w:hAnsi="Arial"/>
          <w:sz w:val="18"/>
          <w:szCs w:val="18"/>
          <w:color w:val="auto"/>
        </w:rPr>
      </w:pPr>
    </w:p>
    <w:p>
      <w:pPr>
        <w:ind w:left="1120" w:right="459" w:hanging="333"/>
        <w:spacing w:after="0" w:line="277" w:lineRule="auto"/>
        <w:tabs>
          <w:tab w:leader="none" w:pos="119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producing a report on executive compensation to be included in our annual proxy statement; and</w:t>
      </w:r>
    </w:p>
    <w:p>
      <w:pPr>
        <w:spacing w:after="0" w:line="196" w:lineRule="exact"/>
        <w:rPr>
          <w:rFonts w:ascii="Arial" w:cs="Arial" w:eastAsia="Arial" w:hAnsi="Arial"/>
          <w:sz w:val="17"/>
          <w:szCs w:val="17"/>
          <w:color w:val="auto"/>
        </w:rPr>
      </w:pPr>
    </w:p>
    <w:p>
      <w:pPr>
        <w:ind w:left="1080" w:hanging="293"/>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reviewing, evaluating and recommending changes, if appropriate, to the remuneration for directors.</w:t>
      </w:r>
    </w:p>
    <w:p>
      <w:pPr>
        <w:spacing w:after="0" w:line="21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Nominations</w:t>
      </w:r>
    </w:p>
    <w:p>
      <w:pPr>
        <w:spacing w:after="0" w:line="18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We do not have a standing nominating committee, though we intend to form a corporate governance and nominating committee as and when required to do so by law or NASDAQ rules. In accordance with Rule 5605(e)(2)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The directors who shall participate in the consideration and recommendation of director nominees will be elected prior to this Offering. In accordance with Rule 5605(e)(1)</w:t>
      </w:r>
    </w:p>
    <w:p>
      <w:pPr>
        <w:spacing w:after="0" w:line="3" w:lineRule="exact"/>
        <w:rPr>
          <w:sz w:val="20"/>
          <w:szCs w:val="20"/>
          <w:color w:val="auto"/>
        </w:rPr>
      </w:pPr>
    </w:p>
    <w:p>
      <w:pPr>
        <w:ind w:left="460" w:right="459" w:firstLine="2"/>
        <w:spacing w:after="0" w:line="261" w:lineRule="auto"/>
        <w:tabs>
          <w:tab w:leader="none" w:pos="769" w:val="left"/>
        </w:tabs>
        <w:numPr>
          <w:ilvl w:val="0"/>
          <w:numId w:val="42"/>
        </w:numPr>
        <w:rPr>
          <w:rFonts w:ascii="Arial" w:cs="Arial" w:eastAsia="Arial" w:hAnsi="Arial"/>
          <w:sz w:val="18"/>
          <w:szCs w:val="18"/>
          <w:color w:val="auto"/>
        </w:rPr>
      </w:pPr>
      <w:r>
        <w:rPr>
          <w:rFonts w:ascii="Arial" w:cs="Arial" w:eastAsia="Arial" w:hAnsi="Arial"/>
          <w:sz w:val="18"/>
          <w:szCs w:val="18"/>
          <w:color w:val="auto"/>
        </w:rPr>
        <w:t>of the NASDAQ rules, all such directors are independent. As there is no standing nominating committee, we do not have a nominating committee charter in place.</w:t>
      </w:r>
    </w:p>
    <w:p>
      <w:pPr>
        <w:spacing w:after="0" w:line="143"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the Board should follow the procedures set forth in our bylaws.</w:t>
      </w:r>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We may not have a compensation committee in place prior to the completion of our initial business combination. Any executive compensation matters that arise prior to the time we have a compensation committee in place will be determined by our independent directors. 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ectPr>
          <w:pgSz w:w="11900" w:h="16838" w:orient="portrait"/>
          <w:cols w:equalWidth="0" w:num="1">
            <w:col w:w="9019"/>
          </w:cols>
          <w:pgMar w:left="1440" w:top="301" w:right="1440"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74" w:name="page75"/>
    <w:bookmarkEnd w:id="74"/>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Investors should be aware of the following potential conflicts of interest:</w:t>
      </w:r>
    </w:p>
    <w:p>
      <w:pPr>
        <w:spacing w:after="0" w:line="198" w:lineRule="exact"/>
        <w:rPr>
          <w:sz w:val="20"/>
          <w:szCs w:val="20"/>
          <w:color w:val="auto"/>
        </w:rPr>
      </w:pPr>
    </w:p>
    <w:p>
      <w:pPr>
        <w:ind w:left="1120" w:right="459" w:hanging="333"/>
        <w:spacing w:after="0" w:line="342" w:lineRule="auto"/>
        <w:tabs>
          <w:tab w:leader="none" w:pos="113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None of our officers and directors is required to commit their full time to our affairs and, accordingly, they may have conflicts of interest in allocating their time among various business activities.</w:t>
      </w:r>
    </w:p>
    <w:p>
      <w:pPr>
        <w:spacing w:after="0" w:line="83" w:lineRule="exact"/>
        <w:rPr>
          <w:rFonts w:ascii="Arial" w:cs="Arial" w:eastAsia="Arial" w:hAnsi="Arial"/>
          <w:sz w:val="16"/>
          <w:szCs w:val="16"/>
          <w:color w:val="auto"/>
        </w:rPr>
      </w:pPr>
    </w:p>
    <w:p>
      <w:pPr>
        <w:jc w:val="both"/>
        <w:ind w:left="1120" w:right="459" w:hanging="333"/>
        <w:spacing w:after="0" w:line="302" w:lineRule="auto"/>
        <w:tabs>
          <w:tab w:leader="none" w:pos="1289"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pacing w:after="0" w:line="100" w:lineRule="exact"/>
        <w:rPr>
          <w:rFonts w:ascii="Arial" w:cs="Arial" w:eastAsia="Arial" w:hAnsi="Arial"/>
          <w:sz w:val="16"/>
          <w:szCs w:val="16"/>
          <w:color w:val="auto"/>
        </w:rPr>
      </w:pPr>
    </w:p>
    <w:p>
      <w:pPr>
        <w:ind w:left="1120" w:right="459" w:hanging="333"/>
        <w:spacing w:after="0" w:line="342" w:lineRule="auto"/>
        <w:tabs>
          <w:tab w:leader="none" w:pos="1097"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officers and directors may in the future become affiliated with entities, including other blank check companies, engaged in business activities similar to those intended to be conducted by our company.</w:t>
      </w:r>
    </w:p>
    <w:p>
      <w:pPr>
        <w:spacing w:after="0" w:line="69" w:lineRule="exact"/>
        <w:rPr>
          <w:rFonts w:ascii="Arial" w:cs="Arial" w:eastAsia="Arial" w:hAnsi="Arial"/>
          <w:sz w:val="16"/>
          <w:szCs w:val="16"/>
          <w:color w:val="auto"/>
        </w:rPr>
      </w:pPr>
    </w:p>
    <w:p>
      <w:pPr>
        <w:jc w:val="both"/>
        <w:ind w:left="1120" w:right="459" w:hanging="333"/>
        <w:spacing w:after="0" w:line="279" w:lineRule="auto"/>
        <w:tabs>
          <w:tab w:leader="none" w:pos="1177" w:val="left"/>
        </w:tabs>
        <w:numPr>
          <w:ilvl w:val="0"/>
          <w:numId w:val="43"/>
        </w:numPr>
        <w:rPr>
          <w:rFonts w:ascii="Arial" w:cs="Arial" w:eastAsia="Arial" w:hAnsi="Arial"/>
          <w:sz w:val="17"/>
          <w:szCs w:val="17"/>
          <w:color w:val="auto"/>
        </w:rPr>
      </w:pPr>
      <w:r>
        <w:rPr>
          <w:rFonts w:ascii="Arial" w:cs="Arial" w:eastAsia="Arial" w:hAnsi="Arial"/>
          <w:sz w:val="17"/>
          <w:szCs w:val="17"/>
          <w:color w:val="auto"/>
        </w:rPr>
        <w:t>Unless we consummate our initial business combination, our officers, directors and insiders will not receive reimbursement for any out-of-pocket expenses incurred by them to the extent that such expenses exceed the amount of available proceeds not deposited in the trust account and the amount of interest income from the trust account that may be released to us as working capital.</w:t>
      </w:r>
    </w:p>
    <w:p>
      <w:pPr>
        <w:spacing w:after="0" w:line="117" w:lineRule="exact"/>
        <w:rPr>
          <w:rFonts w:ascii="Arial" w:cs="Arial" w:eastAsia="Arial" w:hAnsi="Arial"/>
          <w:sz w:val="17"/>
          <w:szCs w:val="17"/>
          <w:color w:val="auto"/>
        </w:rPr>
      </w:pPr>
    </w:p>
    <w:p>
      <w:pPr>
        <w:jc w:val="both"/>
        <w:ind w:left="1120" w:right="459" w:hanging="333"/>
        <w:spacing w:after="0" w:line="253" w:lineRule="auto"/>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units. Furthermore, our insiders (and/or their designees) have agreed that the private units will not be sold or transferred by them until after we have completed our initial business combination. For the foregoing reasons, our board may have a conflict of interest in determining whether a particular target business is an appropriate business with which to effect our initial business combination.</w:t>
      </w:r>
    </w:p>
    <w:p>
      <w:pPr>
        <w:spacing w:after="0" w:line="143"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16" w:lineRule="exact"/>
        <w:rPr>
          <w:sz w:val="20"/>
          <w:szCs w:val="20"/>
          <w:color w:val="auto"/>
        </w:rPr>
      </w:pPr>
    </w:p>
    <w:p>
      <w:pPr>
        <w:ind w:left="1080" w:hanging="293"/>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71" w:lineRule="exact"/>
        <w:rPr>
          <w:rFonts w:ascii="Arial" w:cs="Arial" w:eastAsia="Arial" w:hAnsi="Arial"/>
          <w:sz w:val="18"/>
          <w:szCs w:val="18"/>
          <w:color w:val="auto"/>
        </w:rPr>
      </w:pPr>
    </w:p>
    <w:p>
      <w:pPr>
        <w:ind w:left="1080" w:hanging="293"/>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71" w:lineRule="exact"/>
        <w:rPr>
          <w:rFonts w:ascii="Arial" w:cs="Arial" w:eastAsia="Arial" w:hAnsi="Arial"/>
          <w:sz w:val="18"/>
          <w:szCs w:val="18"/>
          <w:color w:val="auto"/>
        </w:rPr>
      </w:pPr>
    </w:p>
    <w:p>
      <w:pPr>
        <w:ind w:left="1120" w:right="459" w:hanging="333"/>
        <w:spacing w:after="0" w:line="277" w:lineRule="auto"/>
        <w:tabs>
          <w:tab w:leader="none" w:pos="1129"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11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21 months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5" w:name="page76"/>
    <w:bookmarkEnd w:id="75"/>
    <w:p>
      <w:pPr>
        <w:spacing w:after="0" w:line="1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following table summarizes the current pre-existing fiduciary or contractual obligations of our officers, directors and director nominees: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2100" w:type="dxa"/>
            <w:vAlign w:val="bottom"/>
          </w:tcPr>
          <w:p>
            <w:pPr>
              <w:ind w:left="460"/>
              <w:spacing w:after="0"/>
              <w:rPr>
                <w:sz w:val="20"/>
                <w:szCs w:val="20"/>
                <w:color w:val="auto"/>
              </w:rPr>
            </w:pPr>
            <w:r>
              <w:rPr>
                <w:rFonts w:ascii="Arial" w:cs="Arial" w:eastAsia="Arial" w:hAnsi="Arial"/>
                <w:sz w:val="16"/>
                <w:szCs w:val="16"/>
                <w:b w:val="1"/>
                <w:bCs w:val="1"/>
                <w:color w:val="auto"/>
              </w:rPr>
              <w:t>Name of Affiliated</w:t>
            </w:r>
          </w:p>
        </w:tc>
        <w:tc>
          <w:tcPr>
            <w:tcW w:w="206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10"/>
        </w:trPr>
        <w:tc>
          <w:tcPr>
            <w:tcW w:w="1480" w:type="dxa"/>
            <w:vAlign w:val="bottom"/>
          </w:tcPr>
          <w:p>
            <w:pPr>
              <w:spacing w:after="0"/>
              <w:rPr>
                <w:sz w:val="20"/>
                <w:szCs w:val="20"/>
                <w:color w:val="auto"/>
              </w:rPr>
            </w:pPr>
            <w:r>
              <w:rPr>
                <w:rFonts w:ascii="Arial" w:cs="Arial" w:eastAsia="Arial" w:hAnsi="Arial"/>
                <w:sz w:val="16"/>
                <w:szCs w:val="16"/>
                <w:b w:val="1"/>
                <w:bCs w:val="1"/>
                <w:color w:val="auto"/>
              </w:rPr>
              <w:t>Name of Individual</w:t>
            </w:r>
          </w:p>
        </w:tc>
        <w:tc>
          <w:tcPr>
            <w:tcW w:w="2100" w:type="dxa"/>
            <w:vAlign w:val="bottom"/>
          </w:tcPr>
          <w:p>
            <w:pPr>
              <w:ind w:left="760"/>
              <w:spacing w:after="0"/>
              <w:rPr>
                <w:sz w:val="20"/>
                <w:szCs w:val="20"/>
                <w:color w:val="auto"/>
              </w:rPr>
            </w:pPr>
            <w:r>
              <w:rPr>
                <w:rFonts w:ascii="Arial" w:cs="Arial" w:eastAsia="Arial" w:hAnsi="Arial"/>
                <w:sz w:val="16"/>
                <w:szCs w:val="16"/>
                <w:b w:val="1"/>
                <w:bCs w:val="1"/>
                <w:color w:val="auto"/>
              </w:rPr>
              <w:t>Company</w:t>
            </w:r>
          </w:p>
        </w:tc>
        <w:tc>
          <w:tcPr>
            <w:tcW w:w="2060" w:type="dxa"/>
            <w:vAlign w:val="bottom"/>
          </w:tcPr>
          <w:p>
            <w:pPr>
              <w:ind w:left="520"/>
              <w:spacing w:after="0"/>
              <w:rPr>
                <w:sz w:val="20"/>
                <w:szCs w:val="20"/>
                <w:color w:val="auto"/>
              </w:rPr>
            </w:pPr>
            <w:r>
              <w:rPr>
                <w:rFonts w:ascii="Arial" w:cs="Arial" w:eastAsia="Arial" w:hAnsi="Arial"/>
                <w:sz w:val="16"/>
                <w:szCs w:val="16"/>
                <w:b w:val="1"/>
                <w:bCs w:val="1"/>
                <w:color w:val="auto"/>
              </w:rPr>
              <w:t>Entity’s Business</w:t>
            </w:r>
          </w:p>
        </w:tc>
        <w:tc>
          <w:tcPr>
            <w:tcW w:w="2180" w:type="dxa"/>
            <w:vAlign w:val="bottom"/>
          </w:tcPr>
          <w:p>
            <w:pPr>
              <w:ind w:left="960"/>
              <w:spacing w:after="0"/>
              <w:rPr>
                <w:sz w:val="20"/>
                <w:szCs w:val="20"/>
                <w:color w:val="auto"/>
              </w:rPr>
            </w:pPr>
            <w:r>
              <w:rPr>
                <w:rFonts w:ascii="Arial" w:cs="Arial" w:eastAsia="Arial" w:hAnsi="Arial"/>
                <w:sz w:val="16"/>
                <w:szCs w:val="16"/>
                <w:b w:val="1"/>
                <w:bCs w:val="1"/>
                <w:color w:val="auto"/>
              </w:rPr>
              <w:t>Affiliation</w:t>
            </w:r>
          </w:p>
        </w:tc>
      </w:tr>
      <w:tr>
        <w:trPr>
          <w:trHeight w:val="221"/>
        </w:trPr>
        <w:tc>
          <w:tcPr>
            <w:tcW w:w="1480" w:type="dxa"/>
            <w:vAlign w:val="bottom"/>
          </w:tcPr>
          <w:p>
            <w:pPr>
              <w:spacing w:after="0"/>
              <w:rPr>
                <w:sz w:val="20"/>
                <w:szCs w:val="20"/>
                <w:color w:val="auto"/>
              </w:rPr>
            </w:pPr>
            <w:r>
              <w:rPr>
                <w:rFonts w:ascii="Arial" w:cs="Arial" w:eastAsia="Arial" w:hAnsi="Arial"/>
                <w:sz w:val="18"/>
                <w:szCs w:val="18"/>
                <w:color w:val="auto"/>
              </w:rPr>
              <w:t>Joshua Sason</w:t>
            </w:r>
          </w:p>
        </w:tc>
        <w:tc>
          <w:tcPr>
            <w:tcW w:w="2100" w:type="dxa"/>
            <w:vAlign w:val="bottom"/>
          </w:tcPr>
          <w:p>
            <w:pPr>
              <w:ind w:left="120"/>
              <w:spacing w:after="0"/>
              <w:rPr>
                <w:sz w:val="20"/>
                <w:szCs w:val="20"/>
                <w:color w:val="auto"/>
              </w:rPr>
            </w:pPr>
            <w:r>
              <w:rPr>
                <w:rFonts w:ascii="Arial" w:cs="Arial" w:eastAsia="Arial" w:hAnsi="Arial"/>
                <w:sz w:val="18"/>
                <w:szCs w:val="18"/>
                <w:color w:val="auto"/>
                <w:w w:val="96"/>
              </w:rPr>
              <w:t>Magna Management LLC</w:t>
            </w:r>
          </w:p>
        </w:tc>
        <w:tc>
          <w:tcPr>
            <w:tcW w:w="206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2180" w:type="dxa"/>
            <w:vAlign w:val="bottom"/>
          </w:tcPr>
          <w:p>
            <w:pPr>
              <w:ind w:left="180"/>
              <w:spacing w:after="0"/>
              <w:rPr>
                <w:sz w:val="20"/>
                <w:szCs w:val="20"/>
                <w:color w:val="auto"/>
              </w:rPr>
            </w:pPr>
            <w:r>
              <w:rPr>
                <w:rFonts w:ascii="Arial" w:cs="Arial" w:eastAsia="Arial" w:hAnsi="Arial"/>
                <w:sz w:val="18"/>
                <w:szCs w:val="18"/>
                <w:color w:val="auto"/>
                <w:w w:val="92"/>
              </w:rPr>
              <w:t>Founder &amp; Chief Executive</w:t>
            </w:r>
          </w:p>
        </w:tc>
      </w:tr>
      <w:tr>
        <w:trPr>
          <w:trHeight w:val="216"/>
        </w:trPr>
        <w:tc>
          <w:tcPr>
            <w:tcW w:w="14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180" w:type="dxa"/>
            <w:vAlign w:val="bottom"/>
          </w:tcPr>
          <w:p>
            <w:pPr>
              <w:ind w:left="180"/>
              <w:spacing w:after="0"/>
              <w:rPr>
                <w:sz w:val="20"/>
                <w:szCs w:val="20"/>
                <w:color w:val="auto"/>
              </w:rPr>
            </w:pPr>
            <w:r>
              <w:rPr>
                <w:rFonts w:ascii="Arial" w:cs="Arial" w:eastAsia="Arial" w:hAnsi="Arial"/>
                <w:sz w:val="18"/>
                <w:szCs w:val="18"/>
                <w:color w:val="auto"/>
              </w:rPr>
              <w:t>Officer</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Joshua Sason</w:t>
            </w:r>
          </w:p>
        </w:tc>
        <w:tc>
          <w:tcPr>
            <w:tcW w:w="2100" w:type="dxa"/>
            <w:vAlign w:val="bottom"/>
          </w:tcPr>
          <w:p>
            <w:pPr>
              <w:ind w:left="120"/>
              <w:spacing w:after="0"/>
              <w:rPr>
                <w:sz w:val="20"/>
                <w:szCs w:val="20"/>
                <w:color w:val="auto"/>
              </w:rPr>
            </w:pPr>
            <w:r>
              <w:rPr>
                <w:rFonts w:ascii="Arial" w:cs="Arial" w:eastAsia="Arial" w:hAnsi="Arial"/>
                <w:sz w:val="18"/>
                <w:szCs w:val="18"/>
                <w:color w:val="auto"/>
              </w:rPr>
              <w:t>Sason Builders</w:t>
            </w:r>
          </w:p>
        </w:tc>
        <w:tc>
          <w:tcPr>
            <w:tcW w:w="2060" w:type="dxa"/>
            <w:vAlign w:val="bottom"/>
          </w:tcPr>
          <w:p>
            <w:pPr>
              <w:ind w:left="100"/>
              <w:spacing w:after="0"/>
              <w:rPr>
                <w:sz w:val="20"/>
                <w:szCs w:val="20"/>
                <w:color w:val="auto"/>
              </w:rPr>
            </w:pPr>
            <w:r>
              <w:rPr>
                <w:rFonts w:ascii="Arial" w:cs="Arial" w:eastAsia="Arial" w:hAnsi="Arial"/>
                <w:sz w:val="18"/>
                <w:szCs w:val="18"/>
                <w:color w:val="auto"/>
              </w:rPr>
              <w:t>Construction</w:t>
            </w:r>
          </w:p>
        </w:tc>
        <w:tc>
          <w:tcPr>
            <w:tcW w:w="2180" w:type="dxa"/>
            <w:vAlign w:val="bottom"/>
          </w:tcPr>
          <w:p>
            <w:pPr>
              <w:ind w:left="180"/>
              <w:spacing w:after="0"/>
              <w:rPr>
                <w:sz w:val="20"/>
                <w:szCs w:val="20"/>
                <w:color w:val="auto"/>
              </w:rPr>
            </w:pPr>
            <w:r>
              <w:rPr>
                <w:rFonts w:ascii="Arial" w:cs="Arial" w:eastAsia="Arial" w:hAnsi="Arial"/>
                <w:sz w:val="18"/>
                <w:szCs w:val="18"/>
                <w:color w:val="auto"/>
              </w:rPr>
              <w:t>Chairman</w:t>
            </w:r>
          </w:p>
        </w:tc>
      </w:tr>
      <w:tr>
        <w:trPr>
          <w:trHeight w:val="243"/>
        </w:trPr>
        <w:tc>
          <w:tcPr>
            <w:tcW w:w="1480" w:type="dxa"/>
            <w:vAlign w:val="bottom"/>
          </w:tcPr>
          <w:p>
            <w:pPr>
              <w:spacing w:after="0"/>
              <w:rPr>
                <w:sz w:val="20"/>
                <w:szCs w:val="20"/>
                <w:color w:val="auto"/>
              </w:rPr>
            </w:pPr>
            <w:r>
              <w:rPr>
                <w:rFonts w:ascii="Arial" w:cs="Arial" w:eastAsia="Arial" w:hAnsi="Arial"/>
                <w:sz w:val="18"/>
                <w:szCs w:val="18"/>
                <w:color w:val="auto"/>
              </w:rPr>
              <w:t>Joshua Sason</w:t>
            </w:r>
          </w:p>
        </w:tc>
        <w:tc>
          <w:tcPr>
            <w:tcW w:w="2100" w:type="dxa"/>
            <w:vAlign w:val="bottom"/>
          </w:tcPr>
          <w:p>
            <w:pPr>
              <w:ind w:left="120"/>
              <w:spacing w:after="0"/>
              <w:rPr>
                <w:sz w:val="20"/>
                <w:szCs w:val="20"/>
                <w:color w:val="auto"/>
              </w:rPr>
            </w:pPr>
            <w:r>
              <w:rPr>
                <w:rFonts w:ascii="Arial" w:cs="Arial" w:eastAsia="Arial" w:hAnsi="Arial"/>
                <w:sz w:val="18"/>
                <w:szCs w:val="18"/>
                <w:color w:val="auto"/>
              </w:rPr>
              <w:t>Mainz</w:t>
            </w:r>
          </w:p>
        </w:tc>
        <w:tc>
          <w:tcPr>
            <w:tcW w:w="2060" w:type="dxa"/>
            <w:vAlign w:val="bottom"/>
          </w:tcPr>
          <w:p>
            <w:pPr>
              <w:ind w:left="100"/>
              <w:spacing w:after="0"/>
              <w:rPr>
                <w:sz w:val="20"/>
                <w:szCs w:val="20"/>
                <w:color w:val="auto"/>
              </w:rPr>
            </w:pPr>
            <w:r>
              <w:rPr>
                <w:rFonts w:ascii="Arial" w:cs="Arial" w:eastAsia="Arial" w:hAnsi="Arial"/>
                <w:sz w:val="18"/>
                <w:szCs w:val="18"/>
                <w:color w:val="auto"/>
              </w:rPr>
              <w:t>Customer experience</w:t>
            </w:r>
          </w:p>
        </w:tc>
        <w:tc>
          <w:tcPr>
            <w:tcW w:w="2180" w:type="dxa"/>
            <w:vAlign w:val="bottom"/>
          </w:tcPr>
          <w:p>
            <w:pPr>
              <w:ind w:left="180"/>
              <w:spacing w:after="0"/>
              <w:rPr>
                <w:sz w:val="20"/>
                <w:szCs w:val="20"/>
                <w:color w:val="auto"/>
              </w:rPr>
            </w:pPr>
            <w:r>
              <w:rPr>
                <w:rFonts w:ascii="Arial" w:cs="Arial" w:eastAsia="Arial" w:hAnsi="Arial"/>
                <w:sz w:val="18"/>
                <w:szCs w:val="18"/>
                <w:color w:val="auto"/>
              </w:rPr>
              <w:t>Chairman</w:t>
            </w:r>
          </w:p>
        </w:tc>
      </w:tr>
      <w:tr>
        <w:trPr>
          <w:trHeight w:val="229"/>
        </w:trPr>
        <w:tc>
          <w:tcPr>
            <w:tcW w:w="1480" w:type="dxa"/>
            <w:vAlign w:val="bottom"/>
          </w:tcPr>
          <w:p>
            <w:pPr>
              <w:spacing w:after="0"/>
              <w:rPr>
                <w:sz w:val="20"/>
                <w:szCs w:val="20"/>
                <w:color w:val="auto"/>
              </w:rPr>
            </w:pPr>
            <w:r>
              <w:rPr>
                <w:rFonts w:ascii="Arial" w:cs="Arial" w:eastAsia="Arial" w:hAnsi="Arial"/>
                <w:sz w:val="18"/>
                <w:szCs w:val="18"/>
                <w:color w:val="auto"/>
              </w:rPr>
              <w:t>Joshua Sason</w:t>
            </w:r>
          </w:p>
        </w:tc>
        <w:tc>
          <w:tcPr>
            <w:tcW w:w="2100" w:type="dxa"/>
            <w:vAlign w:val="bottom"/>
          </w:tcPr>
          <w:p>
            <w:pPr>
              <w:ind w:left="120"/>
              <w:spacing w:after="0"/>
              <w:rPr>
                <w:sz w:val="20"/>
                <w:szCs w:val="20"/>
                <w:color w:val="auto"/>
              </w:rPr>
            </w:pPr>
            <w:r>
              <w:rPr>
                <w:rFonts w:ascii="Arial" w:cs="Arial" w:eastAsia="Arial" w:hAnsi="Arial"/>
                <w:sz w:val="18"/>
                <w:szCs w:val="18"/>
                <w:color w:val="auto"/>
              </w:rPr>
              <w:t>Magna Entertainment,</w:t>
            </w:r>
          </w:p>
        </w:tc>
        <w:tc>
          <w:tcPr>
            <w:tcW w:w="2060" w:type="dxa"/>
            <w:vAlign w:val="bottom"/>
          </w:tcPr>
          <w:p>
            <w:pPr>
              <w:ind w:left="100"/>
              <w:spacing w:after="0"/>
              <w:rPr>
                <w:sz w:val="20"/>
                <w:szCs w:val="20"/>
                <w:color w:val="auto"/>
              </w:rPr>
            </w:pPr>
            <w:r>
              <w:rPr>
                <w:rFonts w:ascii="Arial" w:cs="Arial" w:eastAsia="Arial" w:hAnsi="Arial"/>
                <w:sz w:val="18"/>
                <w:szCs w:val="18"/>
                <w:color w:val="auto"/>
              </w:rPr>
              <w:t>Film Production</w:t>
            </w:r>
          </w:p>
        </w:tc>
        <w:tc>
          <w:tcPr>
            <w:tcW w:w="2180" w:type="dxa"/>
            <w:vAlign w:val="bottom"/>
          </w:tcPr>
          <w:p>
            <w:pPr>
              <w:ind w:left="180"/>
              <w:spacing w:after="0"/>
              <w:rPr>
                <w:sz w:val="20"/>
                <w:szCs w:val="20"/>
                <w:color w:val="auto"/>
              </w:rPr>
            </w:pPr>
            <w:r>
              <w:rPr>
                <w:rFonts w:ascii="Arial" w:cs="Arial" w:eastAsia="Arial" w:hAnsi="Arial"/>
                <w:sz w:val="18"/>
                <w:szCs w:val="18"/>
                <w:color w:val="auto"/>
              </w:rPr>
              <w:t>Chief Executive Officer</w:t>
            </w:r>
          </w:p>
        </w:tc>
      </w:tr>
      <w:tr>
        <w:trPr>
          <w:trHeight w:val="216"/>
        </w:trPr>
        <w:tc>
          <w:tcPr>
            <w:tcW w:w="1480" w:type="dxa"/>
            <w:vAlign w:val="bottom"/>
          </w:tcPr>
          <w:p>
            <w:pPr>
              <w:spacing w:after="0"/>
              <w:rPr>
                <w:sz w:val="18"/>
                <w:szCs w:val="18"/>
                <w:color w:val="auto"/>
              </w:rPr>
            </w:pPr>
          </w:p>
        </w:tc>
        <w:tc>
          <w:tcPr>
            <w:tcW w:w="2100" w:type="dxa"/>
            <w:vAlign w:val="bottom"/>
          </w:tcPr>
          <w:p>
            <w:pPr>
              <w:ind w:left="120"/>
              <w:spacing w:after="0"/>
              <w:rPr>
                <w:sz w:val="20"/>
                <w:szCs w:val="20"/>
                <w:color w:val="auto"/>
              </w:rPr>
            </w:pPr>
            <w:r>
              <w:rPr>
                <w:rFonts w:ascii="Arial" w:cs="Arial" w:eastAsia="Arial" w:hAnsi="Arial"/>
                <w:sz w:val="18"/>
                <w:szCs w:val="18"/>
                <w:color w:val="auto"/>
              </w:rPr>
              <w:t>LLC</w:t>
            </w:r>
          </w:p>
        </w:tc>
        <w:tc>
          <w:tcPr>
            <w:tcW w:w="20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Joshua Sason</w:t>
            </w:r>
          </w:p>
        </w:tc>
        <w:tc>
          <w:tcPr>
            <w:tcW w:w="2100" w:type="dxa"/>
            <w:vAlign w:val="bottom"/>
          </w:tcPr>
          <w:p>
            <w:pPr>
              <w:ind w:left="120"/>
              <w:spacing w:after="0"/>
              <w:rPr>
                <w:sz w:val="20"/>
                <w:szCs w:val="20"/>
                <w:color w:val="auto"/>
              </w:rPr>
            </w:pPr>
            <w:r>
              <w:rPr>
                <w:rFonts w:ascii="Arial" w:cs="Arial" w:eastAsia="Arial" w:hAnsi="Arial"/>
                <w:sz w:val="18"/>
                <w:szCs w:val="18"/>
                <w:color w:val="auto"/>
              </w:rPr>
              <w:t>M SPAC LLC</w:t>
            </w:r>
          </w:p>
        </w:tc>
        <w:tc>
          <w:tcPr>
            <w:tcW w:w="2060" w:type="dxa"/>
            <w:vAlign w:val="bottom"/>
          </w:tcPr>
          <w:p>
            <w:pPr>
              <w:ind w:left="100"/>
              <w:spacing w:after="0"/>
              <w:rPr>
                <w:sz w:val="20"/>
                <w:szCs w:val="20"/>
                <w:color w:val="auto"/>
              </w:rPr>
            </w:pPr>
            <w:r>
              <w:rPr>
                <w:rFonts w:ascii="Arial" w:cs="Arial" w:eastAsia="Arial" w:hAnsi="Arial"/>
                <w:sz w:val="18"/>
                <w:szCs w:val="18"/>
                <w:color w:val="auto"/>
              </w:rPr>
              <w:t>Investment Holding</w:t>
            </w:r>
          </w:p>
        </w:tc>
        <w:tc>
          <w:tcPr>
            <w:tcW w:w="2180" w:type="dxa"/>
            <w:vAlign w:val="bottom"/>
          </w:tcPr>
          <w:p>
            <w:pPr>
              <w:ind w:left="180"/>
              <w:spacing w:after="0"/>
              <w:rPr>
                <w:sz w:val="20"/>
                <w:szCs w:val="20"/>
                <w:color w:val="auto"/>
              </w:rPr>
            </w:pPr>
            <w:r>
              <w:rPr>
                <w:rFonts w:ascii="Arial" w:cs="Arial" w:eastAsia="Arial" w:hAnsi="Arial"/>
                <w:sz w:val="18"/>
                <w:szCs w:val="18"/>
                <w:color w:val="auto"/>
              </w:rPr>
              <w:t>Managing Member</w:t>
            </w:r>
          </w:p>
        </w:tc>
      </w:tr>
      <w:tr>
        <w:trPr>
          <w:trHeight w:val="216"/>
        </w:trPr>
        <w:tc>
          <w:tcPr>
            <w:tcW w:w="14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8"/>
                <w:szCs w:val="18"/>
                <w:color w:val="auto"/>
              </w:rPr>
              <w:t>Company</w:t>
            </w:r>
          </w:p>
        </w:tc>
        <w:tc>
          <w:tcPr>
            <w:tcW w:w="2180" w:type="dxa"/>
            <w:vAlign w:val="bottom"/>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Joshua Sason</w:t>
            </w:r>
          </w:p>
        </w:tc>
        <w:tc>
          <w:tcPr>
            <w:tcW w:w="2100" w:type="dxa"/>
            <w:vAlign w:val="bottom"/>
          </w:tcPr>
          <w:p>
            <w:pPr>
              <w:ind w:left="120"/>
              <w:spacing w:after="0"/>
              <w:rPr>
                <w:sz w:val="20"/>
                <w:szCs w:val="20"/>
                <w:color w:val="auto"/>
              </w:rPr>
            </w:pPr>
            <w:r>
              <w:rPr>
                <w:rFonts w:ascii="Arial" w:cs="Arial" w:eastAsia="Arial" w:hAnsi="Arial"/>
                <w:sz w:val="18"/>
                <w:szCs w:val="18"/>
                <w:color w:val="auto"/>
              </w:rPr>
              <w:t>M SPAC Holdings I LLC</w:t>
            </w:r>
          </w:p>
        </w:tc>
        <w:tc>
          <w:tcPr>
            <w:tcW w:w="2060" w:type="dxa"/>
            <w:vAlign w:val="bottom"/>
          </w:tcPr>
          <w:p>
            <w:pPr>
              <w:ind w:left="100"/>
              <w:spacing w:after="0"/>
              <w:rPr>
                <w:sz w:val="20"/>
                <w:szCs w:val="20"/>
                <w:color w:val="auto"/>
              </w:rPr>
            </w:pPr>
            <w:r>
              <w:rPr>
                <w:rFonts w:ascii="Arial" w:cs="Arial" w:eastAsia="Arial" w:hAnsi="Arial"/>
                <w:sz w:val="18"/>
                <w:szCs w:val="18"/>
                <w:color w:val="auto"/>
              </w:rPr>
              <w:t>Investment Holding</w:t>
            </w:r>
          </w:p>
        </w:tc>
        <w:tc>
          <w:tcPr>
            <w:tcW w:w="2180" w:type="dxa"/>
            <w:vAlign w:val="bottom"/>
          </w:tcPr>
          <w:p>
            <w:pPr>
              <w:ind w:left="180"/>
              <w:spacing w:after="0"/>
              <w:rPr>
                <w:sz w:val="20"/>
                <w:szCs w:val="20"/>
                <w:color w:val="auto"/>
              </w:rPr>
            </w:pPr>
            <w:r>
              <w:rPr>
                <w:rFonts w:ascii="Arial" w:cs="Arial" w:eastAsia="Arial" w:hAnsi="Arial"/>
                <w:sz w:val="18"/>
                <w:szCs w:val="18"/>
                <w:color w:val="auto"/>
              </w:rPr>
              <w:t>Managing Member</w:t>
            </w:r>
          </w:p>
        </w:tc>
      </w:tr>
      <w:tr>
        <w:trPr>
          <w:trHeight w:val="216"/>
        </w:trPr>
        <w:tc>
          <w:tcPr>
            <w:tcW w:w="14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8"/>
                <w:szCs w:val="18"/>
                <w:color w:val="auto"/>
              </w:rPr>
              <w:t>Company</w:t>
            </w:r>
          </w:p>
        </w:tc>
        <w:tc>
          <w:tcPr>
            <w:tcW w:w="2180" w:type="dxa"/>
            <w:vAlign w:val="bottom"/>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Joshua Sason</w:t>
            </w:r>
          </w:p>
        </w:tc>
        <w:tc>
          <w:tcPr>
            <w:tcW w:w="2100" w:type="dxa"/>
            <w:vAlign w:val="bottom"/>
          </w:tcPr>
          <w:p>
            <w:pPr>
              <w:ind w:left="120"/>
              <w:spacing w:after="0"/>
              <w:rPr>
                <w:sz w:val="20"/>
                <w:szCs w:val="20"/>
                <w:color w:val="auto"/>
              </w:rPr>
            </w:pPr>
            <w:r>
              <w:rPr>
                <w:rFonts w:ascii="Arial" w:cs="Arial" w:eastAsia="Arial" w:hAnsi="Arial"/>
                <w:sz w:val="18"/>
                <w:szCs w:val="18"/>
                <w:color w:val="auto"/>
                <w:w w:val="99"/>
              </w:rPr>
              <w:t>M SPAC Holdings II LLC</w:t>
            </w:r>
          </w:p>
        </w:tc>
        <w:tc>
          <w:tcPr>
            <w:tcW w:w="2060" w:type="dxa"/>
            <w:vAlign w:val="bottom"/>
          </w:tcPr>
          <w:p>
            <w:pPr>
              <w:ind w:left="100"/>
              <w:spacing w:after="0"/>
              <w:rPr>
                <w:sz w:val="20"/>
                <w:szCs w:val="20"/>
                <w:color w:val="auto"/>
              </w:rPr>
            </w:pPr>
            <w:r>
              <w:rPr>
                <w:rFonts w:ascii="Arial" w:cs="Arial" w:eastAsia="Arial" w:hAnsi="Arial"/>
                <w:sz w:val="18"/>
                <w:szCs w:val="18"/>
                <w:color w:val="auto"/>
              </w:rPr>
              <w:t>Investment Holding</w:t>
            </w:r>
          </w:p>
        </w:tc>
        <w:tc>
          <w:tcPr>
            <w:tcW w:w="2180" w:type="dxa"/>
            <w:vAlign w:val="bottom"/>
          </w:tcPr>
          <w:p>
            <w:pPr>
              <w:ind w:left="180"/>
              <w:spacing w:after="0"/>
              <w:rPr>
                <w:sz w:val="20"/>
                <w:szCs w:val="20"/>
                <w:color w:val="auto"/>
              </w:rPr>
            </w:pPr>
            <w:r>
              <w:rPr>
                <w:rFonts w:ascii="Arial" w:cs="Arial" w:eastAsia="Arial" w:hAnsi="Arial"/>
                <w:sz w:val="18"/>
                <w:szCs w:val="18"/>
                <w:color w:val="auto"/>
              </w:rPr>
              <w:t>Managing Member</w:t>
            </w:r>
          </w:p>
        </w:tc>
      </w:tr>
      <w:tr>
        <w:trPr>
          <w:trHeight w:val="216"/>
        </w:trPr>
        <w:tc>
          <w:tcPr>
            <w:tcW w:w="14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8"/>
                <w:szCs w:val="18"/>
                <w:color w:val="auto"/>
              </w:rPr>
              <w:t>Company</w:t>
            </w:r>
          </w:p>
        </w:tc>
        <w:tc>
          <w:tcPr>
            <w:tcW w:w="2180" w:type="dxa"/>
            <w:vAlign w:val="bottom"/>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Marc Manuel</w:t>
            </w:r>
          </w:p>
        </w:tc>
        <w:tc>
          <w:tcPr>
            <w:tcW w:w="2100" w:type="dxa"/>
            <w:vAlign w:val="bottom"/>
          </w:tcPr>
          <w:p>
            <w:pPr>
              <w:ind w:left="120"/>
              <w:spacing w:after="0"/>
              <w:rPr>
                <w:sz w:val="20"/>
                <w:szCs w:val="20"/>
                <w:color w:val="auto"/>
              </w:rPr>
            </w:pPr>
            <w:r>
              <w:rPr>
                <w:rFonts w:ascii="Arial" w:cs="Arial" w:eastAsia="Arial" w:hAnsi="Arial"/>
                <w:sz w:val="18"/>
                <w:szCs w:val="18"/>
                <w:color w:val="auto"/>
                <w:w w:val="96"/>
              </w:rPr>
              <w:t>Magna Management LLC</w:t>
            </w:r>
          </w:p>
        </w:tc>
        <w:tc>
          <w:tcPr>
            <w:tcW w:w="206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2180" w:type="dxa"/>
            <w:vAlign w:val="bottom"/>
          </w:tcPr>
          <w:p>
            <w:pPr>
              <w:ind w:left="180"/>
              <w:spacing w:after="0"/>
              <w:rPr>
                <w:sz w:val="20"/>
                <w:szCs w:val="20"/>
                <w:color w:val="auto"/>
              </w:rPr>
            </w:pPr>
            <w:r>
              <w:rPr>
                <w:rFonts w:ascii="Arial" w:cs="Arial" w:eastAsia="Arial" w:hAnsi="Arial"/>
                <w:sz w:val="18"/>
                <w:szCs w:val="18"/>
                <w:color w:val="auto"/>
              </w:rPr>
              <w:t>Managing Director</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Russell Rieger</w:t>
            </w:r>
          </w:p>
        </w:tc>
        <w:tc>
          <w:tcPr>
            <w:tcW w:w="2100" w:type="dxa"/>
            <w:vAlign w:val="bottom"/>
          </w:tcPr>
          <w:p>
            <w:pPr>
              <w:ind w:left="120"/>
              <w:spacing w:after="0"/>
              <w:rPr>
                <w:sz w:val="20"/>
                <w:szCs w:val="20"/>
                <w:color w:val="auto"/>
              </w:rPr>
            </w:pPr>
            <w:r>
              <w:rPr>
                <w:rFonts w:ascii="Arial" w:cs="Arial" w:eastAsia="Arial" w:hAnsi="Arial"/>
                <w:sz w:val="18"/>
                <w:szCs w:val="18"/>
                <w:color w:val="auto"/>
              </w:rPr>
              <w:t>Magna Entertainment,</w:t>
            </w:r>
          </w:p>
        </w:tc>
        <w:tc>
          <w:tcPr>
            <w:tcW w:w="2060" w:type="dxa"/>
            <w:vAlign w:val="bottom"/>
          </w:tcPr>
          <w:p>
            <w:pPr>
              <w:ind w:left="100"/>
              <w:spacing w:after="0"/>
              <w:rPr>
                <w:sz w:val="20"/>
                <w:szCs w:val="20"/>
                <w:color w:val="auto"/>
              </w:rPr>
            </w:pPr>
            <w:r>
              <w:rPr>
                <w:rFonts w:ascii="Arial" w:cs="Arial" w:eastAsia="Arial" w:hAnsi="Arial"/>
                <w:sz w:val="18"/>
                <w:szCs w:val="18"/>
                <w:color w:val="auto"/>
              </w:rPr>
              <w:t>Film Production</w:t>
            </w:r>
          </w:p>
        </w:tc>
        <w:tc>
          <w:tcPr>
            <w:tcW w:w="2180" w:type="dxa"/>
            <w:vAlign w:val="bottom"/>
          </w:tcPr>
          <w:p>
            <w:pPr>
              <w:ind w:left="180"/>
              <w:spacing w:after="0"/>
              <w:rPr>
                <w:sz w:val="20"/>
                <w:szCs w:val="20"/>
                <w:color w:val="auto"/>
              </w:rPr>
            </w:pPr>
            <w:r>
              <w:rPr>
                <w:rFonts w:ascii="Arial" w:cs="Arial" w:eastAsia="Arial" w:hAnsi="Arial"/>
                <w:sz w:val="18"/>
                <w:szCs w:val="18"/>
                <w:color w:val="auto"/>
              </w:rPr>
              <w:t>Vice President</w:t>
            </w:r>
          </w:p>
        </w:tc>
      </w:tr>
      <w:tr>
        <w:trPr>
          <w:trHeight w:val="216"/>
        </w:trPr>
        <w:tc>
          <w:tcPr>
            <w:tcW w:w="1480" w:type="dxa"/>
            <w:vAlign w:val="bottom"/>
          </w:tcPr>
          <w:p>
            <w:pPr>
              <w:spacing w:after="0"/>
              <w:rPr>
                <w:sz w:val="18"/>
                <w:szCs w:val="18"/>
                <w:color w:val="auto"/>
              </w:rPr>
            </w:pPr>
          </w:p>
        </w:tc>
        <w:tc>
          <w:tcPr>
            <w:tcW w:w="2100" w:type="dxa"/>
            <w:vAlign w:val="bottom"/>
          </w:tcPr>
          <w:p>
            <w:pPr>
              <w:ind w:left="120"/>
              <w:spacing w:after="0"/>
              <w:rPr>
                <w:sz w:val="20"/>
                <w:szCs w:val="20"/>
                <w:color w:val="auto"/>
              </w:rPr>
            </w:pPr>
            <w:r>
              <w:rPr>
                <w:rFonts w:ascii="Arial" w:cs="Arial" w:eastAsia="Arial" w:hAnsi="Arial"/>
                <w:sz w:val="18"/>
                <w:szCs w:val="18"/>
                <w:color w:val="auto"/>
              </w:rPr>
              <w:t>LLC</w:t>
            </w:r>
          </w:p>
        </w:tc>
        <w:tc>
          <w:tcPr>
            <w:tcW w:w="20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Donald S. Ienner</w:t>
            </w:r>
          </w:p>
        </w:tc>
        <w:tc>
          <w:tcPr>
            <w:tcW w:w="2100" w:type="dxa"/>
            <w:vAlign w:val="bottom"/>
          </w:tcPr>
          <w:p>
            <w:pPr>
              <w:ind w:left="120"/>
              <w:spacing w:after="0"/>
              <w:rPr>
                <w:sz w:val="20"/>
                <w:szCs w:val="20"/>
                <w:color w:val="auto"/>
              </w:rPr>
            </w:pPr>
            <w:r>
              <w:rPr>
                <w:rFonts w:ascii="Arial" w:cs="Arial" w:eastAsia="Arial" w:hAnsi="Arial"/>
                <w:sz w:val="18"/>
                <w:szCs w:val="18"/>
                <w:color w:val="auto"/>
              </w:rPr>
              <w:t>DSI-1008, LLC</w:t>
            </w:r>
          </w:p>
        </w:tc>
        <w:tc>
          <w:tcPr>
            <w:tcW w:w="2060" w:type="dxa"/>
            <w:vAlign w:val="bottom"/>
          </w:tcPr>
          <w:p>
            <w:pPr>
              <w:ind w:left="100"/>
              <w:spacing w:after="0"/>
              <w:rPr>
                <w:sz w:val="20"/>
                <w:szCs w:val="20"/>
                <w:color w:val="auto"/>
              </w:rPr>
            </w:pPr>
            <w:r>
              <w:rPr>
                <w:rFonts w:ascii="Arial" w:cs="Arial" w:eastAsia="Arial" w:hAnsi="Arial"/>
                <w:sz w:val="18"/>
                <w:szCs w:val="18"/>
                <w:color w:val="auto"/>
              </w:rPr>
              <w:t>Consulting</w:t>
            </w:r>
          </w:p>
        </w:tc>
        <w:tc>
          <w:tcPr>
            <w:tcW w:w="2180" w:type="dxa"/>
            <w:vAlign w:val="bottom"/>
          </w:tcPr>
          <w:p>
            <w:pPr>
              <w:ind w:left="180"/>
              <w:spacing w:after="0"/>
              <w:rPr>
                <w:sz w:val="20"/>
                <w:szCs w:val="20"/>
                <w:color w:val="auto"/>
              </w:rPr>
            </w:pPr>
            <w:r>
              <w:rPr>
                <w:rFonts w:ascii="Arial" w:cs="Arial" w:eastAsia="Arial" w:hAnsi="Arial"/>
                <w:sz w:val="18"/>
                <w:szCs w:val="18"/>
                <w:color w:val="auto"/>
              </w:rPr>
              <w:t>Managing Member</w:t>
            </w:r>
          </w:p>
        </w:tc>
      </w:tr>
      <w:tr>
        <w:trPr>
          <w:trHeight w:val="243"/>
        </w:trPr>
        <w:tc>
          <w:tcPr>
            <w:tcW w:w="1480" w:type="dxa"/>
            <w:vAlign w:val="bottom"/>
          </w:tcPr>
          <w:p>
            <w:pPr>
              <w:spacing w:after="0"/>
              <w:rPr>
                <w:sz w:val="20"/>
                <w:szCs w:val="20"/>
                <w:color w:val="auto"/>
              </w:rPr>
            </w:pPr>
            <w:r>
              <w:rPr>
                <w:rFonts w:ascii="Arial" w:cs="Arial" w:eastAsia="Arial" w:hAnsi="Arial"/>
                <w:sz w:val="18"/>
                <w:szCs w:val="18"/>
                <w:color w:val="auto"/>
              </w:rPr>
              <w:t>David Schulhof</w:t>
            </w:r>
          </w:p>
        </w:tc>
        <w:tc>
          <w:tcPr>
            <w:tcW w:w="2100" w:type="dxa"/>
            <w:vAlign w:val="bottom"/>
          </w:tcPr>
          <w:p>
            <w:pPr>
              <w:ind w:left="120"/>
              <w:spacing w:after="0"/>
              <w:rPr>
                <w:sz w:val="20"/>
                <w:szCs w:val="20"/>
                <w:color w:val="auto"/>
              </w:rPr>
            </w:pPr>
            <w:r>
              <w:rPr>
                <w:rFonts w:ascii="Arial" w:cs="Arial" w:eastAsia="Arial" w:hAnsi="Arial"/>
                <w:sz w:val="18"/>
                <w:szCs w:val="18"/>
                <w:color w:val="auto"/>
              </w:rPr>
              <w:t>IM Global Music</w:t>
            </w:r>
          </w:p>
        </w:tc>
        <w:tc>
          <w:tcPr>
            <w:tcW w:w="2060" w:type="dxa"/>
            <w:vAlign w:val="bottom"/>
          </w:tcPr>
          <w:p>
            <w:pPr>
              <w:ind w:left="100"/>
              <w:spacing w:after="0"/>
              <w:rPr>
                <w:sz w:val="20"/>
                <w:szCs w:val="20"/>
                <w:color w:val="auto"/>
              </w:rPr>
            </w:pPr>
            <w:r>
              <w:rPr>
                <w:rFonts w:ascii="Arial" w:cs="Arial" w:eastAsia="Arial" w:hAnsi="Arial"/>
                <w:sz w:val="18"/>
                <w:szCs w:val="18"/>
                <w:color w:val="auto"/>
              </w:rPr>
              <w:t>Film distribution</w:t>
            </w:r>
          </w:p>
        </w:tc>
        <w:tc>
          <w:tcPr>
            <w:tcW w:w="2180" w:type="dxa"/>
            <w:vAlign w:val="bottom"/>
          </w:tcPr>
          <w:p>
            <w:pPr>
              <w:ind w:left="180"/>
              <w:spacing w:after="0"/>
              <w:rPr>
                <w:sz w:val="20"/>
                <w:szCs w:val="20"/>
                <w:color w:val="auto"/>
              </w:rPr>
            </w:pPr>
            <w:r>
              <w:rPr>
                <w:rFonts w:ascii="Arial" w:cs="Arial" w:eastAsia="Arial" w:hAnsi="Arial"/>
                <w:sz w:val="18"/>
                <w:szCs w:val="18"/>
                <w:color w:val="auto"/>
              </w:rPr>
              <w:t>President</w:t>
            </w:r>
          </w:p>
        </w:tc>
      </w:tr>
      <w:tr>
        <w:trPr>
          <w:trHeight w:val="229"/>
        </w:trPr>
        <w:tc>
          <w:tcPr>
            <w:tcW w:w="1480" w:type="dxa"/>
            <w:vAlign w:val="bottom"/>
          </w:tcPr>
          <w:p>
            <w:pPr>
              <w:spacing w:after="0"/>
              <w:rPr>
                <w:sz w:val="20"/>
                <w:szCs w:val="20"/>
                <w:color w:val="auto"/>
              </w:rPr>
            </w:pPr>
            <w:r>
              <w:rPr>
                <w:rFonts w:ascii="Arial" w:cs="Arial" w:eastAsia="Arial" w:hAnsi="Arial"/>
                <w:sz w:val="18"/>
                <w:szCs w:val="18"/>
                <w:color w:val="auto"/>
              </w:rPr>
              <w:t>Samuel S.</w:t>
            </w:r>
          </w:p>
        </w:tc>
        <w:tc>
          <w:tcPr>
            <w:tcW w:w="2100" w:type="dxa"/>
            <w:vAlign w:val="bottom"/>
          </w:tcPr>
          <w:p>
            <w:pPr>
              <w:ind w:left="120"/>
              <w:spacing w:after="0"/>
              <w:rPr>
                <w:sz w:val="20"/>
                <w:szCs w:val="20"/>
                <w:color w:val="auto"/>
              </w:rPr>
            </w:pPr>
            <w:r>
              <w:rPr>
                <w:rFonts w:ascii="Arial" w:cs="Arial" w:eastAsia="Arial" w:hAnsi="Arial"/>
                <w:sz w:val="18"/>
                <w:szCs w:val="18"/>
                <w:color w:val="auto"/>
              </w:rPr>
              <w:t>Sword, Rowe &amp; Co.</w:t>
            </w:r>
          </w:p>
        </w:tc>
        <w:tc>
          <w:tcPr>
            <w:tcW w:w="2060" w:type="dxa"/>
            <w:vAlign w:val="bottom"/>
          </w:tcPr>
          <w:p>
            <w:pPr>
              <w:ind w:left="100"/>
              <w:spacing w:after="0"/>
              <w:rPr>
                <w:sz w:val="20"/>
                <w:szCs w:val="20"/>
                <w:color w:val="auto"/>
              </w:rPr>
            </w:pPr>
            <w:r>
              <w:rPr>
                <w:rFonts w:ascii="Arial" w:cs="Arial" w:eastAsia="Arial" w:hAnsi="Arial"/>
                <w:sz w:val="18"/>
                <w:szCs w:val="18"/>
                <w:color w:val="auto"/>
                <w:w w:val="99"/>
              </w:rPr>
              <w:t>Investment and advisory</w:t>
            </w:r>
          </w:p>
        </w:tc>
        <w:tc>
          <w:tcPr>
            <w:tcW w:w="2180" w:type="dxa"/>
            <w:vAlign w:val="bottom"/>
          </w:tcPr>
          <w:p>
            <w:pPr>
              <w:ind w:left="180"/>
              <w:spacing w:after="0"/>
              <w:rPr>
                <w:sz w:val="20"/>
                <w:szCs w:val="20"/>
                <w:color w:val="auto"/>
              </w:rPr>
            </w:pPr>
            <w:r>
              <w:rPr>
                <w:rFonts w:ascii="Arial" w:cs="Arial" w:eastAsia="Arial" w:hAnsi="Arial"/>
                <w:sz w:val="18"/>
                <w:szCs w:val="18"/>
                <w:color w:val="auto"/>
              </w:rPr>
              <w:t>Managing Director</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Holdsworth</w:t>
            </w:r>
          </w:p>
        </w:tc>
        <w:tc>
          <w:tcPr>
            <w:tcW w:w="2100" w:type="dxa"/>
            <w:vAlign w:val="bottom"/>
          </w:tcPr>
          <w:p>
            <w:pPr>
              <w:spacing w:after="0"/>
              <w:rPr>
                <w:sz w:val="20"/>
                <w:szCs w:val="20"/>
                <w:color w:val="auto"/>
              </w:rPr>
            </w:pPr>
          </w:p>
        </w:tc>
        <w:tc>
          <w:tcPr>
            <w:tcW w:w="2060" w:type="dxa"/>
            <w:vAlign w:val="bottom"/>
          </w:tcPr>
          <w:p>
            <w:pPr>
              <w:ind w:left="100"/>
              <w:spacing w:after="0"/>
              <w:rPr>
                <w:sz w:val="20"/>
                <w:szCs w:val="20"/>
                <w:color w:val="auto"/>
              </w:rPr>
            </w:pPr>
            <w:r>
              <w:rPr>
                <w:rFonts w:ascii="Arial" w:cs="Arial" w:eastAsia="Arial" w:hAnsi="Arial"/>
                <w:sz w:val="18"/>
                <w:szCs w:val="18"/>
                <w:color w:val="auto"/>
              </w:rPr>
              <w:t>services</w:t>
            </w:r>
          </w:p>
        </w:tc>
        <w:tc>
          <w:tcPr>
            <w:tcW w:w="2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-2940685</wp:posOffset>
            </wp:positionV>
            <wp:extent cx="5145405" cy="2941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5405" cy="2941320"/>
                    </a:xfrm>
                    <a:prstGeom prst="rect">
                      <a:avLst/>
                    </a:prstGeom>
                    <a:noFill/>
                  </pic:spPr>
                </pic:pic>
              </a:graphicData>
            </a:graphic>
          </wp:anchor>
        </w:drawing>
      </w:r>
    </w:p>
    <w:p>
      <w:pPr>
        <w:spacing w:after="0" w:line="155"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insiders, officers and directors, have agreed to vote any shares of common stock held by them in favor of our initial business combination. In addition, they have agreed to waive their respective rights to receive any amounts held in the trust account with respect to their insider shares and private shares if we are unable to complete our initial business combination within the required time frame. If they purchase shares of common stock in this offering or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spacing w:after="0" w:line="15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3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To further minimize conflicts of interest, we have agreed not to consummate our initial business combination with an entity that is affiliated with any of our officers, directors or insiders,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202"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Our certificate of incorporation provides that our directors and officers will be indemnified by us to the fullest extent authorized by Delaware law as it now exists or may in the future be amended. In addition, our certificate of incorporation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Notwithstanding the foregoing, as set forth in our certificate of incorporation, such indemnification will not extend to any claims our insiders may make to us to cover any loss that they may sustain as a result of their agreement to pay debts and obligations to target businesses or vendors or other entities that are owed money by us for services rendered or contracted for or products sold to us as described elsewhere in this prospectus.</w:t>
      </w:r>
    </w:p>
    <w:p>
      <w:pPr>
        <w:spacing w:after="0" w:line="15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some circumstances and insures us against our obligations to indemnify the directors and officers.</w:t>
      </w:r>
    </w:p>
    <w:p>
      <w:pPr>
        <w:spacing w:after="0" w:line="14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w:t>
      </w:r>
    </w:p>
    <w:p>
      <w:pPr>
        <w:sectPr>
          <w:pgSz w:w="11900" w:h="16851" w:orient="portrait"/>
          <w:cols w:equalWidth="0" w:num="1">
            <w:col w:w="9019"/>
          </w:cols>
          <w:pgMar w:left="1440" w:top="287" w:right="1440" w:bottom="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p>
    <w:p>
      <w:pPr>
        <w:sectPr>
          <w:pgSz w:w="11900" w:h="16851" w:orient="portrait"/>
          <w:cols w:equalWidth="0" w:num="1">
            <w:col w:w="9019"/>
          </w:cols>
          <w:pgMar w:left="1440" w:top="287" w:right="1440" w:bottom="0" w:gutter="0" w:footer="0" w:header="0"/>
          <w:type w:val="continuous"/>
        </w:sectPr>
      </w:pPr>
    </w:p>
    <w:bookmarkStart w:id="76" w:name="page77"/>
    <w:bookmarkEnd w:id="7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jc w:val="both"/>
        <w:ind w:left="460" w:right="459"/>
        <w:spacing w:after="0" w:line="257" w:lineRule="auto"/>
        <w:rPr>
          <w:sz w:val="20"/>
          <w:szCs w:val="20"/>
          <w:color w:val="auto"/>
        </w:rPr>
      </w:pPr>
      <w:r>
        <w:rPr>
          <w:rFonts w:ascii="Arial" w:cs="Arial" w:eastAsia="Arial" w:hAnsi="Arial"/>
          <w:sz w:val="18"/>
          <w:szCs w:val="18"/>
          <w:color w:val="auto"/>
        </w:rPr>
        <w:t>though such an action, if successful, might otherwise benefit us and our stockholders. Furthermore, a stockholder’s investment may be adversely affected to the extent we pay the costs of settlement and damage awards against directors and officers pursuant to these provisions. We believe that these provisions, the insurance and the indemnity agreements are necessary to attract and retain talented and experienced directors and officers.</w:t>
      </w:r>
    </w:p>
    <w:p>
      <w:pPr>
        <w:spacing w:after="0" w:line="16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62"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The following table sets forth information regarding the beneficial ownership of our shares of common stock as of the date of this prospectus and upon completion of the sale of our shares of common stock included in the units offered by this prospectus (assuming none of the individuals listed purchase units in this offering), by:</w:t>
      </w:r>
    </w:p>
    <w:p>
      <w:pPr>
        <w:spacing w:after="0" w:line="66" w:lineRule="exact"/>
        <w:rPr>
          <w:sz w:val="20"/>
          <w:szCs w:val="20"/>
          <w:color w:val="auto"/>
        </w:rPr>
      </w:pPr>
    </w:p>
    <w:p>
      <w:pPr>
        <w:ind w:left="1120" w:right="459" w:hanging="333"/>
        <w:spacing w:after="0" w:line="277" w:lineRule="auto"/>
        <w:tabs>
          <w:tab w:leader="none" w:pos="11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102" w:lineRule="exact"/>
        <w:rPr>
          <w:rFonts w:ascii="Arial" w:cs="Arial" w:eastAsia="Arial" w:hAnsi="Arial"/>
          <w:sz w:val="18"/>
          <w:szCs w:val="18"/>
          <w:color w:val="auto"/>
        </w:rPr>
      </w:pPr>
    </w:p>
    <w:p>
      <w:pPr>
        <w:ind w:left="1080" w:hanging="293"/>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and</w:t>
      </w:r>
    </w:p>
    <w:p>
      <w:pPr>
        <w:spacing w:after="0" w:line="157" w:lineRule="exact"/>
        <w:rPr>
          <w:rFonts w:ascii="Arial" w:cs="Arial" w:eastAsia="Arial" w:hAnsi="Arial"/>
          <w:sz w:val="18"/>
          <w:szCs w:val="18"/>
          <w:color w:val="auto"/>
        </w:rPr>
      </w:pPr>
    </w:p>
    <w:p>
      <w:pPr>
        <w:ind w:left="1080" w:hanging="293"/>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officers, directors and director nominees as a group.</w:t>
      </w:r>
    </w:p>
    <w:p>
      <w:pPr>
        <w:spacing w:after="0" w:line="14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Amounts shown in the “After Offering” column are calculated assuming no exercise of the over-allotment option and, therefore, the forfeiture of an aggregate of 187,500 shares of common stock held by our insiders. Unless otherwise indicated, we believe that all persons named in the table have sole voting and investment power with respect to all shares of common stock beneficially owned by them.</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6"/>
                <w:szCs w:val="16"/>
                <w:b w:val="1"/>
                <w:bCs w:val="1"/>
                <w:color w:val="auto"/>
              </w:rPr>
              <w:t>Prior to Offering</w:t>
            </w:r>
          </w:p>
        </w:tc>
        <w:tc>
          <w:tcPr>
            <w:tcW w:w="120" w:type="dxa"/>
            <w:vAlign w:val="bottom"/>
          </w:tcPr>
          <w:p>
            <w:pPr>
              <w:spacing w:after="0"/>
              <w:rPr>
                <w:sz w:val="18"/>
                <w:szCs w:val="18"/>
                <w:color w:val="auto"/>
              </w:rPr>
            </w:pPr>
          </w:p>
        </w:tc>
        <w:tc>
          <w:tcPr>
            <w:tcW w:w="230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6"/>
                <w:szCs w:val="16"/>
                <w:b w:val="1"/>
                <w:bCs w:val="1"/>
                <w:color w:val="auto"/>
              </w:rPr>
              <w:t>After Offering</w:t>
            </w:r>
          </w:p>
        </w:tc>
      </w:tr>
      <w:tr>
        <w:trPr>
          <w:trHeight w:val="188"/>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Amount and</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w:t>
            </w: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Amount and</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 of</w:t>
            </w: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6"/>
              </w:rPr>
              <w:t>Percentage of</w:t>
            </w: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Beneficial</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Beneficial</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Ownership of</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Ownership of</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Common</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r>
      <w:tr>
        <w:trPr>
          <w:trHeight w:val="210"/>
        </w:trPr>
        <w:tc>
          <w:tcPr>
            <w:tcW w:w="3400" w:type="dxa"/>
            <w:vAlign w:val="bottom"/>
            <w:gridSpan w:val="2"/>
          </w:tcPr>
          <w:p>
            <w:pPr>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8"/>
                <w:szCs w:val="8"/>
                <w:b w:val="1"/>
                <w:bCs w:val="1"/>
                <w:color w:val="auto"/>
              </w:rPr>
              <w:t>(1)</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Stock</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Stock</w:t>
            </w:r>
            <w:r>
              <w:rPr>
                <w:rFonts w:ascii="Arial" w:cs="Arial" w:eastAsia="Arial" w:hAnsi="Arial"/>
                <w:sz w:val="8"/>
                <w:szCs w:val="8"/>
                <w:b w:val="1"/>
                <w:bCs w:val="1"/>
                <w:color w:val="auto"/>
                <w:w w:val="93"/>
              </w:rPr>
              <w:t>(2)</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Stock</w:t>
            </w:r>
          </w:p>
        </w:tc>
      </w:tr>
      <w:tr>
        <w:trPr>
          <w:trHeight w:val="230"/>
        </w:trPr>
        <w:tc>
          <w:tcPr>
            <w:tcW w:w="3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 SPAC LLC</w:t>
            </w:r>
            <w:r>
              <w:rPr>
                <w:rFonts w:ascii="Arial" w:cs="Arial" w:eastAsia="Arial" w:hAnsi="Arial"/>
                <w:sz w:val="8"/>
                <w:szCs w:val="8"/>
                <w:color w:val="auto"/>
              </w:rPr>
              <w:t>(3)</w:t>
            </w:r>
          </w:p>
        </w:tc>
        <w:tc>
          <w:tcPr>
            <w:tcW w:w="1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943,020</w:t>
            </w: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1,079,478</w:t>
            </w:r>
            <w:r>
              <w:rPr>
                <w:rFonts w:ascii="Arial" w:cs="Arial" w:eastAsia="Arial" w:hAnsi="Arial"/>
                <w:sz w:val="8"/>
                <w:szCs w:val="8"/>
                <w:color w:val="auto"/>
              </w:rPr>
              <w:t>(4)</w:t>
            </w: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72"/>
        </w:trPr>
        <w:tc>
          <w:tcPr>
            <w:tcW w:w="3400" w:type="dxa"/>
            <w:vAlign w:val="bottom"/>
            <w:gridSpan w:val="2"/>
          </w:tcPr>
          <w:p>
            <w:pPr>
              <w:spacing w:after="0" w:line="272" w:lineRule="exact"/>
              <w:rPr>
                <w:sz w:val="20"/>
                <w:szCs w:val="20"/>
                <w:color w:val="auto"/>
              </w:rPr>
            </w:pPr>
            <w:r>
              <w:rPr>
                <w:rFonts w:ascii="Arial" w:cs="Arial" w:eastAsia="Arial" w:hAnsi="Arial"/>
                <w:sz w:val="18"/>
                <w:szCs w:val="18"/>
                <w:color w:val="auto"/>
              </w:rPr>
              <w:t>M SPAC Holdings I LLC</w:t>
            </w:r>
            <w:r>
              <w:rPr>
                <w:rFonts w:ascii="Arial" w:cs="Arial" w:eastAsia="Arial" w:hAnsi="Arial"/>
                <w:sz w:val="30"/>
                <w:szCs w:val="30"/>
                <w:color w:val="auto"/>
                <w:vertAlign w:val="superscript"/>
              </w:rPr>
              <w:t>(3)</w:t>
            </w:r>
          </w:p>
        </w:tc>
        <w:tc>
          <w:tcPr>
            <w:tcW w:w="1080" w:type="dxa"/>
            <w:vAlign w:val="bottom"/>
          </w:tcPr>
          <w:p>
            <w:pPr>
              <w:jc w:val="right"/>
              <w:spacing w:after="0"/>
              <w:rPr>
                <w:sz w:val="20"/>
                <w:szCs w:val="20"/>
                <w:color w:val="auto"/>
              </w:rPr>
            </w:pPr>
            <w:r>
              <w:rPr>
                <w:rFonts w:ascii="Arial" w:cs="Arial" w:eastAsia="Arial" w:hAnsi="Arial"/>
                <w:sz w:val="18"/>
                <w:szCs w:val="18"/>
                <w:color w:val="auto"/>
              </w:rPr>
              <w:t>192,737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227,597</w:t>
            </w:r>
            <w:r>
              <w:rPr>
                <w:rFonts w:ascii="Arial" w:cs="Arial" w:eastAsia="Arial" w:hAnsi="Arial"/>
                <w:sz w:val="8"/>
                <w:szCs w:val="8"/>
                <w:color w:val="auto"/>
              </w:rPr>
              <w:t>(4)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53"/>
        </w:trPr>
        <w:tc>
          <w:tcPr>
            <w:tcW w:w="3400" w:type="dxa"/>
            <w:vAlign w:val="bottom"/>
            <w:gridSpan w:val="2"/>
          </w:tcPr>
          <w:p>
            <w:pPr>
              <w:spacing w:after="0" w:line="253" w:lineRule="exact"/>
              <w:rPr>
                <w:sz w:val="20"/>
                <w:szCs w:val="20"/>
                <w:color w:val="auto"/>
              </w:rPr>
            </w:pPr>
            <w:r>
              <w:rPr>
                <w:rFonts w:ascii="Arial" w:cs="Arial" w:eastAsia="Arial" w:hAnsi="Arial"/>
                <w:sz w:val="18"/>
                <w:szCs w:val="18"/>
                <w:color w:val="auto"/>
              </w:rPr>
              <w:t>M SPAC Holdings II LLC</w:t>
            </w:r>
            <w:r>
              <w:rPr>
                <w:rFonts w:ascii="Arial" w:cs="Arial" w:eastAsia="Arial" w:hAnsi="Arial"/>
                <w:sz w:val="29"/>
                <w:szCs w:val="29"/>
                <w:color w:val="auto"/>
                <w:vertAlign w:val="superscript"/>
              </w:rPr>
              <w:t>(3)</w:t>
            </w:r>
          </w:p>
        </w:tc>
        <w:tc>
          <w:tcPr>
            <w:tcW w:w="1080" w:type="dxa"/>
            <w:vAlign w:val="bottom"/>
          </w:tcPr>
          <w:p>
            <w:pPr>
              <w:jc w:val="right"/>
              <w:spacing w:after="0"/>
              <w:rPr>
                <w:sz w:val="20"/>
                <w:szCs w:val="20"/>
                <w:color w:val="auto"/>
              </w:rPr>
            </w:pPr>
            <w:r>
              <w:rPr>
                <w:rFonts w:ascii="Arial" w:cs="Arial" w:eastAsia="Arial" w:hAnsi="Arial"/>
                <w:sz w:val="18"/>
                <w:szCs w:val="18"/>
                <w:color w:val="auto"/>
              </w:rPr>
              <w:t>301,743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200" w:type="dxa"/>
            <w:vAlign w:val="bottom"/>
            <w:gridSpan w:val="2"/>
          </w:tcPr>
          <w:p>
            <w:pPr>
              <w:jc w:val="right"/>
              <w:ind w:right="58"/>
              <w:spacing w:after="0"/>
              <w:rPr>
                <w:sz w:val="20"/>
                <w:szCs w:val="20"/>
                <w:color w:val="auto"/>
              </w:rPr>
            </w:pPr>
            <w:r>
              <w:rPr>
                <w:rFonts w:ascii="Arial" w:cs="Arial" w:eastAsia="Arial" w:hAnsi="Arial"/>
                <w:sz w:val="18"/>
                <w:szCs w:val="18"/>
                <w:color w:val="auto"/>
              </w:rPr>
              <w:t>345,425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Joshua Sason</w:t>
            </w:r>
            <w:r>
              <w:rPr>
                <w:rFonts w:ascii="Arial" w:cs="Arial" w:eastAsia="Arial" w:hAnsi="Arial"/>
                <w:sz w:val="8"/>
                <w:szCs w:val="8"/>
                <w:color w:val="auto"/>
              </w:rPr>
              <w:t>(5)</w:t>
            </w:r>
          </w:p>
        </w:tc>
        <w:tc>
          <w:tcPr>
            <w:tcW w:w="1080" w:type="dxa"/>
            <w:vAlign w:val="bottom"/>
          </w:tcPr>
          <w:p>
            <w:pPr>
              <w:jc w:val="right"/>
              <w:spacing w:after="0"/>
              <w:rPr>
                <w:sz w:val="20"/>
                <w:szCs w:val="20"/>
                <w:color w:val="auto"/>
              </w:rPr>
            </w:pPr>
            <w:r>
              <w:rPr>
                <w:rFonts w:ascii="Arial" w:cs="Arial" w:eastAsia="Arial" w:hAnsi="Arial"/>
                <w:sz w:val="18"/>
                <w:szCs w:val="18"/>
                <w:color w:val="auto"/>
              </w:rPr>
              <w:t>1,437,500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1,652,500</w:t>
            </w:r>
            <w:r>
              <w:rPr>
                <w:rFonts w:ascii="Arial" w:cs="Arial" w:eastAsia="Arial" w:hAnsi="Arial"/>
                <w:sz w:val="8"/>
                <w:szCs w:val="8"/>
                <w:color w:val="auto"/>
              </w:rPr>
              <w:t>(4)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24.8%</w:t>
            </w:r>
          </w:p>
        </w:tc>
      </w:tr>
      <w:tr>
        <w:trPr>
          <w:trHeight w:val="242"/>
        </w:trPr>
        <w:tc>
          <w:tcPr>
            <w:tcW w:w="3400" w:type="dxa"/>
            <w:vAlign w:val="bottom"/>
            <w:gridSpan w:val="2"/>
          </w:tcPr>
          <w:p>
            <w:pPr>
              <w:spacing w:after="0"/>
              <w:rPr>
                <w:sz w:val="20"/>
                <w:szCs w:val="20"/>
                <w:color w:val="auto"/>
              </w:rPr>
            </w:pPr>
            <w:r>
              <w:rPr>
                <w:rFonts w:ascii="Arial" w:cs="Arial" w:eastAsia="Arial" w:hAnsi="Arial"/>
                <w:sz w:val="18"/>
                <w:szCs w:val="18"/>
                <w:color w:val="auto"/>
              </w:rPr>
              <w:t>Marc Manuel</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Russell Rieger</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w:t>
            </w: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Donald S. Ienner</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w:t>
            </w:r>
          </w:p>
        </w:tc>
      </w:tr>
      <w:tr>
        <w:trPr>
          <w:trHeight w:val="257"/>
        </w:trPr>
        <w:tc>
          <w:tcPr>
            <w:tcW w:w="3400" w:type="dxa"/>
            <w:vAlign w:val="bottom"/>
            <w:gridSpan w:val="2"/>
          </w:tcPr>
          <w:p>
            <w:pPr>
              <w:spacing w:after="0"/>
              <w:rPr>
                <w:sz w:val="20"/>
                <w:szCs w:val="20"/>
                <w:color w:val="auto"/>
              </w:rPr>
            </w:pPr>
            <w:r>
              <w:rPr>
                <w:rFonts w:ascii="Arial" w:cs="Arial" w:eastAsia="Arial" w:hAnsi="Arial"/>
                <w:sz w:val="18"/>
                <w:szCs w:val="18"/>
                <w:color w:val="auto"/>
              </w:rPr>
              <w:t>David Schulhof</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2"/>
                <w:szCs w:val="22"/>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2"/>
                <w:szCs w:val="22"/>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w:t>
            </w:r>
          </w:p>
        </w:tc>
      </w:tr>
      <w:tr>
        <w:trPr>
          <w:trHeight w:val="257"/>
        </w:trPr>
        <w:tc>
          <w:tcPr>
            <w:tcW w:w="3400" w:type="dxa"/>
            <w:vAlign w:val="bottom"/>
            <w:gridSpan w:val="2"/>
          </w:tcPr>
          <w:p>
            <w:pPr>
              <w:spacing w:after="0"/>
              <w:rPr>
                <w:sz w:val="20"/>
                <w:szCs w:val="20"/>
                <w:color w:val="auto"/>
              </w:rPr>
            </w:pPr>
            <w:r>
              <w:rPr>
                <w:rFonts w:ascii="Arial" w:cs="Arial" w:eastAsia="Arial" w:hAnsi="Arial"/>
                <w:sz w:val="18"/>
                <w:szCs w:val="18"/>
                <w:color w:val="auto"/>
              </w:rPr>
              <w:t>Samuel S. Holdsworth</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2"/>
                <w:szCs w:val="22"/>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2"/>
                <w:szCs w:val="22"/>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w:t>
            </w:r>
          </w:p>
        </w:tc>
      </w:tr>
      <w:tr>
        <w:trPr>
          <w:trHeight w:val="242"/>
        </w:trPr>
        <w:tc>
          <w:tcPr>
            <w:tcW w:w="3400" w:type="dxa"/>
            <w:vAlign w:val="bottom"/>
            <w:gridSpan w:val="2"/>
          </w:tcPr>
          <w:p>
            <w:pPr>
              <w:spacing w:after="0"/>
              <w:rPr>
                <w:sz w:val="20"/>
                <w:szCs w:val="20"/>
                <w:color w:val="auto"/>
              </w:rPr>
            </w:pPr>
            <w:r>
              <w:rPr>
                <w:rFonts w:ascii="Arial" w:cs="Arial" w:eastAsia="Arial" w:hAnsi="Arial"/>
                <w:sz w:val="18"/>
                <w:szCs w:val="18"/>
                <w:color w:val="auto"/>
              </w:rPr>
              <w:t>All directors, director nominees and</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6"/>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executive officers as a group (3</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individuals)</w:t>
            </w:r>
          </w:p>
        </w:tc>
        <w:tc>
          <w:tcPr>
            <w:tcW w:w="1080" w:type="dxa"/>
            <w:vAlign w:val="bottom"/>
          </w:tcPr>
          <w:p>
            <w:pPr>
              <w:jc w:val="right"/>
              <w:spacing w:after="0"/>
              <w:rPr>
                <w:sz w:val="20"/>
                <w:szCs w:val="20"/>
                <w:color w:val="auto"/>
              </w:rPr>
            </w:pPr>
            <w:r>
              <w:rPr>
                <w:rFonts w:ascii="Arial" w:cs="Arial" w:eastAsia="Arial" w:hAnsi="Arial"/>
                <w:sz w:val="18"/>
                <w:szCs w:val="18"/>
                <w:color w:val="auto"/>
              </w:rPr>
              <w:t>1,437,500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0" w:type="dxa"/>
            <w:vAlign w:val="bottom"/>
            <w:gridSpan w:val="2"/>
          </w:tcPr>
          <w:p>
            <w:pPr>
              <w:jc w:val="right"/>
              <w:ind w:right="58"/>
              <w:spacing w:after="0"/>
              <w:rPr>
                <w:sz w:val="20"/>
                <w:szCs w:val="20"/>
                <w:color w:val="auto"/>
              </w:rPr>
            </w:pPr>
            <w:r>
              <w:rPr>
                <w:rFonts w:ascii="Arial" w:cs="Arial" w:eastAsia="Arial" w:hAnsi="Arial"/>
                <w:sz w:val="18"/>
                <w:szCs w:val="18"/>
                <w:color w:val="auto"/>
              </w:rPr>
              <w:t>1,652,500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24.8%</w:t>
            </w:r>
          </w:p>
        </w:tc>
      </w:tr>
      <w:tr>
        <w:trPr>
          <w:trHeight w:val="242"/>
        </w:trPr>
        <w:tc>
          <w:tcPr>
            <w:tcW w:w="3280" w:type="dxa"/>
            <w:vAlign w:val="bottom"/>
          </w:tcPr>
          <w:p>
            <w:pPr>
              <w:spacing w:after="0"/>
              <w:rPr>
                <w:sz w:val="20"/>
                <w:szCs w:val="20"/>
                <w:color w:val="auto"/>
              </w:rPr>
            </w:pPr>
            <w:r>
              <w:rPr>
                <w:rFonts w:ascii="Arial" w:cs="Arial" w:eastAsia="Arial" w:hAnsi="Arial"/>
                <w:sz w:val="18"/>
                <w:szCs w:val="18"/>
                <w:color w:val="auto"/>
              </w:rPr>
              <w:t>____________</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ind w:left="780" w:right="459" w:hanging="318"/>
        <w:spacing w:after="0" w:line="250"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c/o Magna Management LLC, 40 Wall Street, 58th Floor, New York, NY 10005.</w:t>
      </w:r>
    </w:p>
    <w:p>
      <w:pPr>
        <w:ind w:left="780" w:right="459" w:hanging="318"/>
        <w:spacing w:after="0" w:line="250" w:lineRule="auto"/>
        <w:tabs>
          <w:tab w:leader="none" w:pos="809"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Does not include beneficial ownership of any shares of common stock underlying outstanding warrants as such shares are not issuable within 60 days of the date of this prospectus.</w:t>
      </w:r>
    </w:p>
    <w:p>
      <w:pPr>
        <w:jc w:val="both"/>
        <w:ind w:left="780" w:right="459" w:hanging="318"/>
        <w:spacing w:after="0" w:line="250" w:lineRule="auto"/>
        <w:tabs>
          <w:tab w:leader="none" w:pos="8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Joshua Sason is the sole managing member of M SPAC LLC, M SPAC Holdings I LLC and M SPAC Holdings II LLC and thus may be deemed to have voting and investment power with respect to the shares owned by such entities.</w:t>
      </w:r>
    </w:p>
    <w:p>
      <w:pPr>
        <w:spacing w:after="0" w:line="1" w:lineRule="exact"/>
        <w:rPr>
          <w:rFonts w:ascii="Arial" w:cs="Arial" w:eastAsia="Arial" w:hAnsi="Arial"/>
          <w:sz w:val="18"/>
          <w:szCs w:val="18"/>
          <w:color w:val="auto"/>
        </w:rPr>
      </w:pPr>
    </w:p>
    <w:p>
      <w:pPr>
        <w:jc w:val="both"/>
        <w:ind w:left="780" w:right="459" w:hanging="318"/>
        <w:spacing w:after="0" w:line="250" w:lineRule="auto"/>
        <w:tabs>
          <w:tab w:leader="none" w:pos="8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the 342,500 shares of common stock underlying the private units to be purchased by M SPAC LLC and the 60,000 shares of common stock underlying the private units to be purchased by M SPAC Holdings I LLC simultaneously with the consummation of this offering.</w:t>
      </w:r>
    </w:p>
    <w:p>
      <w:pPr>
        <w:spacing w:after="0" w:line="1" w:lineRule="exact"/>
        <w:rPr>
          <w:rFonts w:ascii="Arial" w:cs="Arial" w:eastAsia="Arial" w:hAnsi="Arial"/>
          <w:sz w:val="18"/>
          <w:szCs w:val="18"/>
          <w:color w:val="auto"/>
        </w:rPr>
      </w:pPr>
    </w:p>
    <w:p>
      <w:pPr>
        <w:ind w:left="780" w:right="459" w:hanging="318"/>
        <w:spacing w:after="0" w:line="261" w:lineRule="auto"/>
        <w:tabs>
          <w:tab w:leader="none" w:pos="794"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Securities beneficially owned consist of securities owned by M SPAC LLC, M SPAC Holdings I LLC and M SPAC Holdings II LLC, of which the individual is a managing member.</w:t>
      </w:r>
    </w:p>
    <w:p>
      <w:pPr>
        <w:spacing w:after="0" w:line="103"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Immediately after this offering, our insiders will beneficially own approximately 24.8% of the then issued and outstanding shares of common stock (assuming they do not purchase any units offered by this prospectus). None of our insiders, officers, directors and director nominees has committed to purchase our units in the offering. Because of the ownership block held by our insiders, such individuals may be able to effectively exercise influence over all matters requiring approval by our stockholders, including the election of directors and approval of significant corporate transactions other than approval of our initial business combination.</w:t>
      </w:r>
    </w:p>
    <w:p>
      <w:pPr>
        <w:spacing w:after="0" w:line="111"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If the underwriters do not exercise all or a portion of the over-allotment option, an aggregate of up to 187,500 insider shares will be forfeited in amounts as determined amongst the holders of such insider shares and not proportional to their ownership percentages in our shares of common stock. Only a number of shares necessary to maintain our insiders’ collective 20.0% ownership interest (excluding the private units) in our shares of common stock after giving effect to the offering and the exercise, if any, of the underwriters’ over-allotment option will be forfeited.</w:t>
      </w:r>
    </w:p>
    <w:p>
      <w:pPr>
        <w:spacing w:after="0" w:line="12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All of the insider shares outstanding prior to the date of this prospectus will be placed in escrow with Continental Stock Transfer &amp; Trust Company, as escrow agent. Subject to certain limited exceptions, 50% of these shares will not be transferred, assigned, sold or released from escrow until the earlier of six months after the date of the consummation of our initial business</w:t>
      </w:r>
    </w:p>
    <w:p>
      <w:pPr>
        <w:sectPr>
          <w:pgSz w:w="11900" w:h="16838" w:orient="portrait"/>
          <w:cols w:equalWidth="0" w:num="1">
            <w:col w:w="9019"/>
          </w:cols>
          <w:pgMar w:left="1440" w:top="337" w:right="1440" w:bottom="811"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811" w:gutter="0" w:footer="0" w:header="0"/>
          <w:type w:val="continuous"/>
        </w:sectPr>
      </w:pPr>
    </w:p>
    <w:bookmarkStart w:id="79" w:name="page80"/>
    <w:bookmarkEnd w:id="79"/>
    <w:p>
      <w:pPr>
        <w:jc w:val="both"/>
        <w:ind w:left="460" w:right="459"/>
        <w:spacing w:after="0" w:line="289" w:lineRule="auto"/>
        <w:rPr>
          <w:sz w:val="20"/>
          <w:szCs w:val="20"/>
          <w:color w:val="auto"/>
        </w:rPr>
      </w:pPr>
      <w:r>
        <w:rPr>
          <w:rFonts w:ascii="Arial" w:cs="Arial" w:eastAsia="Arial" w:hAnsi="Arial"/>
          <w:sz w:val="16"/>
          <w:szCs w:val="16"/>
          <w:color w:val="auto"/>
        </w:rPr>
        <w:t>combination and the date the closing price of our common stock equals or exceeds $12.50 per share (as adjusted for stock splits, stock dividends, reorganizations and recapitalizations) for any 20 trading days within any 30-trading day period commencing after our initial business combination and the remaining 50% of the insider shares will not be transferred, assigned, sold or released from escrow until six months after the date of the consummation of our initial business combination or earlier in either case if, subsequent to our initial business combination, we complete a liquidation, merger, stock exchange or other similar transaction which results in all of our stockholders having the right to exchange their shares of common stock for cash, securities or other property. Up to 187,500 of the insider shares may also be released from escrow earlier than this date for cancellation if the over-allotment option is not exercised in full as described above.</w:t>
      </w:r>
    </w:p>
    <w:p>
      <w:pPr>
        <w:spacing w:after="0" w:line="8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During the escrow period, the holders of these shares will not be able to sell or transfer their securities except (1) transfers among the insiders, to our officers, directors, advisors and employees, (2) transfers to an insider’s affiliates or its members upon its liquidation, (3) transfers to relatives and trusts for estate planning purposes, (4) transfers by virtue of the laws of descent and distribution upon death, (5) transfers pursuant to a qualified domestic relations order, (6) private sales made at prices no greater than the price at which the securities were originally purchased or (7) transfers to us for cancellation in connection with the consummation of an initial business combination, in each case (except for clause 7) where the transferee agrees to the terms of the escrow agreement and forfeiture, as the case may be, as well as the other applicable restrictions and agreements of the holders of the insider shares. If dividends are declared and payable in shares of common stock, such dividends will also be placed in escrow. If we are unable to effect a business combination and liquidate, there will be no liquidation distribution with respect to the insider shares.</w:t>
      </w:r>
    </w:p>
    <w:p>
      <w:pPr>
        <w:spacing w:after="0" w:line="105"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insiders (and/or their designees) have committed that they will purchase the private units (for an aggregate purchase price of $4,025,000) from us in amounts as determined amongst the parties and not proportional to their ownership percentages in our shares of common stock. These purchases will take place on a private placement basis simultaneously with the consummation of this offering. Our insiders have also agreed that if the over-allotment option is exercised by the underwriters in full or in part, they will purchase from us at a price of $10.00 per unit the number of private units (up to a maximum of 45,000 private units) that is necessary to maintain in the trust account an amount equal to $10.30 per share sold to the public in this offering. These additional private units will be purchased in a private placement that will occur simultaneously with the purchase of units resulting from the exercise of the over-allotment option. The private units are identical to the units sold in this offering. However, the holders have agreed (A) to vote their insider shares,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for our working capital requirements or to pay our franchise and income taxes, divided by the number of then outstanding public shares, (C) not to convert any shares (including the insider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insider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317"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order to meet our working capital needs following the consummation of this offering, our insiders,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outstanding loans from our insiders, officers and directors or their affiliates, will be repaid only from amounts remaining outside our trust account, if any.</w:t>
      </w:r>
    </w:p>
    <w:p>
      <w:pPr>
        <w:spacing w:after="0" w:line="9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Our executive officers and directors are deemed to be our “promoters,” as that term is defined under the federal securities laws.</w:t>
      </w:r>
    </w:p>
    <w:p>
      <w:pPr>
        <w:sectPr>
          <w:pgSz w:w="11900" w:h="16838" w:orient="portrait"/>
          <w:cols w:equalWidth="0" w:num="1">
            <w:col w:w="9019"/>
          </w:cols>
          <w:pgMar w:left="1440" w:top="274" w:right="1440" w:bottom="1440" w:gutter="0" w:footer="0" w:header="0"/>
        </w:sectPr>
      </w:pP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CERTAIN TRANSACTIONS</w:t>
      </w:r>
    </w:p>
    <w:p>
      <w:pPr>
        <w:spacing w:after="0" w:line="189"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In April 2015, we sold an aggregate of 1,437,500 shares of our common stock for $25,000, or approximately $.02 per share, to M SPAC LLC, which is controlled by Joshua Sason. On July 20, 2016, M SPAC LLC sold back 494,480 shares to us at a price equal to the amount paid for such shares. We subsequently sold an aggregate of 494,480 shares of our common stock for $8,599.65, or approximately $.02 per share, to M SPAC Holdings I LLC and M SPAC Holdings II LLC, each of which is controlled by Joshua Sason.</w:t>
      </w:r>
    </w:p>
    <w:p>
      <w:pPr>
        <w:spacing w:after="0" w:line="131"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If the underwriters do not exercise all or a portion of their over-allotment option, our insiders will forfeit up to an aggregate of 187,500 insider shares in proportion to the portion of the over-allotment option that was not exercised. If such shares are forfeited, we will record the forfeited shares as treasury stock and simultaneously retire the shares. Upon receipt, such forfeited shares would then be immediately cancelled which would result in the retirement of the treasury shares and a corresponding charge to additional paid-in capital.</w:t>
      </w:r>
    </w:p>
    <w:p>
      <w:pPr>
        <w:spacing w:after="0" w:line="11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If the underwriters determine the size of the offering should be increased (including pursuant to Rule 462(b) under the Securities Act) or decreased, a share dividend or a contribution back to capital, as applicable, would be effectuated in order to maintain our insiders’ ownership at a percentage of the number of shares of common stock to be sold in this offering. Our insiders may purchase from us at a price of $10.00 per unit the number of private units that is necessary to maintain in the trust account an amount equal to $10.30 per share sold to the public in this offering.</w:t>
      </w:r>
    </w:p>
    <w:p>
      <w:pPr>
        <w:spacing w:after="0" w:line="153"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M SPAC LLC, M SPAC Holdings I LLC and M SPAC Holdings II LLC, entities controlled by Joshua Sason, our Chief Executive Officer, have committed that it (and/or its designees) will purchase, pursuant to written purchase agreements with us, 402,500 private units for a total purchase price of $4,025,000, from us. These purchases will take place on a private placement basis simultaneously with the consummation of this offering. M SPAC LLC, M SPAC Holdings I LLC and M SPAC Holdings II LLC have also agreed that if the over-allotment option is exercised by the underwriters in full or in part, they will purchase from us at a price of $10.00 per unit the number of private units (up to a maximum of 45,000 private units) that is necessary to maintain in the trust account an amount equal to $10.30 per share sold to the public in this offering. These additional private units will be purchased in a private placement that will occur simultaneously with the purchase of units resulting from the exercise of the over-allotment option. The purchase price for the private units, including those that may be purchased if the over-allotment option is exercised, will be delivered to Continental Stock Transfer &amp; Trust Company, who will also be acting as escrow agent in connection with the private sale of private units, at least 24 hours prior to the date of this prospectus to hold in a non-interest bearing account until we consummate this offering. Continental Stock Transfer &amp; Trust Company will deposit the purchase price into the trust account simultaneously with the consummation of the offering or the over-allotment option, as the case may be. The private units are identical to the units sold in this offering. However, the holders have agreed (A) to vote their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for our working capital requirements or to pay our franchise and income taxes, divided by the number of then outstanding public shares, (C) not to convert any shares (including the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private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375"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order to meet our working capital needs following the consummation of this offering, our insiders,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outstanding loans from our insiders, officers and directors or their affiliates, will be repaid only from amounts remaining outside our trust account, if any.</w:t>
      </w:r>
    </w:p>
    <w:p>
      <w:pPr>
        <w:sectPr>
          <w:pgSz w:w="11900" w:h="16838" w:orient="portrait"/>
          <w:cols w:equalWidth="0" w:num="1">
            <w:col w:w="9019"/>
          </w:cols>
          <w:pgMar w:left="1440" w:top="337" w:right="1440" w:bottom="1095"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095" w:gutter="0" w:footer="0" w:header="0"/>
          <w:type w:val="continuous"/>
        </w:sectPr>
      </w:pPr>
    </w:p>
    <w:bookmarkStart w:id="81" w:name="page82"/>
    <w:bookmarkEnd w:id="81"/>
    <w:p>
      <w:pPr>
        <w:jc w:val="both"/>
        <w:ind w:left="460" w:right="459"/>
        <w:spacing w:after="0" w:line="269" w:lineRule="auto"/>
        <w:rPr>
          <w:sz w:val="20"/>
          <w:szCs w:val="20"/>
          <w:color w:val="auto"/>
        </w:rPr>
      </w:pPr>
      <w:r>
        <w:rPr>
          <w:rFonts w:ascii="Arial" w:cs="Arial" w:eastAsia="Arial" w:hAnsi="Arial"/>
          <w:sz w:val="17"/>
          <w:szCs w:val="17"/>
          <w:color w:val="auto"/>
        </w:rPr>
        <w:t>The holders of our insider shares issued and outstanding on the date of this prospectus, as well as the holders of the private units (and underlying securities) and any shares our insiders, officers, directors or their affiliates may be issued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units or shares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w:t>
      </w:r>
    </w:p>
    <w:p>
      <w:pPr>
        <w:spacing w:after="0" w:line="15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As of June 30, 2016, M SPAC LLC, an entity controlled by Joshua Sason, our Chief Executive Officer, had loaned to us $131,720 to cover expenses related to this offering. The loan is payable without interest on the earlier of (i) the consummation of the Proposed Public Offering or (ii) the date on which the Company determines not to proceed with the Proposed Public Offering.</w:t>
      </w:r>
    </w:p>
    <w:p>
      <w:pPr>
        <w:spacing w:after="0" w:line="146"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Magna Management LLC, a company owned by our insiders, has agreed that, commencing on the date of this prospectus through the earlier of our consummation of our initial business combination or our liquidation, it will make available to us certain general and administrative services, including office space, utilities and administrative support, as we may require from time to time. We have agreed to pay Magna Management LLC $10,000 per month for these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We believe that the fee charged by our sponsor is at least as favorable as we could have obtained from an unaffiliated person.</w:t>
      </w:r>
    </w:p>
    <w:p>
      <w:pPr>
        <w:spacing w:after="0" w:line="137"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Other than the fees described above, no compensation or fees of any kind, including finder’s fees, consulting fees or other similar compensation, will be paid to our insiders or any of the members of our management team,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4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board,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27"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Policy</w:t>
      </w:r>
    </w:p>
    <w:p>
      <w:pPr>
        <w:spacing w:after="0" w:line="18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$100,000 in any calendar year, (2) we or any of our subsidiaries is a participant, and (3) any (a) executive officer, director or nominee for election as a director, (b) greater than 5% beneficial owner of our shares of common stock, or (c) immediate family member, of</w:t>
      </w:r>
    </w:p>
    <w:p>
      <w:pPr>
        <w:sectPr>
          <w:pgSz w:w="11900" w:h="16838" w:orient="portrait"/>
          <w:cols w:equalWidth="0" w:num="1">
            <w:col w:w="9019"/>
          </w:cols>
          <w:pgMar w:left="1440" w:top="301" w:right="1440"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82" w:name="page83"/>
    <w:bookmarkEnd w:id="82"/>
    <w:p>
      <w:pPr>
        <w:jc w:val="both"/>
        <w:ind w:left="460" w:right="459"/>
        <w:spacing w:after="0" w:line="276" w:lineRule="auto"/>
        <w:rPr>
          <w:sz w:val="20"/>
          <w:szCs w:val="20"/>
          <w:color w:val="auto"/>
        </w:rPr>
      </w:pPr>
      <w:r>
        <w:rPr>
          <w:rFonts w:ascii="Arial" w:cs="Arial" w:eastAsia="Arial" w:hAnsi="Arial"/>
          <w:sz w:val="17"/>
          <w:szCs w:val="17"/>
          <w:color w:val="auto"/>
        </w:rPr>
        <w:t>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4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We also require each of our directors and executive officers to annually complete a directors’ and officers’ questionnaire that elicits information about related party transactions.</w:t>
      </w:r>
    </w:p>
    <w:p>
      <w:pPr>
        <w:spacing w:after="0" w:line="130"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10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To further minimize conflicts of interest, we have agreed not to consummate our initial business combination with an entity that is affiliated with any of our insiders, officers or directors unless we have obtained an opinion from an independent investment banking firm and the approval of a majority of our disinterested and independent directors (if we have any at that time) that the business combination is fair to our unaffiliated stockholders from a financial point of view.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certificate of incorporation currently authorizes the issuance of 50,000,000 shares of common stock, par value $0.001, and 1,000,000 shares of preferred stock, par value $0.001. As of the date of this prospectus, 1,437,500 shares of common stock are outstanding, held by one stockholder of record. No shares of preferred stock are currently outstanding. The following description summarizes all of the material terms of our securities. Because it is only a summary, it may not contain all the information that is important to you. For a complete description you should refer to our certificate of incorporation and bylaws, which are filed as exhibits to the registration statement of which this prospectus is a part.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w:t>
      </w:r>
    </w:p>
    <w:p>
      <w:pPr>
        <w:spacing w:after="0" w:line="20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Each unit has an offering price of $10.00 and consists of one share of common stock and one warrant. Each warrant entitles the holder thereof to purchase one share of our common stock at a price of $12.00 per share, subject to adjustment as described in this prospectus.</w:t>
      </w:r>
    </w:p>
    <w:p>
      <w:pPr>
        <w:spacing w:after="0" w:line="15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common stock and warrants comprising the units will begin separate trading on the 90</w:t>
      </w:r>
      <w:r>
        <w:rPr>
          <w:rFonts w:ascii="Arial" w:cs="Arial" w:eastAsia="Arial" w:hAnsi="Arial"/>
          <w:sz w:val="8"/>
          <w:szCs w:val="8"/>
          <w:color w:val="auto"/>
        </w:rPr>
        <w:t>th</w:t>
      </w:r>
      <w:r>
        <w:rPr>
          <w:rFonts w:ascii="Arial" w:cs="Arial" w:eastAsia="Arial" w:hAnsi="Arial"/>
          <w:sz w:val="17"/>
          <w:szCs w:val="17"/>
          <w:color w:val="auto"/>
        </w:rPr>
        <w:t xml:space="preserve"> day after the date of this prospectus unless Chardan Capital Markets, LLC determines that an earlier date is acceptable (based upon, among other things, its assessment of the relative strengths of the securities markets and small capitalization companies in general, and the trading pattern of, and demand for, our securities in particular), subject to our having filed the Current Report on Form 8-K described below and having issued a press release announcing when such separate trading will begin. 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shares of common stock and warrants.</w:t>
      </w:r>
    </w:p>
    <w:p>
      <w:pPr>
        <w:spacing w:after="0" w:line="141"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 no event will the common stock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completion of this offering, which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20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holders of record of our common stock are entitled to one vote for each share held on all matters to be voted on by stockholders. In connection with any vote held to approve our initial business combination, our insiders, officers and directors, have agreed to vote their respective shares of common stock owned by them immediately prior to this offering, including both the insider shares and the private shares, and any shares acquired in this offering or following this offering in the open market, in favor of the proposed business combination.</w:t>
      </w:r>
    </w:p>
    <w:p>
      <w:pPr>
        <w:spacing w:after="0" w:line="15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2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eligible to vote for the election of directors can elect all of the directors.</w:t>
      </w:r>
    </w:p>
    <w:p>
      <w:pPr>
        <w:spacing w:after="0" w:line="160"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Pursuant to our certificate of incorporation, if we do not consummate our initial business combination within 18 months from the closing of this offering (or 21 months from the closing of this offering if the extension criteria described elsewhere in this prospectus is met), we will (i) cease all operations except for the purpose of winding up, (ii) as promptly as reasonably possible but not more than ten business days thereafter, redeem 100% of the outstanding public shares, which redemption will completely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4" w:name="page85"/>
    <w:bookmarkEnd w:id="84"/>
    <w:p>
      <w:pPr>
        <w:jc w:val="both"/>
        <w:ind w:left="460" w:right="459"/>
        <w:spacing w:after="0" w:line="273" w:lineRule="auto"/>
        <w:rPr>
          <w:sz w:val="20"/>
          <w:szCs w:val="20"/>
          <w:color w:val="auto"/>
        </w:rPr>
      </w:pPr>
      <w:r>
        <w:rPr>
          <w:rFonts w:ascii="Arial" w:cs="Arial" w:eastAsia="Arial" w:hAnsi="Arial"/>
          <w:sz w:val="17"/>
          <w:szCs w:val="17"/>
          <w:color w:val="auto"/>
        </w:rPr>
        <w:t>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Our insiders have agreed to waive their rights to share in any distribution with respect to their insider shares and private shares.</w:t>
      </w:r>
    </w:p>
    <w:p>
      <w:pPr>
        <w:spacing w:after="0" w:line="151"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There are no shares of preferred stock outstanding. Our certificate of incorporation filed with the State of Delaware authorizes the issuance of 1,000,000 shares of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utilized as a method of discouraging, delaying or preventing a change in control of us. Although we do not currently intend to issue any shares of preferred stock, we reserve the right to do so in the future.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 included as part of units</w:t>
      </w:r>
    </w:p>
    <w:p>
      <w:pPr>
        <w:spacing w:after="0" w:line="189"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Each public and private warrant entitles the registered holder to purchase one share of our common stock at a price of $12.00 per share, subject to adjustment as discussed below, at any time commencing on the later of 12 months from the closing of this offering or 30 days after the completion of our initial business combination. The public and private warrants will expire five years after the date on which they first became exercisable, at 5:00 p.m., New York time, or earlier upon redemption or liquidation.</w:t>
      </w:r>
    </w:p>
    <w:p>
      <w:pPr>
        <w:spacing w:after="0" w:line="14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warrants):</w:t>
      </w:r>
    </w:p>
    <w:p>
      <w:pPr>
        <w:spacing w:after="0" w:line="130" w:lineRule="exact"/>
        <w:rPr>
          <w:sz w:val="20"/>
          <w:szCs w:val="20"/>
          <w:color w:val="auto"/>
        </w:rPr>
      </w:pPr>
    </w:p>
    <w:p>
      <w:pPr>
        <w:ind w:left="1080" w:hanging="293"/>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84" w:lineRule="exact"/>
        <w:rPr>
          <w:rFonts w:ascii="Arial" w:cs="Arial" w:eastAsia="Arial" w:hAnsi="Arial"/>
          <w:sz w:val="18"/>
          <w:szCs w:val="18"/>
          <w:color w:val="auto"/>
        </w:rPr>
      </w:pPr>
    </w:p>
    <w:p>
      <w:pPr>
        <w:jc w:val="both"/>
        <w:ind w:left="1120" w:right="459" w:hanging="333"/>
        <w:spacing w:after="0" w:line="264" w:lineRule="auto"/>
        <w:tabs>
          <w:tab w:leader="none" w:pos="114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and only if, the last sale price of our common stock equals or exceeds $16.00 per share for any 20 trading days within a 30-trading day period ending on the third trading day prior to the date on which we send the notice of redemption to the warrant holders.</w:t>
      </w:r>
    </w:p>
    <w:p>
      <w:pPr>
        <w:spacing w:after="0" w:line="14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We will not redeem the warrants unless an effective registration statement under the Securities Act covering the shares of common stock issuable upon exercise of the warrants is effective and a current prospectus relating to those shares of common</w:t>
      </w:r>
    </w:p>
    <w:p>
      <w:pPr>
        <w:sectPr>
          <w:pgSz w:w="11900" w:h="16838" w:orient="portrait"/>
          <w:cols w:equalWidth="0" w:num="1">
            <w:col w:w="9019"/>
          </w:cols>
          <w:pgMar w:left="1440" w:top="301" w:right="1440"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85" w:name="page86"/>
    <w:bookmarkEnd w:id="85"/>
    <w:p>
      <w:pPr>
        <w:jc w:val="both"/>
        <w:ind w:left="460" w:right="459"/>
        <w:spacing w:after="0" w:line="279" w:lineRule="auto"/>
        <w:rPr>
          <w:sz w:val="20"/>
          <w:szCs w:val="20"/>
          <w:color w:val="auto"/>
        </w:rPr>
      </w:pPr>
      <w:r>
        <w:rPr>
          <w:rFonts w:ascii="Arial" w:cs="Arial" w:eastAsia="Arial" w:hAnsi="Arial"/>
          <w:sz w:val="17"/>
          <w:szCs w:val="17"/>
          <w:color w:val="auto"/>
        </w:rPr>
        <w:t>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15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reported closing price of the common stock for the 10 trading days ending on the third trading day prior to the date on which the notice of redemption is sent to the holders of warrants.</w:t>
      </w:r>
    </w:p>
    <w:p>
      <w:pPr>
        <w:spacing w:after="0" w:line="16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None of the private warrants will be redeemable by us so long as they are held by the initial purchasers of the private warrants or any of their permitted transferees.</w:t>
      </w:r>
    </w:p>
    <w:p>
      <w:pPr>
        <w:spacing w:after="0" w:line="14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will not be obligated to deliver any shares of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55"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have agreed that as soon as practicable, but in no event later than thirty (30) business days, after the closing of our initial business combination, we will use our best efforts to file with the SEC a registration statement for the registration, under the Securities Act, of the shares of common stock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In addition, we have agreed to use our best efforts to register the shares of common stock that are issuable upon exercise of the public and private warrants under state blue sky laws, to the extent an exemption is not available. Notwithstanding the foregoing, if a registration statement covering the shares of common stock issuable upon exercise of the public and private warrants has not been declared effective by the 90</w:t>
      </w:r>
      <w:r>
        <w:rPr>
          <w:rFonts w:ascii="Arial" w:cs="Arial" w:eastAsia="Arial" w:hAnsi="Arial"/>
          <w:sz w:val="8"/>
          <w:szCs w:val="8"/>
          <w:color w:val="auto"/>
        </w:rPr>
        <w:t>th</w:t>
      </w:r>
      <w:r>
        <w:rPr>
          <w:rFonts w:ascii="Arial" w:cs="Arial" w:eastAsia="Arial" w:hAnsi="Arial"/>
          <w:sz w:val="17"/>
          <w:szCs w:val="17"/>
          <w:color w:val="auto"/>
        </w:rPr>
        <w:t xml:space="preserve"> business day following the closing of our initial business combination and during any period when we shall have failed to maintain an effective registration statement, public and private warrant holders may, until such time as there is an effective registration statement, exercise the public and private warrants on a cashless basis pursuant to the exemption provided by Section 3(a)(9) of the Securities Act.</w:t>
      </w:r>
    </w:p>
    <w:p>
      <w:pPr>
        <w:spacing w:after="0" w:line="174"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40"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w:t>
      </w:r>
    </w:p>
    <w:p>
      <w:pPr>
        <w:sectPr>
          <w:pgSz w:w="11900" w:h="16838" w:orient="portrait"/>
          <w:cols w:equalWidth="0" w:num="1">
            <w:col w:w="9019"/>
          </w:cols>
          <w:pgMar w:left="1440" w:top="301" w:right="1440"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86" w:name="page87"/>
    <w:bookmarkEnd w:id="86"/>
    <w:p>
      <w:pPr>
        <w:jc w:val="both"/>
        <w:ind w:left="460" w:right="459"/>
        <w:spacing w:after="0" w:line="277" w:lineRule="auto"/>
        <w:rPr>
          <w:sz w:val="20"/>
          <w:szCs w:val="20"/>
          <w:color w:val="auto"/>
        </w:rPr>
      </w:pPr>
      <w:r>
        <w:rPr>
          <w:rFonts w:ascii="Arial" w:cs="Arial" w:eastAsia="Arial" w:hAnsi="Arial"/>
          <w:sz w:val="18"/>
          <w:szCs w:val="18"/>
          <w:color w:val="auto"/>
        </w:rPr>
        <w:t>of shares of common stock upon exercise of the warrants, each holder will be entitled to one vote for each share held of record on all matters to be voted on by stockholders.</w:t>
      </w:r>
    </w:p>
    <w:p>
      <w:pPr>
        <w:spacing w:after="0" w:line="13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down to the nearest whole number the number of shares of to be issued to the warrant holder.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Purchase Option</w:t>
      </w:r>
    </w:p>
    <w:p>
      <w:pPr>
        <w:spacing w:after="0" w:line="189"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We have agreed to sell to Chardan Capital Markets, LLC an option to purchase up to a total of 500,000 units at $12.00 per unit. The option is not exercisable until the later of the consummation of a business combination or six months from the date of this prospectus. The units issuable upon exercise of this option are identical to those offered by this prospectus. Accordingly, after the business combination shares of the purchase option will be to purchase 500,000 shares of common stock and 500,000 warrants to purchase 500,000 shares for the same aggregate purchase price. In no event will we be required to net cash settle the exercise of the purchase option.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20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In addition, our board of directors is not currently contemplating and does not anticipate declaring any stock dividends in the foreseeable future, except if we increase the size of the offering pursuant to Rule 462(b) under the Securities Act, in which case we will effect a stock dividend immediately prior to the consummation of the offering in such amount as to maintain the number of insider shares at 20.0% of our issued and outstanding shares of our common stock upon the consummation of this offering (not including the private units and assuming our insiders do not purchase units in this offering). Further, if we incur any indebtedness, our ability to declare dividends may be limited by restrictive covenants we may agree to in connection therewith.</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w:t>
      </w:r>
    </w:p>
    <w:p>
      <w:pPr>
        <w:spacing w:after="0" w:line="1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transfer agent for our securities is Continental Stock Transfer &amp; Trust Company, 17 Battery Place, New York, New York 10004.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Certain Anti-Takeover Provisions of Delaware Law and our Certificate of Incorporation and By-Laws</w:t>
      </w:r>
    </w:p>
    <w:p>
      <w:pPr>
        <w:spacing w:after="0" w:line="20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We will be subject to the provisions of Section 203 of the DGCL regulating corporate takeovers upon completion of this offering. This statute prevents certain Delaware corporations, under certain circumstances, from engaging in a “business combination” with:</w:t>
      </w:r>
    </w:p>
    <w:p>
      <w:pPr>
        <w:spacing w:after="0" w:line="154" w:lineRule="exact"/>
        <w:rPr>
          <w:sz w:val="20"/>
          <w:szCs w:val="20"/>
          <w:color w:val="auto"/>
        </w:rPr>
      </w:pPr>
    </w:p>
    <w:p>
      <w:pPr>
        <w:ind w:left="1120" w:right="459" w:hanging="333"/>
        <w:spacing w:after="0" w:line="277" w:lineRule="auto"/>
        <w:tabs>
          <w:tab w:leader="none" w:pos="1291"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stockholder who owns 10% or more of our outstanding voting stock (otherwise known as an “interested stockholder”);</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0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143"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A “business combination” includes a merger or sale of more than 10% of our assets. However, the above provisions of Section 203 do not apply if:</w:t>
      </w:r>
    </w:p>
    <w:p>
      <w:pPr>
        <w:spacing w:after="0" w:line="130" w:lineRule="exact"/>
        <w:rPr>
          <w:sz w:val="20"/>
          <w:szCs w:val="20"/>
          <w:color w:val="auto"/>
        </w:rPr>
      </w:pPr>
    </w:p>
    <w:p>
      <w:pPr>
        <w:ind w:left="1120" w:right="459" w:hanging="333"/>
        <w:spacing w:after="0" w:line="277" w:lineRule="auto"/>
        <w:tabs>
          <w:tab w:leader="none" w:pos="1142"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board of directors approves the transaction that made the stockholder an “interested stockholder,” prior to the date of the transaction;</w:t>
      </w:r>
    </w:p>
    <w:p>
      <w:pPr>
        <w:spacing w:after="0" w:line="129" w:lineRule="exact"/>
        <w:rPr>
          <w:rFonts w:ascii="Arial" w:cs="Arial" w:eastAsia="Arial" w:hAnsi="Arial"/>
          <w:sz w:val="18"/>
          <w:szCs w:val="18"/>
          <w:color w:val="auto"/>
        </w:rPr>
      </w:pPr>
    </w:p>
    <w:p>
      <w:pPr>
        <w:jc w:val="both"/>
        <w:ind w:left="1120" w:right="459" w:hanging="333"/>
        <w:spacing w:after="0" w:line="286" w:lineRule="auto"/>
        <w:tabs>
          <w:tab w:leader="none" w:pos="1318" w:val="left"/>
        </w:tabs>
        <w:numPr>
          <w:ilvl w:val="0"/>
          <w:numId w:val="49"/>
        </w:numPr>
        <w:rPr>
          <w:rFonts w:ascii="Arial" w:cs="Arial" w:eastAsia="Arial" w:hAnsi="Arial"/>
          <w:sz w:val="17"/>
          <w:szCs w:val="17"/>
          <w:color w:val="auto"/>
        </w:rPr>
      </w:pPr>
      <w:r>
        <w:rPr>
          <w:rFonts w:ascii="Arial" w:cs="Arial" w:eastAsia="Arial" w:hAnsi="Arial"/>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87" w:name="page88"/>
    <w:bookmarkEnd w:id="87"/>
    <w:p>
      <w:pPr>
        <w:jc w:val="both"/>
        <w:ind w:left="1120" w:right="459" w:hanging="333"/>
        <w:spacing w:after="0" w:line="312" w:lineRule="auto"/>
        <w:tabs>
          <w:tab w:leader="none" w:pos="1142" w:val="left"/>
        </w:tabs>
        <w:numPr>
          <w:ilvl w:val="0"/>
          <w:numId w:val="50"/>
        </w:numPr>
        <w:rPr>
          <w:rFonts w:ascii="Arial" w:cs="Arial" w:eastAsia="Arial" w:hAnsi="Arial"/>
          <w:sz w:val="16"/>
          <w:szCs w:val="16"/>
          <w:color w:val="auto"/>
        </w:rPr>
      </w:pPr>
      <w:r>
        <w:rPr>
          <w:rFonts w:ascii="Arial" w:cs="Arial" w:eastAsia="Arial" w:hAnsi="Arial"/>
          <w:sz w:val="16"/>
          <w:szCs w:val="16"/>
          <w:color w:val="auto"/>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Staggered board of directors</w:t>
      </w:r>
    </w:p>
    <w:p>
      <w:pPr>
        <w:spacing w:after="0" w:line="20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Our certificate of incorporation provides that our board of directors will be classified into three classes of directors. As a result, in most circumstances, a person can gain control of our board only by successfully engaging in a proxy contest at two or more annual meetings.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Special meeting of stockholders</w:t>
      </w:r>
    </w:p>
    <w:p>
      <w:pPr>
        <w:spacing w:after="0" w:line="1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8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w:t>
      </w:r>
      <w:r>
        <w:rPr>
          <w:rFonts w:ascii="Arial" w:cs="Arial" w:eastAsia="Arial" w:hAnsi="Arial"/>
          <w:sz w:val="8"/>
          <w:szCs w:val="8"/>
          <w:color w:val="auto"/>
        </w:rPr>
        <w:t>th</w:t>
      </w:r>
      <w:r>
        <w:rPr>
          <w:rFonts w:ascii="Arial" w:cs="Arial" w:eastAsia="Arial" w:hAnsi="Arial"/>
          <w:sz w:val="17"/>
          <w:szCs w:val="17"/>
          <w:color w:val="auto"/>
        </w:rPr>
        <w:t xml:space="preserve"> day nor earlier than the opening of business on the 120</w:t>
      </w:r>
      <w:r>
        <w:rPr>
          <w:rFonts w:ascii="Arial" w:cs="Arial" w:eastAsia="Arial" w:hAnsi="Arial"/>
          <w:sz w:val="8"/>
          <w:szCs w:val="8"/>
          <w:color w:val="auto"/>
        </w:rPr>
        <w:t>th</w:t>
      </w:r>
      <w:r>
        <w:rPr>
          <w:rFonts w:ascii="Arial" w:cs="Arial" w:eastAsia="Arial" w:hAnsi="Arial"/>
          <w:sz w:val="17"/>
          <w:szCs w:val="17"/>
          <w:color w:val="auto"/>
        </w:rPr>
        <w:t xml:space="preserve">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but unissued shares</w:t>
      </w:r>
    </w:p>
    <w:p>
      <w:pPr>
        <w:spacing w:after="0" w:line="20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Immediately after this offering, we will have 6,652,500 shares of common stock outstanding, or 7,635,000 shares of common stock if the over-allotment option is exercised in full. Of these shares, the 5,000,000 shares of common stock sold in this offering, or 5,750,000 shares of common stock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2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 person who has beneficially owned restricted shares of common stock for at least six months would be entitled to sell their shares provided that (1) such person is not deemed to have been one of our affiliates at the time of, or at any time during the three months preceding, a sale and (2)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79" w:lineRule="exact"/>
        <w:rPr>
          <w:sz w:val="20"/>
          <w:szCs w:val="20"/>
          <w:color w:val="auto"/>
        </w:rPr>
      </w:pPr>
    </w:p>
    <w:p>
      <w:pPr>
        <w:jc w:val="both"/>
        <w:ind w:left="1120" w:right="459" w:hanging="333"/>
        <w:spacing w:after="0" w:line="264" w:lineRule="auto"/>
        <w:tabs>
          <w:tab w:leader="none" w:pos="1264" w:val="left"/>
        </w:tabs>
        <w:numPr>
          <w:ilvl w:val="0"/>
          <w:numId w:val="51"/>
        </w:numPr>
        <w:rPr>
          <w:rFonts w:ascii="Arial" w:cs="Arial" w:eastAsia="Arial" w:hAnsi="Arial"/>
          <w:sz w:val="18"/>
          <w:szCs w:val="18"/>
          <w:color w:val="auto"/>
        </w:rPr>
      </w:pPr>
      <w:r>
        <w:rPr>
          <w:rFonts w:ascii="Arial" w:cs="Arial" w:eastAsia="Arial" w:hAnsi="Arial"/>
          <w:sz w:val="18"/>
          <w:szCs w:val="18"/>
          <w:color w:val="auto"/>
        </w:rPr>
        <w:t>1% of the number of shares then outstanding, which will equal 66,525 shares of common stock immediately after this offering (or 76,350 shares of common stock if the over-allotment option is exercised in full); and</w:t>
      </w:r>
    </w:p>
    <w:p>
      <w:pPr>
        <w:spacing w:after="0" w:line="154" w:lineRule="exact"/>
        <w:rPr>
          <w:rFonts w:ascii="Arial" w:cs="Arial" w:eastAsia="Arial" w:hAnsi="Arial"/>
          <w:sz w:val="18"/>
          <w:szCs w:val="18"/>
          <w:color w:val="auto"/>
        </w:rPr>
      </w:pPr>
    </w:p>
    <w:p>
      <w:pPr>
        <w:ind w:left="1120" w:right="459" w:hanging="333"/>
        <w:spacing w:after="0" w:line="277" w:lineRule="auto"/>
        <w:tabs>
          <w:tab w:leader="none" w:pos="12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5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216"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33" w:lineRule="exact"/>
        <w:rPr>
          <w:sz w:val="20"/>
          <w:szCs w:val="20"/>
          <w:color w:val="auto"/>
        </w:rPr>
      </w:pPr>
    </w:p>
    <w:p>
      <w:pPr>
        <w:ind w:left="1080" w:hanging="293"/>
        <w:spacing w:after="0"/>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209" w:lineRule="exact"/>
        <w:rPr>
          <w:rFonts w:ascii="Arial" w:cs="Arial" w:eastAsia="Arial" w:hAnsi="Arial"/>
          <w:sz w:val="17"/>
          <w:szCs w:val="17"/>
          <w:color w:val="auto"/>
        </w:rPr>
      </w:pPr>
    </w:p>
    <w:p>
      <w:pPr>
        <w:ind w:left="1120" w:right="459" w:hanging="333"/>
        <w:spacing w:after="0" w:line="277" w:lineRule="auto"/>
        <w:tabs>
          <w:tab w:leader="none" w:pos="125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56" w:lineRule="exact"/>
        <w:rPr>
          <w:rFonts w:ascii="Arial" w:cs="Arial" w:eastAsia="Arial" w:hAnsi="Arial"/>
          <w:sz w:val="18"/>
          <w:szCs w:val="18"/>
          <w:color w:val="auto"/>
        </w:rPr>
      </w:pPr>
    </w:p>
    <w:p>
      <w:pPr>
        <w:jc w:val="both"/>
        <w:ind w:left="1120" w:right="459" w:hanging="333"/>
        <w:spacing w:after="0" w:line="264" w:lineRule="auto"/>
        <w:tabs>
          <w:tab w:leader="none" w:pos="122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67" w:lineRule="exact"/>
        <w:rPr>
          <w:rFonts w:ascii="Arial" w:cs="Arial" w:eastAsia="Arial" w:hAnsi="Arial"/>
          <w:sz w:val="18"/>
          <w:szCs w:val="18"/>
          <w:color w:val="auto"/>
        </w:rPr>
      </w:pPr>
    </w:p>
    <w:p>
      <w:pPr>
        <w:ind w:left="1120" w:right="459" w:hanging="333"/>
        <w:spacing w:after="0" w:line="277" w:lineRule="auto"/>
        <w:tabs>
          <w:tab w:leader="none" w:pos="112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4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As a result, it is likely that pursuant to Rule 144, our insiders will be able to sell their insider shares and private units freely without registration one year after we have completed our initial business combination assuming they are not an affiliate of ours at that time.</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20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The holders of our insider shares issued and outstanding on the date of this prospectus, as well as the holders of the private units and any shares our insiders, officers, directors or their affiliates may be issued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w:t>
      </w:r>
    </w:p>
    <w:p>
      <w:pPr>
        <w:sectPr>
          <w:pgSz w:w="11900" w:h="16838" w:orient="portrait"/>
          <w:cols w:equalWidth="0" w:num="1">
            <w:col w:w="9019"/>
          </w:cols>
          <w:pgMar w:left="1440" w:top="337" w:right="1440"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89" w:name="page90"/>
    <w:bookmarkEnd w:id="89"/>
    <w:p>
      <w:pPr>
        <w:jc w:val="both"/>
        <w:ind w:left="460" w:right="459"/>
        <w:spacing w:after="0" w:line="272" w:lineRule="auto"/>
        <w:rPr>
          <w:sz w:val="20"/>
          <w:szCs w:val="20"/>
          <w:color w:val="auto"/>
        </w:rPr>
      </w:pPr>
      <w:r>
        <w:rPr>
          <w:rFonts w:ascii="Arial" w:cs="Arial" w:eastAsia="Arial" w:hAnsi="Arial"/>
          <w:sz w:val="17"/>
          <w:szCs w:val="17"/>
          <w:color w:val="auto"/>
        </w:rPr>
        <w:t>the majority of the insider shares can elect to exercise these registration rights at any time commencing three months prior to the date on which these shares of common stock are to be released from escrow. The holders of a majority of the private units or units issued in payment of working capital loans made to us can elect to exercise these registration rights at any time commencing on the date that we consummate our initial business combination.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intend to offer our securities described in this prospectus through the underwriters named below. Subject to the terms and conditions of the underwriting agreement, the underwriters, through their representative Chardan Capital Markets, LLC, have severally agreed to purchase from us on a firm commitment basis the following respective number of units at a public offering price less the underwriting discounts and commissions set forth on the cover page of this prospectus: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6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Underwriter</w:t>
            </w:r>
          </w:p>
        </w:tc>
        <w:tc>
          <w:tcPr>
            <w:tcW w:w="14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Number of Units</w:t>
            </w:r>
          </w:p>
        </w:tc>
      </w:tr>
      <w:tr>
        <w:trPr>
          <w:trHeight w:val="227"/>
        </w:trPr>
        <w:tc>
          <w:tcPr>
            <w:tcW w:w="666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42"/>
        </w:trPr>
        <w:tc>
          <w:tcPr>
            <w:tcW w:w="6660" w:type="dxa"/>
            <w:vAlign w:val="bottom"/>
          </w:tcPr>
          <w:p>
            <w:pPr>
              <w:spacing w:after="0"/>
              <w:rPr>
                <w:sz w:val="20"/>
                <w:szCs w:val="20"/>
                <w:color w:val="auto"/>
              </w:rPr>
            </w:pPr>
            <w:r>
              <w:rPr>
                <w:rFonts w:ascii="Arial" w:cs="Arial" w:eastAsia="Arial" w:hAnsi="Arial"/>
                <w:sz w:val="18"/>
                <w:szCs w:val="18"/>
                <w:color w:val="auto"/>
              </w:rPr>
              <w:t>Maxim Group LLC</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7"/>
        </w:trPr>
        <w:tc>
          <w:tcPr>
            <w:tcW w:w="6660" w:type="dxa"/>
            <w:vAlign w:val="bottom"/>
          </w:tcPr>
          <w:p>
            <w:pPr>
              <w:spacing w:after="0"/>
              <w:rPr>
                <w:sz w:val="20"/>
                <w:szCs w:val="20"/>
                <w:color w:val="auto"/>
              </w:rPr>
            </w:pPr>
            <w:r>
              <w:rPr>
                <w:rFonts w:ascii="Arial" w:cs="Arial" w:eastAsia="Arial" w:hAnsi="Arial"/>
                <w:sz w:val="18"/>
                <w:szCs w:val="18"/>
                <w:color w:val="auto"/>
              </w:rPr>
              <w:t>Total</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5,000,000</w:t>
            </w:r>
          </w:p>
        </w:tc>
      </w:tr>
    </w:tbl>
    <w:p>
      <w:pPr>
        <w:spacing w:after="0" w:line="20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A copy of the underwriting agreement has been filed as an exhibit to the registration statement of which this prospectus forms a part.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our Securities</w:t>
      </w:r>
    </w:p>
    <w:p>
      <w:pPr>
        <w:spacing w:after="0" w:line="18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expect our units, common stock and warrants to be quoted on Nasdaq under the symbols “MACQU,” “MACQ” and “MACQW,” respectively. We anticipate that our units will be listed on Nasdaq on or promptly after the effective date of the registration statement. Following the date the shares of our common stock and warrants are eligible to trade separately, we anticipate that the shares of our common stock and warrants will be listed separately and as a unit on Nasdaq. We cannot guarantee that our securities will be approved for listing on Nasdaq or that they will continue to be listed on Nasdaq after this offering.</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Pricing of this Offering</w:t>
      </w:r>
    </w:p>
    <w:p>
      <w:pPr>
        <w:spacing w:after="0" w:line="20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have been advised by the representative that the underwriters propose to offer the units to the public at the offering price set forth on the cover page of this prospectus. They may allow some dealers concessions not in excess of $0.[____] per unit and the dealers may reallow a concession not in excess of $0.[____] per unit to other dealers.</w:t>
      </w:r>
    </w:p>
    <w:p>
      <w:pPr>
        <w:spacing w:after="0" w:line="146"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Prior to this offering there has been no public market for our securities. The public offering price of the units was negotiated between us and the representative of the underwriters. Factors considered in determining the prices and terms of the units include:</w:t>
      </w:r>
    </w:p>
    <w:p>
      <w:pPr>
        <w:spacing w:after="0" w:line="141" w:lineRule="exact"/>
        <w:rPr>
          <w:sz w:val="20"/>
          <w:szCs w:val="20"/>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history of other similarly structured blank check companies;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304"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prospects for consummating our initial business combination with an operating business at attractive values;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securities exchange listing requirements;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market demand;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expected liquidity of our securities; and</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w:t>
      </w:r>
    </w:p>
    <w:p>
      <w:pPr>
        <w:spacing w:after="0" w:line="185"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Over-allotment Option</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We have granted the underwriters an option to buy up to 750,000 additional units. The underwriters may exercise this option solely for the purpose of covering over-allotments, if any, made in connection with this offering. The underwriters have 45 days</w:t>
      </w:r>
    </w:p>
    <w:p>
      <w:pPr>
        <w:sectPr>
          <w:pgSz w:w="11900" w:h="16838" w:orient="portrait"/>
          <w:cols w:equalWidth="0" w:num="1">
            <w:col w:w="9019"/>
          </w:cols>
          <w:pgMar w:left="1440" w:top="337" w:right="1440"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91" w:name="page92"/>
    <w:bookmarkEnd w:id="91"/>
    <w:p>
      <w:pPr>
        <w:jc w:val="both"/>
        <w:ind w:left="460" w:right="459"/>
        <w:spacing w:after="0" w:line="308" w:lineRule="auto"/>
        <w:rPr>
          <w:sz w:val="20"/>
          <w:szCs w:val="20"/>
          <w:color w:val="auto"/>
        </w:rPr>
      </w:pPr>
      <w:r>
        <w:rPr>
          <w:rFonts w:ascii="Arial" w:cs="Arial" w:eastAsia="Arial" w:hAnsi="Arial"/>
          <w:sz w:val="17"/>
          <w:szCs w:val="17"/>
          <w:color w:val="auto"/>
        </w:rPr>
        <w:t>from the date of this prospectus to exercise this option. If the underwriters exercise this option, they will each purchase additional units approximately in proportion to the amounts specified in the table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Commissions and Discounts</w:t>
      </w:r>
    </w:p>
    <w:p>
      <w:pPr>
        <w:spacing w:after="0" w:line="20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following table shows the public offering price, underwriting discount to be paid by us to the underwriters and the proceeds, before expenses, to us. This information assumes either no exercise or full exercise by the representative of the underwriters of its over-allotment option.</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Without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94"/>
              <w:spacing w:after="0"/>
              <w:rPr>
                <w:sz w:val="20"/>
                <w:szCs w:val="20"/>
                <w:color w:val="auto"/>
              </w:rPr>
            </w:pPr>
            <w:r>
              <w:rPr>
                <w:rFonts w:ascii="Arial" w:cs="Arial" w:eastAsia="Arial" w:hAnsi="Arial"/>
                <w:sz w:val="16"/>
                <w:szCs w:val="16"/>
                <w:b w:val="1"/>
                <w:bCs w:val="1"/>
                <w:color w:val="auto"/>
                <w:w w:val="97"/>
              </w:rPr>
              <w:t>With</w:t>
            </w:r>
          </w:p>
        </w:tc>
      </w:tr>
      <w:tr>
        <w:trPr>
          <w:trHeight w:val="203"/>
        </w:trPr>
        <w:tc>
          <w:tcPr>
            <w:tcW w:w="3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Over-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Over-</w:t>
            </w:r>
          </w:p>
        </w:tc>
      </w:tr>
      <w:tr>
        <w:trPr>
          <w:trHeight w:val="210"/>
        </w:trPr>
        <w:tc>
          <w:tcPr>
            <w:tcW w:w="3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Per Unit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2"/>
              </w:rPr>
              <w:t>allotment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92"/>
              </w:rPr>
              <w:t>allotment</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Public offering price</w:t>
            </w:r>
          </w:p>
        </w:tc>
        <w:tc>
          <w:tcPr>
            <w:tcW w:w="1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57,500,000</w:t>
            </w:r>
          </w:p>
        </w:tc>
      </w:tr>
      <w:tr>
        <w:trPr>
          <w:trHeight w:val="242"/>
        </w:trPr>
        <w:tc>
          <w:tcPr>
            <w:tcW w:w="3240" w:type="dxa"/>
            <w:vAlign w:val="bottom"/>
          </w:tcPr>
          <w:p>
            <w:pPr>
              <w:spacing w:after="0"/>
              <w:rPr>
                <w:sz w:val="20"/>
                <w:szCs w:val="20"/>
                <w:color w:val="auto"/>
              </w:rPr>
            </w:pPr>
            <w:r>
              <w:rPr>
                <w:rFonts w:ascii="Arial" w:cs="Arial" w:eastAsia="Arial" w:hAnsi="Arial"/>
                <w:sz w:val="18"/>
                <w:szCs w:val="18"/>
                <w:color w:val="auto"/>
              </w:rPr>
              <w:t>Discount</w:t>
            </w:r>
            <w:r>
              <w:rPr>
                <w:rFonts w:ascii="Arial" w:cs="Arial" w:eastAsia="Arial" w:hAnsi="Arial"/>
                <w:sz w:val="8"/>
                <w:szCs w:val="8"/>
                <w:color w:val="auto"/>
              </w:rPr>
              <w:t>(1)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2,500,000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2,875,000</w:t>
            </w:r>
          </w:p>
        </w:tc>
      </w:tr>
      <w:tr>
        <w:trPr>
          <w:trHeight w:val="257"/>
        </w:trPr>
        <w:tc>
          <w:tcPr>
            <w:tcW w:w="3240" w:type="dxa"/>
            <w:vAlign w:val="bottom"/>
          </w:tcPr>
          <w:p>
            <w:pPr>
              <w:spacing w:after="0"/>
              <w:rPr>
                <w:sz w:val="20"/>
                <w:szCs w:val="20"/>
                <w:color w:val="auto"/>
              </w:rPr>
            </w:pPr>
            <w:r>
              <w:rPr>
                <w:rFonts w:ascii="Arial" w:cs="Arial" w:eastAsia="Arial" w:hAnsi="Arial"/>
                <w:sz w:val="18"/>
                <w:szCs w:val="18"/>
                <w:color w:val="auto"/>
              </w:rPr>
              <w:t>Proceeds before expenses</w:t>
            </w:r>
            <w:r>
              <w:rPr>
                <w:rFonts w:ascii="Arial" w:cs="Arial" w:eastAsia="Arial" w:hAnsi="Arial"/>
                <w:sz w:val="8"/>
                <w:szCs w:val="8"/>
                <w:color w:val="auto"/>
              </w:rPr>
              <w:t>(1)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47,500,000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54,625,000</w:t>
            </w:r>
          </w:p>
        </w:tc>
      </w:tr>
      <w:tr>
        <w:trPr>
          <w:trHeight w:val="257"/>
        </w:trPr>
        <w:tc>
          <w:tcPr>
            <w:tcW w:w="3240" w:type="dxa"/>
            <w:vAlign w:val="bottom"/>
          </w:tcPr>
          <w:p>
            <w:pPr>
              <w:spacing w:after="0"/>
              <w:rPr>
                <w:sz w:val="20"/>
                <w:szCs w:val="20"/>
                <w:color w:val="auto"/>
              </w:rPr>
            </w:pPr>
            <w:r>
              <w:rPr>
                <w:rFonts w:ascii="Arial" w:cs="Arial" w:eastAsia="Arial" w:hAnsi="Arial"/>
                <w:sz w:val="18"/>
                <w:szCs w:val="18"/>
                <w:color w:val="auto"/>
              </w:rPr>
              <w:t>____________</w:t>
            </w:r>
          </w:p>
        </w:tc>
        <w:tc>
          <w:tcPr>
            <w:tcW w:w="1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jc w:val="both"/>
        <w:ind w:left="780" w:right="459" w:hanging="318"/>
        <w:spacing w:after="0" w:line="250" w:lineRule="auto"/>
        <w:tabs>
          <w:tab w:leader="none" w:pos="834"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amount includes $1,000,000, or $0.20 per unit, (or $1,150,000 if the underwriters’ over-allotment option is exercised in full) payable to the underwriters for deferred underwriting commissions upon completion of a business combination.</w:t>
      </w:r>
    </w:p>
    <w:p>
      <w:pPr>
        <w:spacing w:after="0" w:line="1" w:lineRule="exact"/>
        <w:rPr>
          <w:rFonts w:ascii="Arial" w:cs="Arial" w:eastAsia="Arial" w:hAnsi="Arial"/>
          <w:sz w:val="18"/>
          <w:szCs w:val="18"/>
          <w:color w:val="auto"/>
        </w:rPr>
      </w:pPr>
    </w:p>
    <w:p>
      <w:pPr>
        <w:ind w:left="780" w:hanging="318"/>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offering expenses are estimated at $500,000.</w:t>
      </w:r>
    </w:p>
    <w:p>
      <w:pPr>
        <w:spacing w:after="0" w:line="17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 addition to the underwriting discount, we have agreed to pay for the FINRA-related fees and expenses of the underwriters’ legal counsel and certain diligence and other fees, including reimbursement for background checks on our directors, director nominees and executive officers, which such fees and expenses are capped at an aggregate of $[____].</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discounts or commissions will be paid on the sale of the private units.</w:t>
      </w:r>
    </w:p>
    <w:p>
      <w:pPr>
        <w:spacing w:after="0" w:line="18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Chardan Capital Markets, LLC purchased an interest in M SPAC Holdings I LLC which entitles it to the economic interest in 61,607 insider shares. Chardan Capital Markets, LLC paid an aggregate of $1,071.43 for such interest. In conjunction with acquiring such beneficial interest, Chardan Capital Markets has agreed that it will contribute $150,000 to M SPAC Holdings I LLC to fund a portion of that entity’s private placement purchase, for which it will receive the economic interest in a proportional amount of the private placement securities acquired by M SPAC Holdings I LLC.</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Purchase Option</w:t>
      </w:r>
    </w:p>
    <w:p>
      <w:pPr>
        <w:spacing w:after="0" w:line="189"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We have agreed to sell to Chardan Capital Markets, LLC (and/or its designees), for $100, an option to purchase up to a total of 500,000 units exercisable at $12.00 per unit (or an aggregate exercise price of $6,000,000) commencing on the later of the consummation of a business combination and six months from the date of this prospectus. The purchase option may be exercised for cash or on a cashless basis, at the holder’s option, and expires five years from the effective date of the registration statement of which this prospectus forms a part. The option and the 500,000 units, as well as the 500,000 shares of common stock and 500,000 warrants that may be issued upon exercise of the option, have been deemed compensation by FINRA and are therefore subject to a 180-day lock-up pursuant to Rule 5110(g)(1) of FINRA’s NASD Conduct Rules. Additionally, the option may not be sold, transferred, assigned, pledged or hypothecated for a one-year period (including the foregoing 180-day period) following the date of this prospectus except to any underwriter and selected dealer participating in the offering and their bona fide officers or partners. The option grants to holders demand and “piggy back” rights for periods of five and seven years, respectively, from the effective date of the registration statement of which this prospectus forms a part with respect to the registration under the Securities Act of the securities directly and indirectly issuable upon exercise of the option. We will bear all fees and expenses attendant to registering the securities, other than underwriting commissions which will be paid for by the holders themselves. The exercise price and number of units issuable upon exercise of the option may be adjusted in certain circumstances including in the event of a stock dividend, or our recapitalization, reorganization, merger or consolidation. However, the option will not be adjusted for issuances of common stock at a price below its exercise price.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92" w:name="page93"/>
    <w:bookmarkEnd w:id="92"/>
    <w:p>
      <w:pPr>
        <w:ind w:left="460"/>
        <w:spacing w:after="0"/>
        <w:rPr>
          <w:sz w:val="20"/>
          <w:szCs w:val="20"/>
          <w:color w:val="auto"/>
        </w:rPr>
      </w:pPr>
      <w:r>
        <w:rPr>
          <w:rFonts w:ascii="Arial" w:cs="Arial" w:eastAsia="Arial" w:hAnsi="Arial"/>
          <w:sz w:val="18"/>
          <w:szCs w:val="18"/>
          <w:b w:val="1"/>
          <w:bCs w:val="1"/>
          <w:color w:val="auto"/>
        </w:rPr>
        <w:t>Regulatory Restrictions on Purchase of Securities</w:t>
      </w:r>
    </w:p>
    <w:p>
      <w:pPr>
        <w:spacing w:after="0" w:line="17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Rules of the SEC may limit the ability of the underwriters to bid for or purchase our units before the distribution of the units is completed. However, the underwriters may engage in the following activities in accordance with the rules:</w:t>
      </w:r>
    </w:p>
    <w:p>
      <w:pPr>
        <w:spacing w:after="0" w:line="127" w:lineRule="exact"/>
        <w:rPr>
          <w:sz w:val="20"/>
          <w:szCs w:val="20"/>
          <w:color w:val="auto"/>
        </w:rPr>
      </w:pPr>
    </w:p>
    <w:p>
      <w:pPr>
        <w:jc w:val="both"/>
        <w:ind w:left="1120" w:right="459" w:hanging="333"/>
        <w:spacing w:after="0" w:line="286" w:lineRule="auto"/>
        <w:tabs>
          <w:tab w:leader="none" w:pos="125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Stabilizing Transactions. The underwriters may make bids or purchases solely for the purpose of preventing or retarding a decline in the price of our units, as long as stabilizing bids do not exceed the offering price of $10.00 and the underwriters comply with all other applicable rules.</w:t>
      </w:r>
    </w:p>
    <w:p>
      <w:pPr>
        <w:spacing w:after="0" w:line="111" w:lineRule="exact"/>
        <w:rPr>
          <w:rFonts w:ascii="Arial" w:cs="Arial" w:eastAsia="Arial" w:hAnsi="Arial"/>
          <w:sz w:val="17"/>
          <w:szCs w:val="17"/>
          <w:color w:val="auto"/>
        </w:rPr>
      </w:pPr>
    </w:p>
    <w:p>
      <w:pPr>
        <w:jc w:val="both"/>
        <w:ind w:left="1120" w:right="459" w:hanging="333"/>
        <w:spacing w:after="0" w:line="286" w:lineRule="auto"/>
        <w:tabs>
          <w:tab w:leader="none" w:pos="1109" w:val="left"/>
        </w:tabs>
        <w:numPr>
          <w:ilvl w:val="0"/>
          <w:numId w:val="55"/>
        </w:numPr>
        <w:rPr>
          <w:rFonts w:ascii="Arial" w:cs="Arial" w:eastAsia="Arial" w:hAnsi="Arial"/>
          <w:sz w:val="16"/>
          <w:szCs w:val="16"/>
          <w:color w:val="auto"/>
        </w:rPr>
      </w:pPr>
      <w:r>
        <w:rPr>
          <w:rFonts w:ascii="Arial" w:cs="Arial" w:eastAsia="Arial" w:hAnsi="Arial"/>
          <w:sz w:val="16"/>
          <w:szCs w:val="16"/>
          <w:color w:val="auto"/>
        </w:rPr>
        <w:t>Over-Allotments and Syndicate Coverage Transactions. The underwriters may create a short position in our units by selling more of our 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114" w:lineRule="exact"/>
        <w:rPr>
          <w:rFonts w:ascii="Arial" w:cs="Arial" w:eastAsia="Arial" w:hAnsi="Arial"/>
          <w:sz w:val="16"/>
          <w:szCs w:val="16"/>
          <w:color w:val="auto"/>
        </w:rPr>
      </w:pPr>
    </w:p>
    <w:p>
      <w:pPr>
        <w:jc w:val="both"/>
        <w:ind w:left="1120" w:right="459" w:hanging="333"/>
        <w:spacing w:after="0" w:line="264" w:lineRule="auto"/>
        <w:tabs>
          <w:tab w:leader="none" w:pos="1129"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Penalty Bids. The representative may reclaim a selling concession from a syndicate member when the units originally sold by the syndicate member are purchased in a stabilizing or syndicate covering transaction to cover syndicate short positions.</w:t>
      </w:r>
    </w:p>
    <w:p>
      <w:pPr>
        <w:spacing w:after="0" w:line="127"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2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our securities. These transactions may occur on Nasdaq, in the over-the-counter market or on any trading market. If any of these transactions are commenced, they may be discontinued without notice at any time.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Terms</w:t>
      </w:r>
    </w:p>
    <w:p>
      <w:pPr>
        <w:spacing w:after="0" w:line="189"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Except as set forth above,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202"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We have agreed to indemnify the underwriters against some liabilities, including civil liabilities under the Securities Act, or to contribute to payments the underwriters may be required to make in this respect.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Resale Restrictions</w:t>
      </w:r>
    </w:p>
    <w:p>
      <w:pPr>
        <w:spacing w:after="0" w:line="189"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w:t>
      </w:r>
    </w:p>
    <w:p>
      <w:pPr>
        <w:sectPr>
          <w:pgSz w:w="11900" w:h="16838" w:orient="portrait"/>
          <w:cols w:equalWidth="0" w:num="1">
            <w:col w:w="9019"/>
          </w:cols>
          <w:pgMar w:left="1440" w:top="337" w:right="1440" w:bottom="1440" w:gutter="0" w:footer="0" w:header="0"/>
        </w:sectPr>
      </w:pP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93" w:name="page94"/>
    <w:bookmarkEnd w:id="93"/>
    <w:p>
      <w:pPr>
        <w:jc w:val="both"/>
        <w:ind w:left="460" w:right="459"/>
        <w:spacing w:after="0" w:line="255" w:lineRule="auto"/>
        <w:rPr>
          <w:sz w:val="20"/>
          <w:szCs w:val="20"/>
          <w:color w:val="auto"/>
        </w:rPr>
      </w:pPr>
      <w:r>
        <w:rPr>
          <w:rFonts w:ascii="Arial" w:cs="Arial" w:eastAsia="Arial" w:hAnsi="Arial"/>
          <w:sz w:val="18"/>
          <w:szCs w:val="18"/>
          <w:color w:val="auto"/>
        </w:rPr>
        <w:t>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Representations of Purchasers</w:t>
      </w:r>
    </w:p>
    <w:p>
      <w:pPr>
        <w:spacing w:after="0" w:line="20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130" w:lineRule="exact"/>
        <w:rPr>
          <w:sz w:val="20"/>
          <w:szCs w:val="20"/>
          <w:color w:val="auto"/>
        </w:rPr>
      </w:pPr>
    </w:p>
    <w:p>
      <w:pPr>
        <w:ind w:left="1120" w:right="459" w:hanging="333"/>
        <w:spacing w:after="0" w:line="277" w:lineRule="auto"/>
        <w:tabs>
          <w:tab w:leader="none" w:pos="114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184" w:lineRule="exact"/>
        <w:rPr>
          <w:rFonts w:ascii="Arial" w:cs="Arial" w:eastAsia="Arial" w:hAnsi="Arial"/>
          <w:sz w:val="18"/>
          <w:szCs w:val="18"/>
          <w:color w:val="auto"/>
        </w:rPr>
      </w:pPr>
    </w:p>
    <w:p>
      <w:pPr>
        <w:ind w:left="1120" w:right="459" w:hanging="333"/>
        <w:spacing w:after="0" w:line="342" w:lineRule="auto"/>
        <w:tabs>
          <w:tab w:leader="none" w:pos="1237"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purchaser acknowledges and consents to the provision of specified information concerning its purchase of our securities to the regulatory authority that by law is entitled to collect the information.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Rights of Action — Ontario Purchasers Only</w:t>
      </w:r>
    </w:p>
    <w:p>
      <w:pPr>
        <w:spacing w:after="0" w:line="18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Enforcement of Legal Rights</w:t>
      </w:r>
    </w:p>
    <w:p>
      <w:pPr>
        <w:spacing w:after="0" w:line="20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Collection of Personal Information</w:t>
      </w:r>
    </w:p>
    <w:p>
      <w:pPr>
        <w:spacing w:after="0" w:line="1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ectPr>
          <w:pgSz w:w="11900" w:h="16838" w:orient="portrait"/>
          <w:cols w:equalWidth="0" w:num="1">
            <w:col w:w="9019"/>
          </w:cols>
          <w:pgMar w:left="1440" w:top="301" w:right="1440" w:bottom="1440" w:gutter="0" w:footer="0" w:header="0"/>
        </w:sectPr>
      </w:pP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89"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Loeb &amp; Loeb LLP, New York, New York, is acting as counsel in connection with the registration of our securities under the Securities Act, and as such, will pass upon the validity of the securities offered in this prospectus. In connection with this offering, McDermott Will &amp; Emery is acting as counsel to the underwriters.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0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financial statements of M I Acquisitions, Inc. as of December 31, 2015 and for the period from April 23, 2015 (inception) through December 31, 2015 appearing in this prospectus have been audited by Marcum LLP, independent registered public accounting firm, as set forth in their report, thereon (which contains an explanatory paragraph relating to substantial doubt about the ability of M I Acquisitions, Inc.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8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units we are offering by this prospectus. This prospectus does not contain all of the information included in the registration statement. For further information about us and our shares,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5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with the SEC at its public reference facility at</w:t>
      </w:r>
      <w:r>
        <w:rPr>
          <w:rFonts w:ascii="Arial" w:cs="Arial" w:eastAsia="Arial" w:hAnsi="Arial"/>
          <w:sz w:val="18"/>
          <w:szCs w:val="18"/>
          <w:i w:val="1"/>
          <w:iCs w:val="1"/>
          <w:color w:val="auto"/>
        </w:rPr>
        <w:t xml:space="preserve"> </w:t>
      </w:r>
      <w:r>
        <w:rPr>
          <w:rFonts w:ascii="Arial" w:cs="Arial" w:eastAsia="Arial" w:hAnsi="Arial"/>
          <w:sz w:val="18"/>
          <w:szCs w:val="18"/>
          <w:color w:val="auto"/>
        </w:rPr>
        <w:t>100 F Street, N.E., Washington, D.C. 20549.</w:t>
      </w:r>
    </w:p>
    <w:p>
      <w:pPr>
        <w:spacing w:after="0" w:line="16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You may also obtain copies of the documents at prescribed rates by writing to the Public Reference Section of the SEC at 100 F Street, N.E., Washington, D.C. 20549. Please call the SEC at 1-800-SEC-0330 for further information on the operation of the public reference facilities.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5" w:name="page96"/>
    <w:bookmarkEnd w:id="95"/>
    <w:tbl>
      <w:tblPr>
        <w:tblLayout w:type="fixed"/>
        <w:tblInd w:w="4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760" w:type="dxa"/>
            <w:vAlign w:val="bottom"/>
            <w:gridSpan w:val="12"/>
          </w:tcPr>
          <w:p>
            <w:pPr>
              <w:jc w:val="center"/>
              <w:ind w:right="1320"/>
              <w:spacing w:after="0"/>
              <w:rPr>
                <w:sz w:val="20"/>
                <w:szCs w:val="20"/>
                <w:color w:val="auto"/>
              </w:rPr>
            </w:pPr>
            <w:r>
              <w:rPr>
                <w:rFonts w:ascii="Arial" w:cs="Arial" w:eastAsia="Arial" w:hAnsi="Arial"/>
                <w:sz w:val="18"/>
                <w:szCs w:val="18"/>
                <w:b w:val="1"/>
                <w:bCs w:val="1"/>
                <w:color w:val="auto"/>
              </w:rPr>
              <w:t>INDEX TO FINANCIAL STATEMENTS</w:t>
            </w:r>
          </w:p>
        </w:tc>
        <w:tc>
          <w:tcPr>
            <w:tcW w:w="1020" w:type="dxa"/>
            <w:vAlign w:val="bottom"/>
          </w:tcPr>
          <w:p>
            <w:pPr>
              <w:spacing w:after="0"/>
              <w:rPr>
                <w:sz w:val="20"/>
                <w:szCs w:val="20"/>
                <w:color w:val="auto"/>
              </w:rPr>
            </w:pPr>
          </w:p>
        </w:tc>
      </w:tr>
      <w:tr>
        <w:trPr>
          <w:trHeight w:val="404"/>
        </w:trPr>
        <w:tc>
          <w:tcPr>
            <w:tcW w:w="7100" w:type="dxa"/>
            <w:vAlign w:val="bottom"/>
            <w:gridSpan w:val="17"/>
          </w:tcPr>
          <w:p>
            <w:pPr>
              <w:spacing w:after="0"/>
              <w:rPr>
                <w:sz w:val="20"/>
                <w:szCs w:val="20"/>
                <w:color w:val="auto"/>
              </w:rPr>
            </w:pPr>
            <w:r>
              <w:rPr>
                <w:rFonts w:ascii="Arial" w:cs="Arial" w:eastAsia="Arial" w:hAnsi="Arial"/>
                <w:sz w:val="18"/>
                <w:szCs w:val="18"/>
                <w:b w:val="1"/>
                <w:bCs w:val="1"/>
                <w:color w:val="auto"/>
              </w:rPr>
              <w:t>Audited Financial Statements</w:t>
            </w:r>
          </w:p>
        </w:tc>
        <w:tc>
          <w:tcPr>
            <w:tcW w:w="1020" w:type="dxa"/>
            <w:vAlign w:val="bottom"/>
          </w:tcPr>
          <w:p>
            <w:pPr>
              <w:spacing w:after="0"/>
              <w:rPr>
                <w:sz w:val="24"/>
                <w:szCs w:val="24"/>
                <w:color w:val="auto"/>
              </w:rPr>
            </w:pPr>
          </w:p>
        </w:tc>
      </w:tr>
      <w:tr>
        <w:trPr>
          <w:trHeight w:val="190"/>
        </w:trPr>
        <w:tc>
          <w:tcPr>
            <w:tcW w:w="7100" w:type="dxa"/>
            <w:vAlign w:val="bottom"/>
            <w:gridSpan w:val="17"/>
          </w:tcPr>
          <w:p>
            <w:pPr>
              <w:spacing w:after="0" w:line="190" w:lineRule="exact"/>
              <w:rPr>
                <w:rFonts w:ascii="Arial" w:cs="Arial" w:eastAsia="Arial" w:hAnsi="Arial"/>
                <w:sz w:val="18"/>
                <w:szCs w:val="18"/>
                <w:color w:val="0000EE"/>
              </w:rPr>
            </w:pPr>
            <w:hyperlink w:anchor="page97">
              <w:r>
                <w:rPr>
                  <w:rFonts w:ascii="Arial" w:cs="Arial" w:eastAsia="Arial" w:hAnsi="Arial"/>
                  <w:sz w:val="18"/>
                  <w:szCs w:val="18"/>
                  <w:color w:val="0000EE"/>
                </w:rPr>
                <w:t>Report of Independent Registered Public Accounting Firm</w:t>
              </w:r>
            </w:hyperlink>
          </w:p>
        </w:tc>
        <w:tc>
          <w:tcPr>
            <w:tcW w:w="1020" w:type="dxa"/>
            <w:vAlign w:val="bottom"/>
          </w:tcPr>
          <w:p>
            <w:pPr>
              <w:jc w:val="center"/>
              <w:ind w:right="70"/>
              <w:spacing w:after="0" w:line="190" w:lineRule="exact"/>
              <w:rPr>
                <w:sz w:val="20"/>
                <w:szCs w:val="20"/>
                <w:color w:val="auto"/>
              </w:rPr>
            </w:pPr>
            <w:r>
              <w:rPr>
                <w:rFonts w:ascii="Arial" w:cs="Arial" w:eastAsia="Arial" w:hAnsi="Arial"/>
                <w:sz w:val="18"/>
                <w:szCs w:val="18"/>
                <w:color w:val="auto"/>
                <w:w w:val="96"/>
              </w:rPr>
              <w:t>F-2</w:t>
            </w:r>
          </w:p>
        </w:tc>
      </w:tr>
      <w:tr>
        <w:trPr>
          <w:trHeight w:val="237"/>
        </w:trPr>
        <w:tc>
          <w:tcPr>
            <w:tcW w:w="180" w:type="dxa"/>
            <w:vAlign w:val="bottom"/>
            <w:tcBorders>
              <w:top w:val="single" w:sz="8" w:color="0000EE"/>
            </w:tcBorders>
          </w:tcPr>
          <w:p>
            <w:pPr>
              <w:spacing w:after="0"/>
              <w:rPr>
                <w:sz w:val="20"/>
                <w:szCs w:val="20"/>
                <w:color w:val="auto"/>
              </w:rPr>
            </w:pPr>
          </w:p>
        </w:tc>
        <w:tc>
          <w:tcPr>
            <w:tcW w:w="28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98">
              <w:r>
                <w:rPr>
                  <w:rFonts w:ascii="Arial" w:cs="Arial" w:eastAsia="Arial" w:hAnsi="Arial"/>
                  <w:sz w:val="18"/>
                  <w:szCs w:val="18"/>
                  <w:color w:val="0000EE"/>
                  <w:w w:val="88"/>
                </w:rPr>
                <w:t>Balance Sheet as of December 31, 2015</w:t>
              </w:r>
            </w:hyperlink>
          </w:p>
        </w:tc>
        <w:tc>
          <w:tcPr>
            <w:tcW w:w="1160" w:type="dxa"/>
            <w:vAlign w:val="bottom"/>
            <w:tcBorders>
              <w:top w:val="single" w:sz="8" w:color="0000EE"/>
            </w:tcBorders>
            <w:gridSpan w:val="4"/>
          </w:tcPr>
          <w:p>
            <w:pPr>
              <w:spacing w:after="0"/>
              <w:rPr>
                <w:sz w:val="20"/>
                <w:szCs w:val="20"/>
                <w:color w:val="auto"/>
              </w:rPr>
            </w:pPr>
          </w:p>
        </w:tc>
        <w:tc>
          <w:tcPr>
            <w:tcW w:w="2880" w:type="dxa"/>
            <w:vAlign w:val="bottom"/>
            <w:gridSpan w:val="6"/>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6"/>
              </w:rPr>
              <w:t>F-3</w:t>
            </w:r>
          </w:p>
        </w:tc>
      </w:tr>
      <w:tr>
        <w:trPr>
          <w:trHeight w:val="237"/>
        </w:trPr>
        <w:tc>
          <w:tcPr>
            <w:tcW w:w="180" w:type="dxa"/>
            <w:vAlign w:val="bottom"/>
          </w:tcPr>
          <w:p>
            <w:pPr>
              <w:spacing w:after="0"/>
              <w:rPr>
                <w:sz w:val="20"/>
                <w:szCs w:val="20"/>
                <w:color w:val="auto"/>
              </w:rPr>
            </w:pPr>
          </w:p>
        </w:tc>
        <w:tc>
          <w:tcPr>
            <w:tcW w:w="6920" w:type="dxa"/>
            <w:vAlign w:val="bottom"/>
            <w:gridSpan w:val="16"/>
          </w:tcPr>
          <w:p>
            <w:pPr>
              <w:spacing w:after="0"/>
              <w:rPr>
                <w:rFonts w:ascii="Arial" w:cs="Arial" w:eastAsia="Arial" w:hAnsi="Arial"/>
                <w:sz w:val="18"/>
                <w:szCs w:val="18"/>
                <w:color w:val="0000EE"/>
                <w:w w:val="97"/>
              </w:rPr>
            </w:pPr>
            <w:hyperlink w:anchor="page99">
              <w:r>
                <w:rPr>
                  <w:rFonts w:ascii="Arial" w:cs="Arial" w:eastAsia="Arial" w:hAnsi="Arial"/>
                  <w:sz w:val="18"/>
                  <w:szCs w:val="18"/>
                  <w:color w:val="0000EE"/>
                  <w:w w:val="97"/>
                </w:rPr>
                <w:t>Statement of Operations for the Period from April 23, 2015 (Inception) through December</w:t>
              </w:r>
            </w:hyperlink>
          </w:p>
        </w:tc>
        <w:tc>
          <w:tcPr>
            <w:tcW w:w="1020" w:type="dxa"/>
            <w:vAlign w:val="bottom"/>
          </w:tcPr>
          <w:p>
            <w:pPr>
              <w:spacing w:after="0"/>
              <w:rPr>
                <w:sz w:val="20"/>
                <w:szCs w:val="20"/>
                <w:color w:val="auto"/>
              </w:rPr>
            </w:pPr>
          </w:p>
        </w:tc>
      </w:tr>
      <w:tr>
        <w:trPr>
          <w:trHeight w:val="196"/>
        </w:trPr>
        <w:tc>
          <w:tcPr>
            <w:tcW w:w="200" w:type="dxa"/>
            <w:vAlign w:val="bottom"/>
            <w:gridSpan w:val="2"/>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99">
              <w:r>
                <w:rPr>
                  <w:rFonts w:ascii="Arial" w:cs="Arial" w:eastAsia="Arial" w:hAnsi="Arial"/>
                  <w:sz w:val="18"/>
                  <w:szCs w:val="18"/>
                  <w:color w:val="0000EE"/>
                  <w:w w:val="88"/>
                </w:rPr>
                <w:t>31, 2015</w:t>
              </w:r>
            </w:hyperlink>
          </w:p>
        </w:tc>
        <w:tc>
          <w:tcPr>
            <w:tcW w:w="13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6"/>
              </w:rPr>
              <w:t>F-4</w:t>
            </w:r>
          </w:p>
        </w:tc>
      </w:tr>
      <w:tr>
        <w:trPr>
          <w:trHeight w:val="237"/>
        </w:trPr>
        <w:tc>
          <w:tcPr>
            <w:tcW w:w="180" w:type="dxa"/>
            <w:vAlign w:val="bottom"/>
          </w:tcPr>
          <w:p>
            <w:pPr>
              <w:spacing w:after="0"/>
              <w:rPr>
                <w:sz w:val="20"/>
                <w:szCs w:val="20"/>
                <w:color w:val="auto"/>
              </w:rPr>
            </w:pPr>
          </w:p>
        </w:tc>
        <w:tc>
          <w:tcPr>
            <w:tcW w:w="6920" w:type="dxa"/>
            <w:vAlign w:val="bottom"/>
            <w:gridSpan w:val="16"/>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Statement of Changes in Stockholder’s Equity for the Period from April 23, 2015</w:t>
              </w:r>
            </w:hyperlink>
          </w:p>
        </w:tc>
        <w:tc>
          <w:tcPr>
            <w:tcW w:w="102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6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(Inception) through December 31, 2015</w:t>
              </w:r>
            </w:hyperlink>
          </w:p>
        </w:tc>
        <w:tc>
          <w:tcPr>
            <w:tcW w:w="1060" w:type="dxa"/>
            <w:vAlign w:val="bottom"/>
            <w:gridSpan w:val="5"/>
          </w:tcPr>
          <w:p>
            <w:pPr>
              <w:spacing w:after="0"/>
              <w:rPr>
                <w:sz w:val="17"/>
                <w:szCs w:val="17"/>
                <w:color w:val="auto"/>
              </w:rPr>
            </w:pPr>
          </w:p>
        </w:tc>
        <w:tc>
          <w:tcPr>
            <w:tcW w:w="102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6"/>
              </w:rPr>
              <w:t>F-5</w:t>
            </w:r>
          </w:p>
        </w:tc>
      </w:tr>
      <w:tr>
        <w:trPr>
          <w:trHeight w:val="20"/>
        </w:trPr>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6920" w:type="dxa"/>
            <w:vAlign w:val="bottom"/>
            <w:gridSpan w:val="16"/>
          </w:tcPr>
          <w:p>
            <w:pPr>
              <w:spacing w:after="0"/>
              <w:rPr>
                <w:rFonts w:ascii="Arial" w:cs="Arial" w:eastAsia="Arial" w:hAnsi="Arial"/>
                <w:sz w:val="18"/>
                <w:szCs w:val="18"/>
                <w:color w:val="0000EE"/>
                <w:w w:val="96"/>
              </w:rPr>
            </w:pPr>
            <w:hyperlink w:anchor="page101">
              <w:r>
                <w:rPr>
                  <w:rFonts w:ascii="Arial" w:cs="Arial" w:eastAsia="Arial" w:hAnsi="Arial"/>
                  <w:sz w:val="18"/>
                  <w:szCs w:val="18"/>
                  <w:color w:val="0000EE"/>
                  <w:w w:val="96"/>
                </w:rPr>
                <w:t>Statement of Cash Flows for the Period from April 23, 2015 (Inception) through December</w:t>
              </w:r>
            </w:hyperlink>
          </w:p>
        </w:tc>
        <w:tc>
          <w:tcPr>
            <w:tcW w:w="1020" w:type="dxa"/>
            <w:vAlign w:val="bottom"/>
          </w:tcPr>
          <w:p>
            <w:pPr>
              <w:spacing w:after="0"/>
              <w:rPr>
                <w:sz w:val="20"/>
                <w:szCs w:val="20"/>
                <w:color w:val="auto"/>
              </w:rPr>
            </w:pPr>
          </w:p>
        </w:tc>
      </w:tr>
      <w:tr>
        <w:trPr>
          <w:trHeight w:val="196"/>
        </w:trPr>
        <w:tc>
          <w:tcPr>
            <w:tcW w:w="200" w:type="dxa"/>
            <w:vAlign w:val="bottom"/>
            <w:gridSpan w:val="2"/>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01">
              <w:r>
                <w:rPr>
                  <w:rFonts w:ascii="Arial" w:cs="Arial" w:eastAsia="Arial" w:hAnsi="Arial"/>
                  <w:sz w:val="18"/>
                  <w:szCs w:val="18"/>
                  <w:color w:val="0000EE"/>
                  <w:w w:val="88"/>
                </w:rPr>
                <w:t>31, 2015</w:t>
              </w:r>
            </w:hyperlink>
          </w:p>
        </w:tc>
        <w:tc>
          <w:tcPr>
            <w:tcW w:w="13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6"/>
              </w:rPr>
              <w:t>F-6</w:t>
            </w:r>
          </w:p>
        </w:tc>
      </w:tr>
      <w:tr>
        <w:trPr>
          <w:trHeight w:val="237"/>
        </w:trPr>
        <w:tc>
          <w:tcPr>
            <w:tcW w:w="180" w:type="dxa"/>
            <w:vAlign w:val="bottom"/>
          </w:tcPr>
          <w:p>
            <w:pPr>
              <w:spacing w:after="0"/>
              <w:rPr>
                <w:sz w:val="20"/>
                <w:szCs w:val="20"/>
                <w:color w:val="auto"/>
              </w:rPr>
            </w:pPr>
          </w:p>
        </w:tc>
        <w:tc>
          <w:tcPr>
            <w:tcW w:w="21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02">
              <w:r>
                <w:rPr>
                  <w:rFonts w:ascii="Arial" w:cs="Arial" w:eastAsia="Arial" w:hAnsi="Arial"/>
                  <w:sz w:val="18"/>
                  <w:szCs w:val="18"/>
                  <w:color w:val="0000EE"/>
                  <w:w w:val="89"/>
                </w:rPr>
                <w:t>Notes to Financial Statements</w:t>
              </w:r>
            </w:hyperlink>
          </w:p>
        </w:tc>
        <w:tc>
          <w:tcPr>
            <w:tcW w:w="4760" w:type="dxa"/>
            <w:vAlign w:val="bottom"/>
            <w:gridSpan w:val="12"/>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6"/>
              </w:rPr>
              <w:t>F-7</w:t>
            </w:r>
          </w:p>
        </w:tc>
      </w:tr>
      <w:tr>
        <w:trPr>
          <w:trHeight w:val="304"/>
        </w:trPr>
        <w:tc>
          <w:tcPr>
            <w:tcW w:w="7100" w:type="dxa"/>
            <w:vAlign w:val="bottom"/>
            <w:gridSpan w:val="17"/>
          </w:tcPr>
          <w:p>
            <w:pPr>
              <w:spacing w:after="0"/>
              <w:rPr>
                <w:sz w:val="20"/>
                <w:szCs w:val="20"/>
                <w:color w:val="auto"/>
              </w:rPr>
            </w:pPr>
            <w:r>
              <w:rPr>
                <w:rFonts w:ascii="Arial" w:cs="Arial" w:eastAsia="Arial" w:hAnsi="Arial"/>
                <w:sz w:val="18"/>
                <w:szCs w:val="18"/>
                <w:b w:val="1"/>
                <w:bCs w:val="1"/>
                <w:color w:val="auto"/>
              </w:rPr>
              <w:t>Unaudited Financial Statements</w:t>
            </w:r>
          </w:p>
        </w:tc>
        <w:tc>
          <w:tcPr>
            <w:tcW w:w="102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6920" w:type="dxa"/>
            <w:vAlign w:val="bottom"/>
            <w:gridSpan w:val="16"/>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Balance Sheet as of June 30, 2016</w:t>
              </w:r>
            </w:hyperlink>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1"/>
              </w:rPr>
              <w:t>F-14</w:t>
            </w:r>
          </w:p>
        </w:tc>
      </w:tr>
      <w:tr>
        <w:trPr>
          <w:trHeight w:val="20"/>
        </w:trPr>
        <w:tc>
          <w:tcPr>
            <w:tcW w:w="180" w:type="dxa"/>
            <w:vAlign w:val="bottom"/>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920" w:type="dxa"/>
            <w:vAlign w:val="bottom"/>
            <w:gridSpan w:val="16"/>
          </w:tcPr>
          <w:p>
            <w:pPr>
              <w:spacing w:after="0"/>
              <w:rPr>
                <w:rFonts w:ascii="Arial" w:cs="Arial" w:eastAsia="Arial" w:hAnsi="Arial"/>
                <w:sz w:val="18"/>
                <w:szCs w:val="18"/>
                <w:color w:val="0000EE"/>
                <w:w w:val="95"/>
              </w:rPr>
            </w:pPr>
            <w:hyperlink w:anchor="page110">
              <w:r>
                <w:rPr>
                  <w:rFonts w:ascii="Arial" w:cs="Arial" w:eastAsia="Arial" w:hAnsi="Arial"/>
                  <w:sz w:val="18"/>
                  <w:szCs w:val="18"/>
                  <w:color w:val="0000EE"/>
                  <w:w w:val="95"/>
                </w:rPr>
                <w:t>Statement of Operations for the Six Months Ended June 30, 2016 and the Period from April</w:t>
              </w:r>
            </w:hyperlink>
          </w:p>
        </w:tc>
        <w:tc>
          <w:tcPr>
            <w:tcW w:w="1020" w:type="dxa"/>
            <w:vAlign w:val="bottom"/>
          </w:tcPr>
          <w:p>
            <w:pPr>
              <w:spacing w:after="0"/>
              <w:rPr>
                <w:sz w:val="21"/>
                <w:szCs w:val="2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1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23, 2015 (Inception) through June 30, 2015</w:t>
              </w:r>
            </w:hyperlink>
          </w:p>
        </w:tc>
        <w:tc>
          <w:tcPr>
            <w:tcW w:w="3280" w:type="dxa"/>
            <w:vAlign w:val="bottom"/>
            <w:tcBorders>
              <w:top w:val="single" w:sz="8" w:color="0000EE"/>
            </w:tcBorders>
            <w:gridSpan w:val="5"/>
          </w:tcPr>
          <w:p>
            <w:pPr>
              <w:spacing w:after="0"/>
              <w:rPr>
                <w:sz w:val="17"/>
                <w:szCs w:val="17"/>
                <w:color w:val="auto"/>
              </w:rPr>
            </w:pPr>
          </w:p>
        </w:tc>
        <w:tc>
          <w:tcPr>
            <w:tcW w:w="300" w:type="dxa"/>
            <w:vAlign w:val="bottom"/>
            <w:gridSpan w:val="2"/>
          </w:tcPr>
          <w:p>
            <w:pPr>
              <w:spacing w:after="0"/>
              <w:rPr>
                <w:sz w:val="17"/>
                <w:szCs w:val="17"/>
                <w:color w:val="auto"/>
              </w:rPr>
            </w:pPr>
          </w:p>
        </w:tc>
        <w:tc>
          <w:tcPr>
            <w:tcW w:w="102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1"/>
              </w:rPr>
              <w:t>F-15</w:t>
            </w:r>
          </w:p>
        </w:tc>
      </w:tr>
      <w:tr>
        <w:trPr>
          <w:trHeight w:val="250"/>
        </w:trPr>
        <w:tc>
          <w:tcPr>
            <w:tcW w:w="180" w:type="dxa"/>
            <w:vAlign w:val="bottom"/>
          </w:tcPr>
          <w:p>
            <w:pPr>
              <w:spacing w:after="0"/>
              <w:rPr>
                <w:sz w:val="21"/>
                <w:szCs w:val="21"/>
                <w:color w:val="auto"/>
              </w:rPr>
            </w:pPr>
          </w:p>
        </w:tc>
        <w:tc>
          <w:tcPr>
            <w:tcW w:w="6920" w:type="dxa"/>
            <w:vAlign w:val="bottom"/>
            <w:gridSpan w:val="16"/>
          </w:tcPr>
          <w:p>
            <w:pPr>
              <w:spacing w:after="0"/>
              <w:rPr>
                <w:rFonts w:ascii="Arial" w:cs="Arial" w:eastAsia="Arial" w:hAnsi="Arial"/>
                <w:sz w:val="18"/>
                <w:szCs w:val="18"/>
                <w:color w:val="0000EE"/>
                <w:w w:val="94"/>
              </w:rPr>
            </w:pPr>
            <w:hyperlink w:anchor="page111">
              <w:r>
                <w:rPr>
                  <w:rFonts w:ascii="Arial" w:cs="Arial" w:eastAsia="Arial" w:hAnsi="Arial"/>
                  <w:sz w:val="18"/>
                  <w:szCs w:val="18"/>
                  <w:color w:val="0000EE"/>
                  <w:w w:val="94"/>
                </w:rPr>
                <w:t>Statement of Cash Flows for the Six Months Ended June 30, 2016 and the Period from April</w:t>
              </w:r>
            </w:hyperlink>
          </w:p>
        </w:tc>
        <w:tc>
          <w:tcPr>
            <w:tcW w:w="1020" w:type="dxa"/>
            <w:vAlign w:val="bottom"/>
          </w:tcPr>
          <w:p>
            <w:pPr>
              <w:spacing w:after="0"/>
              <w:rPr>
                <w:sz w:val="21"/>
                <w:szCs w:val="2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1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11">
              <w:r>
                <w:rPr>
                  <w:rFonts w:ascii="Arial" w:cs="Arial" w:eastAsia="Arial" w:hAnsi="Arial"/>
                  <w:sz w:val="18"/>
                  <w:szCs w:val="18"/>
                  <w:color w:val="0000EE"/>
                  <w:w w:val="90"/>
                </w:rPr>
                <w:t>23, 2015 (Inception) through June 30, 2015</w:t>
              </w:r>
            </w:hyperlink>
          </w:p>
        </w:tc>
        <w:tc>
          <w:tcPr>
            <w:tcW w:w="3340" w:type="dxa"/>
            <w:vAlign w:val="bottom"/>
            <w:tcBorders>
              <w:top w:val="single" w:sz="8" w:color="0000EE"/>
            </w:tcBorders>
            <w:gridSpan w:val="7"/>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1"/>
              </w:rPr>
              <w:t>F-16</w:t>
            </w:r>
          </w:p>
        </w:tc>
      </w:tr>
      <w:tr>
        <w:trPr>
          <w:trHeight w:val="250"/>
        </w:trPr>
        <w:tc>
          <w:tcPr>
            <w:tcW w:w="180" w:type="dxa"/>
            <w:vAlign w:val="bottom"/>
          </w:tcPr>
          <w:p>
            <w:pPr>
              <w:spacing w:after="0"/>
              <w:rPr>
                <w:sz w:val="21"/>
                <w:szCs w:val="21"/>
                <w:color w:val="auto"/>
              </w:rPr>
            </w:pPr>
          </w:p>
        </w:tc>
        <w:tc>
          <w:tcPr>
            <w:tcW w:w="6920" w:type="dxa"/>
            <w:vAlign w:val="bottom"/>
            <w:gridSpan w:val="16"/>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Notes to Financial Statements</w:t>
              </w:r>
            </w:hyperlink>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1"/>
              </w:rPr>
              <w:t>F-17</w:t>
            </w:r>
          </w:p>
        </w:tc>
      </w:tr>
      <w:tr>
        <w:trPr>
          <w:trHeight w:val="453"/>
        </w:trPr>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134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7"/>
          </w:tcPr>
          <w:p>
            <w:pPr>
              <w:jc w:val="center"/>
              <w:ind w:right="2520"/>
              <w:spacing w:after="0"/>
              <w:rPr>
                <w:sz w:val="20"/>
                <w:szCs w:val="20"/>
                <w:color w:val="auto"/>
              </w:rPr>
            </w:pPr>
            <w:r>
              <w:rPr>
                <w:rFonts w:ascii="Arial" w:cs="Arial" w:eastAsia="Arial" w:hAnsi="Arial"/>
                <w:sz w:val="18"/>
                <w:szCs w:val="18"/>
                <w:color w:val="auto"/>
                <w:w w:val="96"/>
              </w:rPr>
              <w:t>F-1</w:t>
            </w: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96" w:name="page97"/>
    <w:bookmarkEnd w:id="96"/>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Board of Directors and Shareholder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 I Acquisitions, Inc.</w:t>
      </w:r>
    </w:p>
    <w:p>
      <w:pPr>
        <w:spacing w:after="0" w:line="184" w:lineRule="exact"/>
        <w:rPr>
          <w:sz w:val="20"/>
          <w:szCs w:val="20"/>
          <w:color w:val="auto"/>
        </w:rPr>
      </w:pPr>
    </w:p>
    <w:p>
      <w:pPr>
        <w:ind w:left="460" w:right="479"/>
        <w:spacing w:after="0" w:line="257" w:lineRule="auto"/>
        <w:rPr>
          <w:sz w:val="20"/>
          <w:szCs w:val="20"/>
          <w:color w:val="auto"/>
        </w:rPr>
      </w:pPr>
      <w:r>
        <w:rPr>
          <w:rFonts w:ascii="Arial" w:cs="Arial" w:eastAsia="Arial" w:hAnsi="Arial"/>
          <w:sz w:val="18"/>
          <w:szCs w:val="18"/>
          <w:color w:val="auto"/>
        </w:rPr>
        <w:t>We have audited the accompanying balance sheet of M I Acquisitions, Inc. (the “Company”) as of December 31, 2015, and the related statements of operations, changes in stockholder’s equity and cash flows for the period from April 23, 2015 (inception) through December 31, 2015. These financial statements are the responsibility of the Company’s management. Our responsibility is to express an opinion on these financial statements based on our audit.</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4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M I Acquisitions, Inc., as of December 31, 2015, and the results of its operations and its cash flows for the period from April 23, 2015 (inception) through December 31, 2015 in conformity with accounting principles generally accepted in the United States of America.</w:t>
      </w:r>
    </w:p>
    <w:p>
      <w:pPr>
        <w:spacing w:after="0" w:line="16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As discussed in Note 1 to the financial statements, the Company has no present revenue, its business plan is dependent on the completion of a financing and the Company’s cash and working capital as of December 31, 2015 are not sufficient to complete its planned activities for the upcoming year. These conditions raise substantial doubt about the Company’s ability to continue as a going concern. Management’s places regarding these matters are also described in Notes 1 and 3. These financial statements do not include any adjustments that might result from the outcome of this uncertainty.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/s/Marcum LLP</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22, 2016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7" w:name="page98"/>
    <w:bookmarkEnd w:id="97"/>
    <w:tbl>
      <w:tblPr>
        <w:tblLayout w:type="fixed"/>
        <w:tblInd w:w="46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0" w:type="dxa"/>
            <w:vAlign w:val="bottom"/>
            <w:gridSpan w:val="3"/>
          </w:tcPr>
          <w:p>
            <w:pPr>
              <w:jc w:val="center"/>
              <w:ind w:right="1860"/>
              <w:spacing w:after="0"/>
              <w:rPr>
                <w:sz w:val="20"/>
                <w:szCs w:val="20"/>
                <w:color w:val="auto"/>
              </w:rPr>
            </w:pPr>
            <w:r>
              <w:rPr>
                <w:rFonts w:ascii="Arial" w:cs="Arial" w:eastAsia="Arial" w:hAnsi="Arial"/>
                <w:sz w:val="18"/>
                <w:szCs w:val="18"/>
                <w:b w:val="1"/>
                <w:bCs w:val="1"/>
                <w:color w:val="auto"/>
                <w:w w:val="92"/>
              </w:rPr>
              <w:t>M I Acquisitions, Inc.</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w w:val="87"/>
              </w:rPr>
              <w:t>Balance Sheet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0" w:type="dxa"/>
            <w:vAlign w:val="bottom"/>
            <w:gridSpan w:val="3"/>
          </w:tcPr>
          <w:p>
            <w:pPr>
              <w:jc w:val="center"/>
              <w:ind w:right="1860"/>
              <w:spacing w:after="0"/>
              <w:rPr>
                <w:sz w:val="20"/>
                <w:szCs w:val="20"/>
                <w:color w:val="auto"/>
              </w:rPr>
            </w:pPr>
            <w:r>
              <w:rPr>
                <w:rFonts w:ascii="Arial" w:cs="Arial" w:eastAsia="Arial" w:hAnsi="Arial"/>
                <w:sz w:val="18"/>
                <w:szCs w:val="18"/>
                <w:b w:val="1"/>
                <w:bCs w:val="1"/>
                <w:color w:val="auto"/>
                <w:w w:val="90"/>
              </w:rPr>
              <w:t>December 31, 2015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1"/>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0" w:type="dxa"/>
            <w:vAlign w:val="bottom"/>
            <w:gridSpan w:val="3"/>
          </w:tcPr>
          <w:p>
            <w:pPr>
              <w:jc w:val="center"/>
              <w:ind w:right="312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20"/>
        </w:trPr>
        <w:tc>
          <w:tcPr>
            <w:tcW w:w="3180" w:type="dxa"/>
            <w:vAlign w:val="bottom"/>
            <w:gridSpan w:val="2"/>
          </w:tcPr>
          <w:p>
            <w:pPr>
              <w:ind w:left="180"/>
              <w:spacing w:after="0"/>
              <w:rPr>
                <w:sz w:val="20"/>
                <w:szCs w:val="20"/>
                <w:color w:val="auto"/>
              </w:rPr>
            </w:pPr>
            <w:r>
              <w:rPr>
                <w:rFonts w:ascii="Arial" w:cs="Arial" w:eastAsia="Arial" w:hAnsi="Arial"/>
                <w:sz w:val="18"/>
                <w:szCs w:val="18"/>
                <w:color w:val="auto"/>
                <w:w w:val="90"/>
              </w:rPr>
              <w:t>Current asset: cash and cash equivalents</w:t>
            </w:r>
          </w:p>
        </w:tc>
        <w:tc>
          <w:tcPr>
            <w:tcW w:w="480" w:type="dxa"/>
            <w:vAlign w:val="bottom"/>
            <w:tcBorders>
              <w:top w:val="single" w:sz="8" w:color="auto"/>
            </w:tcBorders>
          </w:tcPr>
          <w:p>
            <w:pPr>
              <w:spacing w:after="0"/>
              <w:rPr>
                <w:sz w:val="24"/>
                <w:szCs w:val="24"/>
                <w:color w:val="auto"/>
              </w:rPr>
            </w:pPr>
          </w:p>
        </w:tc>
        <w:tc>
          <w:tcPr>
            <w:tcW w:w="3120" w:type="dxa"/>
            <w:vAlign w:val="bottom"/>
            <w:gridSpan w:val="2"/>
          </w:tcPr>
          <w:p>
            <w:pPr>
              <w:spacing w:after="0"/>
              <w:rPr>
                <w:sz w:val="24"/>
                <w:szCs w:val="2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24"/>
                <w:szCs w:val="24"/>
                <w:color w:val="auto"/>
              </w:rPr>
            </w:pPr>
          </w:p>
        </w:tc>
      </w:tr>
      <w:tr>
        <w:trPr>
          <w:trHeight w:val="29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Deferred offering costs</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178,957</w:t>
            </w:r>
          </w:p>
        </w:tc>
        <w:tc>
          <w:tcPr>
            <w:tcW w:w="60" w:type="dxa"/>
            <w:vAlign w:val="bottom"/>
          </w:tcPr>
          <w:p>
            <w:pPr>
              <w:spacing w:after="0"/>
              <w:rPr>
                <w:sz w:val="24"/>
                <w:szCs w:val="24"/>
                <w:color w:val="auto"/>
              </w:rPr>
            </w:pPr>
          </w:p>
        </w:tc>
      </w:tr>
      <w:tr>
        <w:trPr>
          <w:trHeight w:val="237"/>
        </w:trPr>
        <w:tc>
          <w:tcPr>
            <w:tcW w:w="6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Total Assets</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183,957</w:t>
            </w:r>
          </w:p>
        </w:tc>
        <w:tc>
          <w:tcPr>
            <w:tcW w:w="60" w:type="dxa"/>
            <w:vAlign w:val="bottom"/>
          </w:tcPr>
          <w:p>
            <w:pPr>
              <w:spacing w:after="0"/>
              <w:rPr>
                <w:sz w:val="20"/>
                <w:szCs w:val="20"/>
                <w:color w:val="auto"/>
              </w:rPr>
            </w:pPr>
          </w:p>
        </w:tc>
      </w:tr>
      <w:tr>
        <w:trPr>
          <w:trHeight w:val="412"/>
        </w:trPr>
        <w:tc>
          <w:tcPr>
            <w:tcW w:w="2040" w:type="dxa"/>
            <w:vAlign w:val="bottom"/>
          </w:tcPr>
          <w:p>
            <w:pPr>
              <w:spacing w:after="0"/>
              <w:rPr>
                <w:sz w:val="24"/>
                <w:szCs w:val="24"/>
                <w:color w:val="auto"/>
              </w:rPr>
            </w:pPr>
          </w:p>
        </w:tc>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Liabilities and Stockholder’s Equity</w:t>
            </w: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520"/>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Note payable</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55,000</w:t>
            </w:r>
          </w:p>
        </w:tc>
        <w:tc>
          <w:tcPr>
            <w:tcW w:w="60" w:type="dxa"/>
            <w:vAlign w:val="bottom"/>
          </w:tcPr>
          <w:p>
            <w:pPr>
              <w:spacing w:after="0"/>
              <w:rPr>
                <w:sz w:val="22"/>
                <w:szCs w:val="22"/>
                <w:color w:val="auto"/>
              </w:rPr>
            </w:pPr>
          </w:p>
        </w:tc>
      </w:tr>
      <w:tr>
        <w:trPr>
          <w:trHeight w:val="29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Note payable – related party</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114,183</w:t>
            </w:r>
          </w:p>
        </w:tc>
        <w:tc>
          <w:tcPr>
            <w:tcW w:w="60" w:type="dxa"/>
            <w:vAlign w:val="bottom"/>
          </w:tcPr>
          <w:p>
            <w:pPr>
              <w:spacing w:after="0"/>
              <w:rPr>
                <w:sz w:val="24"/>
                <w:szCs w:val="24"/>
                <w:color w:val="auto"/>
              </w:rPr>
            </w:pPr>
          </w:p>
        </w:tc>
      </w:tr>
      <w:tr>
        <w:trPr>
          <w:trHeight w:val="237"/>
        </w:trPr>
        <w:tc>
          <w:tcPr>
            <w:tcW w:w="6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169,183</w:t>
            </w:r>
          </w:p>
        </w:tc>
        <w:tc>
          <w:tcPr>
            <w:tcW w:w="60" w:type="dxa"/>
            <w:vAlign w:val="bottom"/>
          </w:tcPr>
          <w:p>
            <w:pPr>
              <w:spacing w:after="0"/>
              <w:rPr>
                <w:sz w:val="20"/>
                <w:szCs w:val="20"/>
                <w:color w:val="auto"/>
              </w:rPr>
            </w:pPr>
          </w:p>
        </w:tc>
      </w:tr>
      <w:tr>
        <w:trPr>
          <w:trHeight w:val="453"/>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Commitments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00"/>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2"/>
        </w:trPr>
        <w:tc>
          <w:tcPr>
            <w:tcW w:w="6780" w:type="dxa"/>
            <w:vAlign w:val="bottom"/>
            <w:gridSpan w:val="5"/>
          </w:tcPr>
          <w:p>
            <w:pPr>
              <w:ind w:left="180"/>
              <w:spacing w:after="0"/>
              <w:rPr>
                <w:sz w:val="20"/>
                <w:szCs w:val="20"/>
                <w:color w:val="auto"/>
              </w:rPr>
            </w:pPr>
            <w:r>
              <w:rPr>
                <w:rFonts w:ascii="Arial" w:cs="Arial" w:eastAsia="Arial" w:hAnsi="Arial"/>
                <w:sz w:val="18"/>
                <w:szCs w:val="18"/>
                <w:color w:val="auto"/>
                <w:w w:val="91"/>
              </w:rPr>
              <w:t>Common stock, $0.001 par value; 50,000,000 shares authorized; 1,437,500 shares issued</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6780" w:type="dxa"/>
            <w:vAlign w:val="bottom"/>
            <w:gridSpan w:val="5"/>
          </w:tcPr>
          <w:p>
            <w:pPr>
              <w:ind w:left="360"/>
              <w:spacing w:after="0"/>
              <w:rPr>
                <w:sz w:val="20"/>
                <w:szCs w:val="20"/>
                <w:color w:val="auto"/>
              </w:rPr>
            </w:pPr>
            <w:r>
              <w:rPr>
                <w:rFonts w:ascii="Arial" w:cs="Arial" w:eastAsia="Arial" w:hAnsi="Arial"/>
                <w:sz w:val="18"/>
                <w:szCs w:val="18"/>
                <w:color w:val="auto"/>
              </w:rPr>
              <w:t>and outstanding</w:t>
            </w:r>
            <w:r>
              <w:rPr>
                <w:rFonts w:ascii="Arial" w:cs="Arial" w:eastAsia="Arial" w:hAnsi="Arial"/>
                <w:sz w:val="8"/>
                <w:szCs w:val="8"/>
                <w:color w:val="auto"/>
              </w:rPr>
              <w:t>(1)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1,438</w:t>
            </w:r>
          </w:p>
        </w:tc>
        <w:tc>
          <w:tcPr>
            <w:tcW w:w="60" w:type="dxa"/>
            <w:vAlign w:val="bottom"/>
          </w:tcPr>
          <w:p>
            <w:pPr>
              <w:spacing w:after="0"/>
              <w:rPr>
                <w:sz w:val="20"/>
                <w:szCs w:val="20"/>
                <w:color w:val="auto"/>
              </w:rPr>
            </w:pPr>
          </w:p>
        </w:tc>
      </w:tr>
      <w:tr>
        <w:trPr>
          <w:trHeight w:val="25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Additional paid in capital</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23,562</w:t>
            </w:r>
          </w:p>
        </w:tc>
        <w:tc>
          <w:tcPr>
            <w:tcW w:w="60" w:type="dxa"/>
            <w:vAlign w:val="bottom"/>
          </w:tcPr>
          <w:p>
            <w:pPr>
              <w:spacing w:after="0"/>
              <w:rPr>
                <w:sz w:val="22"/>
                <w:szCs w:val="22"/>
                <w:color w:val="auto"/>
              </w:rPr>
            </w:pPr>
          </w:p>
        </w:tc>
      </w:tr>
      <w:tr>
        <w:trPr>
          <w:trHeight w:val="29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(10,226)</w:t>
            </w:r>
          </w:p>
        </w:tc>
      </w:tr>
      <w:tr>
        <w:trPr>
          <w:trHeight w:val="224"/>
        </w:trPr>
        <w:tc>
          <w:tcPr>
            <w:tcW w:w="6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14,774</w:t>
            </w:r>
          </w:p>
        </w:tc>
        <w:tc>
          <w:tcPr>
            <w:tcW w:w="60" w:type="dxa"/>
            <w:vAlign w:val="bottom"/>
          </w:tcPr>
          <w:p>
            <w:pPr>
              <w:spacing w:after="0"/>
              <w:rPr>
                <w:sz w:val="19"/>
                <w:szCs w:val="19"/>
                <w:color w:val="auto"/>
              </w:rPr>
            </w:pPr>
          </w:p>
        </w:tc>
      </w:tr>
      <w:tr>
        <w:trPr>
          <w:trHeight w:val="526"/>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183,957</w:t>
            </w:r>
          </w:p>
        </w:tc>
        <w:tc>
          <w:tcPr>
            <w:tcW w:w="60" w:type="dxa"/>
            <w:vAlign w:val="bottom"/>
          </w:tcPr>
          <w:p>
            <w:pPr>
              <w:spacing w:after="0"/>
              <w:rPr>
                <w:sz w:val="24"/>
                <w:szCs w:val="24"/>
                <w:color w:val="auto"/>
              </w:rPr>
            </w:pPr>
          </w:p>
        </w:tc>
      </w:tr>
      <w:tr>
        <w:trPr>
          <w:trHeight w:val="210"/>
        </w:trPr>
        <w:tc>
          <w:tcPr>
            <w:tcW w:w="2040" w:type="dxa"/>
            <w:vAlign w:val="bottom"/>
          </w:tcPr>
          <w:p>
            <w:pPr>
              <w:spacing w:after="0"/>
              <w:rPr>
                <w:sz w:val="20"/>
                <w:szCs w:val="20"/>
                <w:color w:val="auto"/>
              </w:rPr>
            </w:pPr>
            <w:r>
              <w:rPr>
                <w:rFonts w:ascii="Arial" w:cs="Arial" w:eastAsia="Arial" w:hAnsi="Arial"/>
                <w:sz w:val="18"/>
                <w:szCs w:val="18"/>
                <w:color w:val="auto"/>
              </w:rPr>
              <w:t>____________</w:t>
            </w: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ind w:left="780" w:right="459" w:hanging="318"/>
        <w:spacing w:after="0" w:line="260"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23, 2015 (Inception) through December 31, 2015</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71"/>
        </w:trPr>
        <w:tc>
          <w:tcPr>
            <w:tcW w:w="6980" w:type="dxa"/>
            <w:vAlign w:val="bottom"/>
          </w:tcPr>
          <w:p>
            <w:pPr>
              <w:spacing w:after="0"/>
              <w:rPr>
                <w:sz w:val="20"/>
                <w:szCs w:val="20"/>
                <w:color w:val="auto"/>
              </w:rPr>
            </w:pPr>
            <w:r>
              <w:rPr>
                <w:rFonts w:ascii="Arial" w:cs="Arial" w:eastAsia="Arial" w:hAnsi="Arial"/>
                <w:sz w:val="18"/>
                <w:szCs w:val="18"/>
                <w:color w:val="auto"/>
              </w:rPr>
              <w:t>Formation and operating costs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10,226</w:t>
            </w:r>
          </w:p>
        </w:tc>
        <w:tc>
          <w:tcPr>
            <w:tcW w:w="60" w:type="dxa"/>
            <w:vAlign w:val="bottom"/>
          </w:tcPr>
          <w:p>
            <w:pPr>
              <w:spacing w:after="0"/>
              <w:rPr>
                <w:sz w:val="23"/>
                <w:szCs w:val="23"/>
                <w:color w:val="auto"/>
              </w:rPr>
            </w:pPr>
          </w:p>
        </w:tc>
      </w:tr>
      <w:tr>
        <w:trPr>
          <w:trHeight w:val="493"/>
        </w:trPr>
        <w:tc>
          <w:tcPr>
            <w:tcW w:w="698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(10,226)</w:t>
            </w:r>
          </w:p>
        </w:tc>
      </w:tr>
      <w:tr>
        <w:trPr>
          <w:trHeight w:val="534"/>
        </w:trPr>
        <w:tc>
          <w:tcPr>
            <w:tcW w:w="6980" w:type="dxa"/>
            <w:vAlign w:val="bottom"/>
          </w:tcPr>
          <w:p>
            <w:pPr>
              <w:spacing w:after="0"/>
              <w:rPr>
                <w:sz w:val="20"/>
                <w:szCs w:val="20"/>
                <w:color w:val="auto"/>
              </w:rPr>
            </w:pPr>
            <w:r>
              <w:rPr>
                <w:rFonts w:ascii="Arial" w:cs="Arial" w:eastAsia="Arial" w:hAnsi="Arial"/>
                <w:sz w:val="18"/>
                <w:szCs w:val="18"/>
                <w:b w:val="1"/>
                <w:bCs w:val="1"/>
                <w:color w:val="auto"/>
              </w:rPr>
              <w:t>Weighted average shares of common stock outstanding – basic and diluted</w:t>
            </w:r>
            <w:r>
              <w:rPr>
                <w:rFonts w:ascii="Arial" w:cs="Arial" w:eastAsia="Arial" w:hAnsi="Arial"/>
                <w:sz w:val="30"/>
                <w:szCs w:val="30"/>
                <w:b w:val="1"/>
                <w:bCs w:val="1"/>
                <w:color w:val="auto"/>
                <w:vertAlign w:val="superscript"/>
              </w:rPr>
              <w:t>(1)</w:t>
            </w:r>
          </w:p>
        </w:tc>
        <w:tc>
          <w:tcPr>
            <w:tcW w:w="2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60" w:type="dxa"/>
            <w:vAlign w:val="bottom"/>
          </w:tcPr>
          <w:p>
            <w:pPr>
              <w:spacing w:after="0"/>
              <w:rPr>
                <w:sz w:val="24"/>
                <w:szCs w:val="24"/>
                <w:color w:val="auto"/>
              </w:rPr>
            </w:pPr>
          </w:p>
        </w:tc>
      </w:tr>
      <w:tr>
        <w:trPr>
          <w:trHeight w:val="493"/>
        </w:trPr>
        <w:tc>
          <w:tcPr>
            <w:tcW w:w="6980" w:type="dxa"/>
            <w:vAlign w:val="bottom"/>
          </w:tcPr>
          <w:p>
            <w:pPr>
              <w:spacing w:after="0"/>
              <w:rPr>
                <w:sz w:val="20"/>
                <w:szCs w:val="20"/>
                <w:color w:val="auto"/>
              </w:rPr>
            </w:pPr>
            <w:r>
              <w:rPr>
                <w:rFonts w:ascii="Arial" w:cs="Arial" w:eastAsia="Arial" w:hAnsi="Arial"/>
                <w:sz w:val="18"/>
                <w:szCs w:val="18"/>
                <w:b w:val="1"/>
                <w:bCs w:val="1"/>
                <w:color w:val="auto"/>
              </w:rPr>
              <w:t>Net loss per shares of common stock – basic and diluted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____________</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ind w:left="780" w:right="459" w:hanging="318"/>
        <w:spacing w:after="0" w:line="260" w:lineRule="auto"/>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number excludes an aggregate of up to 187,500 shares of common stock that are subject to forfeiture if the over-allotment option is not exercised by the underwriters.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9" w:name="page100"/>
    <w:bookmarkEnd w:id="99"/>
    <w:p>
      <w:pPr>
        <w:jc w:val="center"/>
        <w:ind w:right="-20"/>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Period from April 23, 2015 (Inception) through December 31, 2015</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2300" w:type="dxa"/>
            <w:vAlign w:val="bottom"/>
            <w:gridSpan w:val="4"/>
            <w:vMerge w:val="restart"/>
          </w:tcPr>
          <w:p>
            <w:pPr>
              <w:jc w:val="right"/>
              <w:ind w:right="452"/>
              <w:spacing w:after="0"/>
              <w:rPr>
                <w:sz w:val="20"/>
                <w:szCs w:val="20"/>
                <w:color w:val="auto"/>
              </w:rPr>
            </w:pPr>
            <w:r>
              <w:rPr>
                <w:rFonts w:ascii="Arial" w:cs="Arial" w:eastAsia="Arial" w:hAnsi="Arial"/>
                <w:sz w:val="16"/>
                <w:szCs w:val="16"/>
                <w:b w:val="1"/>
                <w:bCs w:val="1"/>
                <w:color w:val="auto"/>
              </w:rPr>
              <w:t>Common Stock</w:t>
            </w:r>
            <w:r>
              <w:rPr>
                <w:rFonts w:ascii="Arial" w:cs="Arial" w:eastAsia="Arial" w:hAnsi="Arial"/>
                <w:sz w:val="27"/>
                <w:szCs w:val="27"/>
                <w:b w:val="1"/>
                <w:bCs w:val="1"/>
                <w:color w:val="auto"/>
                <w:vertAlign w:val="superscript"/>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74"/>
              <w:spacing w:after="0"/>
              <w:rPr>
                <w:sz w:val="20"/>
                <w:szCs w:val="20"/>
                <w:color w:val="auto"/>
              </w:rPr>
            </w:pPr>
            <w:r>
              <w:rPr>
                <w:rFonts w:ascii="Arial" w:cs="Arial" w:eastAsia="Arial" w:hAnsi="Arial"/>
                <w:sz w:val="16"/>
                <w:szCs w:val="16"/>
                <w:b w:val="1"/>
                <w:bCs w:val="1"/>
                <w:color w:val="auto"/>
                <w:w w:val="97"/>
              </w:rPr>
              <w:t>Additional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230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94"/>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5"/>
              </w:rPr>
              <w:t>Accumulated</w:t>
            </w:r>
          </w:p>
        </w:tc>
        <w:tc>
          <w:tcPr>
            <w:tcW w:w="6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1080" w:type="dxa"/>
            <w:vAlign w:val="bottom"/>
          </w:tcPr>
          <w:p>
            <w:pPr>
              <w:jc w:val="right"/>
              <w:ind w:right="233"/>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92"/>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94"/>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Deficit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7"/>
        </w:trPr>
        <w:tc>
          <w:tcPr>
            <w:tcW w:w="2280" w:type="dxa"/>
            <w:vAlign w:val="bottom"/>
          </w:tcPr>
          <w:p>
            <w:pPr>
              <w:spacing w:after="0"/>
              <w:rPr>
                <w:sz w:val="20"/>
                <w:szCs w:val="20"/>
                <w:color w:val="auto"/>
              </w:rPr>
            </w:pPr>
            <w:r>
              <w:rPr>
                <w:rFonts w:ascii="Arial" w:cs="Arial" w:eastAsia="Arial" w:hAnsi="Arial"/>
                <w:sz w:val="18"/>
                <w:szCs w:val="18"/>
                <w:b w:val="1"/>
                <w:bCs w:val="1"/>
                <w:color w:val="auto"/>
              </w:rPr>
              <w:t>Balance, April 23, 2015</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Arial" w:cs="Arial" w:eastAsia="Arial" w:hAnsi="Arial"/>
                <w:sz w:val="18"/>
                <w:szCs w:val="18"/>
                <w:b w:val="1"/>
                <w:bCs w:val="1"/>
                <w:color w:val="auto"/>
              </w:rPr>
              <w:t>(Inception)</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3"/>
          </w:tcPr>
          <w:p>
            <w:pPr>
              <w:jc w:val="right"/>
              <w:ind w:right="19"/>
              <w:spacing w:after="0"/>
              <w:rPr>
                <w:sz w:val="20"/>
                <w:szCs w:val="20"/>
                <w:color w:val="auto"/>
              </w:rPr>
            </w:pPr>
            <w:r>
              <w:rPr>
                <w:rFonts w:ascii="Arial" w:cs="Arial" w:eastAsia="Arial" w:hAnsi="Arial"/>
                <w:sz w:val="18"/>
                <w:szCs w:val="18"/>
                <w:b w:val="1"/>
                <w:bCs w:val="1"/>
                <w:color w:val="auto"/>
              </w:rPr>
              <w:t>— $</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85"/>
        </w:trPr>
        <w:tc>
          <w:tcPr>
            <w:tcW w:w="2280" w:type="dxa"/>
            <w:vAlign w:val="bottom"/>
          </w:tcPr>
          <w:p>
            <w:pPr>
              <w:spacing w:after="0"/>
              <w:rPr>
                <w:sz w:val="20"/>
                <w:szCs w:val="20"/>
                <w:color w:val="auto"/>
              </w:rPr>
            </w:pPr>
            <w:r>
              <w:rPr>
                <w:rFonts w:ascii="Arial" w:cs="Arial" w:eastAsia="Arial" w:hAnsi="Arial"/>
                <w:sz w:val="18"/>
                <w:szCs w:val="18"/>
                <w:color w:val="auto"/>
                <w:w w:val="96"/>
              </w:rPr>
              <w:t>Issuance of common stock to</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Initial Stockholder</w:t>
            </w:r>
          </w:p>
        </w:tc>
        <w:tc>
          <w:tcPr>
            <w:tcW w:w="1080" w:type="dxa"/>
            <w:vAlign w:val="bottom"/>
          </w:tcPr>
          <w:p>
            <w:pPr>
              <w:jc w:val="right"/>
              <w:spacing w:after="0"/>
              <w:rPr>
                <w:sz w:val="20"/>
                <w:szCs w:val="20"/>
                <w:color w:val="auto"/>
              </w:rPr>
            </w:pPr>
            <w:r>
              <w:rPr>
                <w:rFonts w:ascii="Arial" w:cs="Arial" w:eastAsia="Arial" w:hAnsi="Arial"/>
                <w:sz w:val="18"/>
                <w:szCs w:val="18"/>
                <w:color w:val="auto"/>
              </w:rPr>
              <w:t>1,437,500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28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(10,226)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434"/>
        </w:trPr>
        <w:tc>
          <w:tcPr>
            <w:tcW w:w="2280" w:type="dxa"/>
            <w:vAlign w:val="bottom"/>
          </w:tcPr>
          <w:p>
            <w:pPr>
              <w:spacing w:after="0"/>
              <w:rPr>
                <w:sz w:val="20"/>
                <w:szCs w:val="20"/>
                <w:color w:val="auto"/>
              </w:rPr>
            </w:pPr>
            <w:r>
              <w:rPr>
                <w:rFonts w:ascii="Arial" w:cs="Arial" w:eastAsia="Arial" w:hAnsi="Arial"/>
                <w:sz w:val="18"/>
                <w:szCs w:val="18"/>
                <w:b w:val="1"/>
                <w:bCs w:val="1"/>
                <w:color w:val="auto"/>
              </w:rPr>
              <w:t>Balance, December 31,</w:t>
            </w: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280" w:type="dxa"/>
            <w:vAlign w:val="bottom"/>
          </w:tcPr>
          <w:p>
            <w:pPr>
              <w:ind w:left="180"/>
              <w:spacing w:after="0"/>
              <w:rPr>
                <w:sz w:val="20"/>
                <w:szCs w:val="20"/>
                <w:color w:val="auto"/>
              </w:rPr>
            </w:pPr>
            <w:r>
              <w:rPr>
                <w:rFonts w:ascii="Arial" w:cs="Arial" w:eastAsia="Arial" w:hAnsi="Arial"/>
                <w:sz w:val="18"/>
                <w:szCs w:val="18"/>
                <w:b w:val="1"/>
                <w:bCs w:val="1"/>
                <w:color w:val="auto"/>
              </w:rPr>
              <w:t>2015</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1,437,500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1,438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23,562</w:t>
            </w:r>
          </w:p>
        </w:tc>
        <w:tc>
          <w:tcPr>
            <w:tcW w:w="300" w:type="dxa"/>
            <w:vAlign w:val="bottom"/>
            <w:gridSpan w:val="2"/>
          </w:tcPr>
          <w:p>
            <w:pPr>
              <w:jc w:val="right"/>
              <w:ind w:right="19"/>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(10,226)</w:t>
            </w:r>
          </w:p>
        </w:tc>
        <w:tc>
          <w:tcPr>
            <w:tcW w:w="26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14,774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-1689100</wp:posOffset>
            </wp:positionV>
            <wp:extent cx="3782060" cy="1689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782060" cy="1689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-130810</wp:posOffset>
            </wp:positionV>
            <wp:extent cx="36531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3" w:lineRule="exact"/>
        <w:rPr>
          <w:sz w:val="20"/>
          <w:szCs w:val="20"/>
          <w:color w:val="auto"/>
        </w:rPr>
      </w:pPr>
    </w:p>
    <w:p>
      <w:pPr>
        <w:ind w:left="780" w:right="459" w:hanging="318"/>
        <w:spacing w:after="0" w:line="261"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23, 2015 (Inception) through December 31, 2015</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62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(10,226)</w:t>
            </w:r>
          </w:p>
        </w:tc>
      </w:tr>
      <w:tr>
        <w:trPr>
          <w:trHeight w:val="257"/>
        </w:trPr>
        <w:tc>
          <w:tcPr>
            <w:tcW w:w="620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97"/>
        </w:trPr>
        <w:tc>
          <w:tcPr>
            <w:tcW w:w="6200" w:type="dxa"/>
            <w:vAlign w:val="bottom"/>
          </w:tcPr>
          <w:p>
            <w:pPr>
              <w:ind w:left="180"/>
              <w:spacing w:after="0"/>
              <w:rPr>
                <w:sz w:val="20"/>
                <w:szCs w:val="20"/>
                <w:color w:val="auto"/>
              </w:rPr>
            </w:pPr>
            <w:r>
              <w:rPr>
                <w:rFonts w:ascii="Arial" w:cs="Arial" w:eastAsia="Arial" w:hAnsi="Arial"/>
                <w:sz w:val="18"/>
                <w:szCs w:val="18"/>
                <w:color w:val="auto"/>
              </w:rPr>
              <w:t>Formation and organization costs paid by related parties</w:t>
            </w:r>
          </w:p>
        </w:tc>
        <w:tc>
          <w:tcPr>
            <w:tcW w:w="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10,226</w:t>
            </w:r>
          </w:p>
        </w:tc>
        <w:tc>
          <w:tcPr>
            <w:tcW w:w="60" w:type="dxa"/>
            <w:vAlign w:val="bottom"/>
          </w:tcPr>
          <w:p>
            <w:pPr>
              <w:spacing w:after="0"/>
              <w:rPr>
                <w:sz w:val="24"/>
                <w:szCs w:val="24"/>
                <w:color w:val="auto"/>
              </w:rPr>
            </w:pPr>
          </w:p>
        </w:tc>
      </w:tr>
      <w:tr>
        <w:trPr>
          <w:trHeight w:val="237"/>
        </w:trPr>
        <w:tc>
          <w:tcPr>
            <w:tcW w:w="6200" w:type="dxa"/>
            <w:vAlign w:val="bottom"/>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Flows From Financing Activities:</w:t>
      </w:r>
    </w:p>
    <w:p>
      <w:pPr>
        <w:sectPr>
          <w:pgSz w:w="11900" w:h="16838" w:orient="portrait"/>
          <w:cols w:equalWidth="0" w:num="1">
            <w:col w:w="9019"/>
          </w:cols>
          <w:pgMar w:left="1440" w:top="337" w:right="1440" w:bottom="1440" w:gutter="0" w:footer="0" w:header="0"/>
        </w:sectPr>
      </w:pPr>
    </w:p>
    <w:p>
      <w:pPr>
        <w:spacing w:after="0" w:line="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Offering costs paid</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Proceeds from issuance of common stock</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change in cash and cash equivalents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at beginning of period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 at end of period</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Supplemental disclosure of non-cash financing activities: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right"/>
        <w:ind w:right="479"/>
        <w:spacing w:after="0"/>
        <w:rPr>
          <w:sz w:val="20"/>
          <w:szCs w:val="20"/>
          <w:color w:val="auto"/>
        </w:rPr>
      </w:pPr>
      <w:r>
        <w:rPr>
          <w:rFonts w:ascii="Arial" w:cs="Arial" w:eastAsia="Arial" w:hAnsi="Arial"/>
          <w:sz w:val="18"/>
          <w:szCs w:val="18"/>
          <w:color w:val="auto"/>
        </w:rPr>
        <w:t>(20,000)</w:t>
      </w:r>
    </w:p>
    <w:p>
      <w:pPr>
        <w:spacing w:after="0" w:line="90" w:lineRule="exact"/>
        <w:rPr>
          <w:sz w:val="20"/>
          <w:szCs w:val="20"/>
          <w:color w:val="auto"/>
        </w:rPr>
      </w:pPr>
    </w:p>
    <w:p>
      <w:pPr>
        <w:ind w:left="549"/>
        <w:spacing w:after="0"/>
        <w:rPr>
          <w:sz w:val="20"/>
          <w:szCs w:val="20"/>
          <w:color w:val="auto"/>
        </w:rPr>
      </w:pPr>
      <w:r>
        <w:rPr>
          <w:rFonts w:ascii="Arial" w:cs="Arial" w:eastAsia="Arial" w:hAnsi="Arial"/>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604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0" w:lineRule="exact"/>
        <w:rPr>
          <w:sz w:val="20"/>
          <w:szCs w:val="20"/>
          <w:color w:val="auto"/>
        </w:rPr>
      </w:pPr>
    </w:p>
    <w:p>
      <w:pPr>
        <w:ind w:left="629"/>
        <w:spacing w:after="0"/>
        <w:rPr>
          <w:sz w:val="20"/>
          <w:szCs w:val="20"/>
          <w:color w:val="auto"/>
        </w:rPr>
      </w:pPr>
      <w:r>
        <w:rPr>
          <w:rFonts w:ascii="Arial" w:cs="Arial" w:eastAsia="Arial" w:hAnsi="Arial"/>
          <w:sz w:val="18"/>
          <w:szCs w:val="18"/>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604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46"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5,000</w:t>
      </w:r>
    </w:p>
    <w:p>
      <w:pPr>
        <w:spacing w:after="0" w:line="29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ind w:left="629" w:hanging="629"/>
        <w:spacing w:after="0"/>
        <w:tabs>
          <w:tab w:leader="none" w:pos="629"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604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569" w:lineRule="exact"/>
        <w:rPr>
          <w:sz w:val="20"/>
          <w:szCs w:val="20"/>
          <w:color w:val="auto"/>
        </w:rPr>
      </w:pPr>
    </w:p>
    <w:p>
      <w:pPr>
        <w:sectPr>
          <w:pgSz w:w="11900" w:h="16838" w:orient="portrait"/>
          <w:cols w:equalWidth="0" w:num="2">
            <w:col w:w="6711" w:space="720"/>
            <w:col w:w="1588"/>
          </w:cols>
          <w:pgMar w:left="1440" w:top="337" w:right="1440" w:bottom="1440" w:gutter="0" w:footer="0" w:header="0"/>
          <w:type w:val="continuous"/>
        </w:sectPr>
      </w:pPr>
    </w:p>
    <w:p>
      <w:pPr>
        <w:ind w:left="640"/>
        <w:spacing w:after="0"/>
        <w:tabs>
          <w:tab w:leader="none" w:pos="7420" w:val="left"/>
          <w:tab w:leader="none" w:pos="7860" w:val="left"/>
        </w:tabs>
        <w:rPr>
          <w:sz w:val="20"/>
          <w:szCs w:val="20"/>
          <w:color w:val="auto"/>
        </w:rPr>
      </w:pPr>
      <w:r>
        <w:rPr>
          <w:rFonts w:ascii="Arial" w:cs="Arial" w:eastAsia="Arial" w:hAnsi="Arial"/>
          <w:sz w:val="18"/>
          <w:szCs w:val="18"/>
          <w:color w:val="auto"/>
        </w:rPr>
        <w:t>Payment of offering costs by issuance of note and related party note</w:t>
      </w:r>
      <w:r>
        <w:rPr>
          <w:sz w:val="20"/>
          <w:szCs w:val="20"/>
          <w:color w:val="auto"/>
        </w:rPr>
        <w:tab/>
      </w:r>
      <w:r>
        <w:rPr>
          <w:rFonts w:ascii="Arial" w:cs="Arial" w:eastAsia="Arial" w:hAnsi="Arial"/>
          <w:sz w:val="36"/>
          <w:szCs w:val="36"/>
          <w:color w:val="auto"/>
          <w:vertAlign w:val="subscript"/>
        </w:rPr>
        <w:t>$</w:t>
      </w:r>
      <w:r>
        <w:rPr>
          <w:sz w:val="20"/>
          <w:szCs w:val="20"/>
          <w:color w:val="auto"/>
        </w:rPr>
        <w:tab/>
      </w:r>
      <w:r>
        <w:rPr>
          <w:rFonts w:ascii="Arial" w:cs="Arial" w:eastAsia="Arial" w:hAnsi="Arial"/>
          <w:sz w:val="24"/>
          <w:szCs w:val="24"/>
          <w:color w:val="auto"/>
          <w:vertAlign w:val="subscript"/>
        </w:rPr>
        <w:t>158,957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36195</wp:posOffset>
            </wp:positionV>
            <wp:extent cx="6604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202"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initially intends to focus on target businesses operating in the consumer, retail or retail service industries.</w:t>
      </w:r>
    </w:p>
    <w:p>
      <w:pPr>
        <w:spacing w:after="0" w:line="138"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At December 31, 2015, the Company had not yet commenced any operations. All activity through December 31, 2015 relates to the Company’s formation and the proposed public offering described below.</w:t>
      </w:r>
    </w:p>
    <w:p>
      <w:pPr>
        <w:spacing w:after="0" w:line="106"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The Company’s ability to commence operations is contingent upon obtaining adequate financial resources through a proposed public offering of 5,000,000 units (or 5,750,000 units if the underwriters’ over-allotment option is exercised in full) (“Units”), at $10.00 per Unit which is discussed in Note 3 (the “Proposed Public Offering”), and the sale (the “Private Placement”) of an aggregate of 402,500 units (the “Private Units”) (or 447,500 Private Units if the underwriters’ over-allotment option is exercised in full) at $10.00 per Unit to the Company’s initial stockholder (the “Initial Stockholder”). The Company’s management has broad discretion with respect to the specific application of the net proceeds of the Proposed Public Offering and the Private Placement, although substantially all of the net proceeds are intended to be applied generally toward consummating a Business Combination. There is no assurance that the Company will be able to effect a Business Combination successfully. Upon the closing of the Proposed Public Offering and Private Placement, management has agreed that at least $10.30 per Unit sold in the Proposed Public Offering will be held in a trust account (“Trust Account”) and invested in United States government treasury bills, notes or bonds having a maturity of 180 days or less or in money market funds meeting the applicable conditions under Rule 2a-7 promulgated under the Investment Company Act of 1940, as amended, until the earlier of the consummation of its first Business Combination and the Company’s failure to consummate a Business Combination within the prescribed time.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The remaining net proceeds (not held in the Trust Account) may be used to pay for business, legal and accounting due diligence on prospective acquisitions and continuing general and administrative expenses. The amount of proceeds not held in trust will remain constant at approximately $525,000 even if the over-allotment is exercised. In addition, (i) interest income earned on the funds in the Trust Account may be released to the Company to pay its income or other tax obligations and (ii) any remaining interest earned on the funds in the Trust Account may be released to the Company for its working capital requirements. With these exceptions, expenses incurred by the Company may be paid prior to a Business Combination only from the net proceeds of the Proposed Public Offering not held in the Trust Account (estimated to initially be $525,000); provided, however, that in order to meet its working capital needs following the consummation of the Proposed Public Offering, the Company’s Initial Stockholder,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373"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taxes then due but not yet paid, or provide stockholders with the opportunity to sell their shares to the Company by means of a tender offer for an amount equal to their pro rata share of the aggregate amount then on deposit in the Trust Account, less any taxes then due but not yet paid. The Company will proceed with a Business Combination only if it will have net tangible assets of at least $5,000,001 upon consummation of the Business Combination and, solely if stockholder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Plan of Business Operations and Going Concern Consideration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 seeking conversion rights with respect to 20% or more of the common shares sold in the Proposed Public Offering. Accordingly, all shares purchased by a holder in excess of 20% of the shares sold in the Proposed Public Offering will not be converted to cash. In connection with any stockholder vote required to approve any Business Combination, the Initial Stockholder will agree (i) to vote any of its respective shares, including the common shares sold to the Initial Stockholder in connection with the organization of the Company (the “Initial Shares”), common shares included in the Private Units to be sold in the Private Placement, and any common shares which were initially issued in connection with the Proposed Public Offering, whether acquired in or after the effective date of the Proposed Public Offering, in favor of the initial Business Combination and (ii) not to convert such respective shares into a pro rata portion of the Trust Account or seek to sell their shares in connection with any tender offer the Company engages in.</w:t>
      </w:r>
    </w:p>
    <w:p>
      <w:pPr>
        <w:spacing w:after="0" w:line="14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Pursuant to the Company’s Certificate of Incorporation to be in effect upon consummation of the Proposed Public Offering, if the Company is unable to complete its initial Business Combination within 18 months from the date of the Proposed Public Offering (or 21 months from the closing of this offering if we have executed a letter of intent or definitive agreement for a business combination within 18 months from the closing of this offering but have not completed such business combination with the 18-month period),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 If the Company is unable to consummate an initial Business Combination and is forced to redeem 100% of the outstanding public shares for a pro rata portion of the funds held in the Trust Account, each holder will receive a pro rata portion of the amount then in the Trust Account. Holders of warrants will receive no proceeds in connection with the liquidation. The Initial Stockholder and the holders of Private Units will not participate in any redemption distribution with respect to their initial shares and Private Units, including the common stock included in the Private Units.</w:t>
      </w:r>
    </w:p>
    <w:p>
      <w:pPr>
        <w:spacing w:after="0" w:line="13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insiders have agreed to pay the funds necessary to complete such liquidation (currently anticipated to be no more than $15,000) and have agreed not to seek repayment of such expenses.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85"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At December 31, 2015, the Company had $5,000 in cash and a working capital deficit of $164,183. Further, the Company has incurred, and expects to continue to incur, significant costs in pursuit of its financing and acquisition plans. These conditions raise substantial doubt about the Company’s ability to continue as a going concern. Management plans to address this uncertainty through the Proposed Public Offering as discussed in Note 3. There is no assurance that the Company’s plans to raise capital or to consummate a Business Combination will be successful or successful within the required time period. The financial statements do not include any adjustments that might result from the outcome of this uncertainty.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Securities and Exchange Commission (“SEC”).</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“Fair Value Measurements and Disclosures,” approximates the carrying amounts represented in the balance sheet, primarily due to their short-term nature.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per share</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Loss per share is computed by dividing net loss by the weighted-average number of shares of common stock outstanding during the period excluding shares of common stock subject to forfeiture. Weighted average shares was reduced for the effect of an aggregate of 187,500 shares of common stock that are subject to forfeiture if the over-allotment option is not exercised by the underwriters.</w:t>
      </w:r>
    </w:p>
    <w:p>
      <w:pPr>
        <w:spacing w:after="0" w:line="16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At December 31, 2015, the Company did not have any dilutive securities and other contracts that could, potentially, be exercised or converted into common stock and then share in the earnings of the Company. As a result, diluted loss per share is the same as basic loss per share for the period presented.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1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upcoming 2015 tax year, which will be the only period subject to examination. The Company believes that its income tax positions and deductions would be sustained on audit and does not anticipate any adjustments that would result in a material change to its financial position.</w:t>
      </w:r>
    </w:p>
    <w:p>
      <w:pPr>
        <w:spacing w:after="0" w:line="126"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The Company’s policy for recording interest and penalties associated with audits is to record such expense as a component of income tax expense. There were no amounts accrued for penalties or interest as of or during the period from April 23, 2015 (inception) through December 31, 2015. Management is currently unaware of any issues under review that could result in significant payments, accruals or material deviations from its position.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was deemed to be immaterial for the period ended December 31,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8"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The Company’s management reviewed all material events that have occurred after the balance sheet date through February 22, 2016, the date which these financial statements were available to be issued.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202"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The Proposed Public Offering calls for the Company to offer for public sale 5,000,000 Units at a proposed offering price of $10.00 per Unit (plus up to an additional 750,000 Units solely to cover over-allotments, if any, pursuant to a 45 day over-allotment option granted to the underwriter). Each Unit consists of one share of common stock in the Company, and one Warrant (“Warrant”). Each Warrant entitles the holder to purchase one share of common stock at a price of $12.00 per share commencing on the later of 30 days after the Company’s completion of its initial Business Combination or 12 months from the effective date of the registration statement relating to the Proposed Public Offering,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Proposed Public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Deferred Offering Costs</w:t>
      </w:r>
    </w:p>
    <w:p>
      <w:pPr>
        <w:spacing w:after="0" w:line="189"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Deferred offering costs consist principally of legal, underwriting fees and other costs incurred through the balance sheet date that are directly related to the Proposed Public Offering and that will be charged to stockholder’s equity upon the receipt of the capital raised. Should the Proposed Public Offering prove to be unsuccessful, these deferred costs as well as additional expenses to be incurred will be charged to operations.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Notes Payable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Payable Related Party</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Company issued an $114,183 principal amount unsecured promissory note to an affiliate of the Company’s executive officers. The note is non-interest bearing and payable on the earlier of (i) the consummation of the Proposed Public Offering or (ii)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 Notes Payable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date on which the Company determines not to proceed with the Proposed Public Offering. Due to the short-term nature of the note, the fair value of the note approximates the carrying amount.</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Payable</w:t>
      </w:r>
    </w:p>
    <w:p>
      <w:pPr>
        <w:spacing w:after="0" w:line="18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On July 1, 2015, the Company issued a $55,000 principal amount unsecured promissory note. The note is non-interest bearing and payable on the earlier of (i) the consummation of the Proposed Public Offering or (ii) the date on which the Company determines not to proceed with the Proposed Public Offering. Due to the short-term nature of the note, the fair value of the note approximates the carrying amount.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98"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Company will enter into an agreement with the underwriters of the Proposed Public Offering (“Underwriting Agreement”). The terms of the Proposed Public Offering are set forth in a non-binding letter of intent that is merely a statement of intent and is subject to change and further negotiation between the parties and may be adjusted prior to the execution of the Underwriting Agreement. The Underwriting Agreement will require the Company to pay an underwriting discount of 3.0% of the gross proceeds of the Proposed Public Offering as an underwriting discount and a deferred underwriting discount of up to 2.0% for an aggregate underwriting discount of 5.0% of the gross proceeds of the Proposed Public Offering, in each case as to be set forth in the Underwriting Agreement. The Company will pay the deferred underwriting fee at the closing of the Business Combination. The underwriters also purchased an interest in M SPAC Holdings I LLC, an entity controlled by the Company’s insiders, which entitles it to the beneficial interest in 75,000 insider shares.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paid $50,000 as an advance against out of pocket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Units</w:t>
      </w:r>
    </w:p>
    <w:p>
      <w:pPr>
        <w:spacing w:after="0" w:line="18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Initial Stockholder have committed to purchase an aggregate of 402,500 Private Units at $10.00 per Private Unit. The Initial Stockholder have also agreed that if the over-allotment option is exercised by the underwriters, they will purchase from the Company at a price of $10.00 per Private Unit up to an additional 45,000 Private Units pro rata with the amount of the over-allotment option exercised so that at least $10.30 per share sold to the public in the Proposed Public Offering is held in the Trust Account regardless of whether the over-allotment option is exercised in full or part.</w:t>
      </w:r>
    </w:p>
    <w:p>
      <w:pPr>
        <w:spacing w:after="0" w:line="16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Private Units are identical to the Units sold in the Proposed Public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Option</w:t>
      </w:r>
    </w:p>
    <w:p>
      <w:pPr>
        <w:spacing w:after="0" w:line="185"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The Company has agreed to sell to the underwriters, for $100, a unit purchase option to purchase up to a total of 500,000 units exercisable at $12.00 per unit (or an aggregate exercise price of $6,000,000) commencing on the later of the consummation of a Business Combination and one year from the effective date of the registration statement relating to the Proposed Public Offering. The unit purchase option expires five years from the effective date of the registration statement relating to the Proposed Public Offering. The units issuable upon exercise of this option are identical to the Units being offered in the Proposed Public Offering. The Company has agreed to grant to the holders of the unit purchase option, demand and “piggy back” registration rights for periods of five and seven years, respectively, from the effective date of this Proposed Public Offering, including securities directly and indirectly issuable upon exercise of the unit purchase option.</w:t>
      </w:r>
    </w:p>
    <w:p>
      <w:pPr>
        <w:spacing w:after="0" w:line="140"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Company intends to account for the fair value of the unit purchase option, inclusive of the receipt of a $100 cash payment, as an expense of the Proposed Public Offering resulting in a charge directly to stockholders’ equity. The Company estimates that the fair value of this unit purchase option is approximately $4,530,000 (or $9.06 per unit) using a Black-Scholes option-pricing model. The fair value of the unit purchase option to be granted to the placement agent is estimated as of the date of grant using the following assumptions: (1) expected volatility of 152%, (2) risk-free interest rate of 1.54%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Company, commencing on the effective date of the registration statement relating to the Proposed Public Offering, has agreed to pay an affiliate of the Company’s executive officers a monthly fee of $10,000 for general and administrative services.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85"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Initial Stockholder will be entitled to registration rights with respect to their initial shares and the purchasers of the Private Units will be entitled to registration rights with respect to the Private Units (and underlying securities), pursuant to an agreement to be signed prior to or on the effective date of the Proposed Public Offering.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Stockholder’s Equity</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authorized to issue 50,000,000 shares of common stock with a par value of $0.001 per share.</w:t>
      </w:r>
    </w:p>
    <w:p>
      <w:pPr>
        <w:spacing w:after="0" w:line="20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On April 23, 2015, 1,437,500 shares of the Company’s common stock were sold to the Initial Stockholder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w:t>
      </w:r>
    </w:p>
    <w:p>
      <w:pPr>
        <w:spacing w:after="0" w:line="142"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21 months, as applicable),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franchise and income taxes,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8" w:name="page109"/>
    <w:bookmarkEnd w:id="108"/>
    <w:p>
      <w:pPr>
        <w:jc w:val="center"/>
        <w:ind w:right="-20"/>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Balance Sheets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June 30, 2016</w:t>
            </w:r>
          </w:p>
        </w:tc>
        <w:tc>
          <w:tcPr>
            <w:tcW w:w="15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w w:val="88"/>
              </w:rPr>
              <w:t>December 31, 2015</w:t>
            </w:r>
          </w:p>
        </w:tc>
        <w:tc>
          <w:tcPr>
            <w:tcW w:w="0" w:type="dxa"/>
            <w:vAlign w:val="bottom"/>
          </w:tcPr>
          <w:p>
            <w:pPr>
              <w:spacing w:after="0"/>
              <w:rPr>
                <w:sz w:val="1"/>
                <w:szCs w:val="1"/>
                <w:color w:val="auto"/>
              </w:rPr>
            </w:pPr>
          </w:p>
        </w:tc>
      </w:tr>
      <w:tr>
        <w:trPr>
          <w:trHeight w:val="228"/>
        </w:trPr>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(unaudited)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7"/>
              </w:rPr>
              <w:t>Assets</w:t>
            </w:r>
          </w:p>
        </w:tc>
        <w:tc>
          <w:tcPr>
            <w:tcW w:w="21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960" w:type="dxa"/>
            <w:vAlign w:val="bottom"/>
            <w:gridSpan w:val="5"/>
          </w:tcPr>
          <w:p>
            <w:pPr>
              <w:ind w:left="180"/>
              <w:spacing w:after="0"/>
              <w:rPr>
                <w:sz w:val="20"/>
                <w:szCs w:val="20"/>
                <w:color w:val="auto"/>
              </w:rPr>
            </w:pPr>
            <w:r>
              <w:rPr>
                <w:rFonts w:ascii="Arial" w:cs="Arial" w:eastAsia="Arial" w:hAnsi="Arial"/>
                <w:sz w:val="18"/>
                <w:szCs w:val="18"/>
                <w:color w:val="auto"/>
              </w:rPr>
              <w:t>Current asset: cash and cash equivalents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24"/>
                <w:szCs w:val="24"/>
                <w:color w:val="auto"/>
              </w:rPr>
            </w:pPr>
          </w:p>
        </w:tc>
        <w:tc>
          <w:tcPr>
            <w:tcW w:w="480" w:type="dxa"/>
            <w:vAlign w:val="bottom"/>
            <w:gridSpan w:val="2"/>
          </w:tcPr>
          <w:p>
            <w:pPr>
              <w:jc w:val="right"/>
              <w:ind w:right="30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960" w:type="dxa"/>
            <w:vAlign w:val="bottom"/>
            <w:gridSpan w:val="5"/>
          </w:tcPr>
          <w:p>
            <w:pPr>
              <w:ind w:left="180"/>
              <w:spacing w:after="0"/>
              <w:rPr>
                <w:sz w:val="20"/>
                <w:szCs w:val="20"/>
                <w:color w:val="auto"/>
              </w:rPr>
            </w:pPr>
            <w:r>
              <w:rPr>
                <w:rFonts w:ascii="Arial" w:cs="Arial" w:eastAsia="Arial" w:hAnsi="Arial"/>
                <w:sz w:val="18"/>
                <w:szCs w:val="18"/>
                <w:color w:val="auto"/>
              </w:rPr>
              <w:t>Deferred offering costs</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193,957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178,957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60" w:type="dxa"/>
            <w:vAlign w:val="bottom"/>
            <w:gridSpan w:val="5"/>
          </w:tcPr>
          <w:p>
            <w:pPr>
              <w:ind w:left="3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194,230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183,957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78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0"/>
              </w:rPr>
              <w:t>Liabilities and Stockholders' Equity</w:t>
            </w:r>
          </w:p>
        </w:tc>
        <w:tc>
          <w:tcPr>
            <w:tcW w:w="10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120" w:type="dxa"/>
            <w:vAlign w:val="bottom"/>
          </w:tcPr>
          <w:p>
            <w:pPr>
              <w:spacing w:after="0"/>
              <w:rPr>
                <w:sz w:val="24"/>
                <w:szCs w:val="24"/>
                <w:color w:val="auto"/>
              </w:rPr>
            </w:pPr>
          </w:p>
        </w:tc>
        <w:tc>
          <w:tcPr>
            <w:tcW w:w="2780" w:type="dxa"/>
            <w:vAlign w:val="bottom"/>
            <w:tcBorders>
              <w:bottom w:val="single" w:sz="8" w:color="auto"/>
            </w:tcBorders>
            <w:gridSpan w:val="3"/>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960" w:type="dxa"/>
            <w:vAlign w:val="bottom"/>
            <w:gridSpan w:val="5"/>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gridSpan w:val="5"/>
          </w:tcPr>
          <w:p>
            <w:pPr>
              <w:ind w:left="180"/>
              <w:spacing w:after="0"/>
              <w:rPr>
                <w:sz w:val="20"/>
                <w:szCs w:val="20"/>
                <w:color w:val="auto"/>
              </w:rPr>
            </w:pPr>
            <w:r>
              <w:rPr>
                <w:rFonts w:ascii="Arial" w:cs="Arial" w:eastAsia="Arial" w:hAnsi="Arial"/>
                <w:sz w:val="18"/>
                <w:szCs w:val="18"/>
                <w:color w:val="auto"/>
              </w:rPr>
              <w:t>Note payable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55,000</w:t>
            </w:r>
          </w:p>
        </w:tc>
        <w:tc>
          <w:tcPr>
            <w:tcW w:w="140" w:type="dxa"/>
            <w:vAlign w:val="bottom"/>
          </w:tcPr>
          <w:p>
            <w:pPr>
              <w:spacing w:after="0"/>
              <w:rPr>
                <w:sz w:val="18"/>
                <w:szCs w:val="18"/>
                <w:color w:val="auto"/>
              </w:rPr>
            </w:pPr>
          </w:p>
        </w:tc>
        <w:tc>
          <w:tcPr>
            <w:tcW w:w="480" w:type="dxa"/>
            <w:vAlign w:val="bottom"/>
            <w:gridSpan w:val="2"/>
          </w:tcPr>
          <w:p>
            <w:pPr>
              <w:jc w:val="right"/>
              <w:ind w:right="30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960" w:type="dxa"/>
            <w:vAlign w:val="bottom"/>
            <w:gridSpan w:val="5"/>
          </w:tcPr>
          <w:p>
            <w:pPr>
              <w:ind w:left="180"/>
              <w:spacing w:after="0"/>
              <w:rPr>
                <w:sz w:val="20"/>
                <w:szCs w:val="20"/>
                <w:color w:val="auto"/>
              </w:rPr>
            </w:pPr>
            <w:r>
              <w:rPr>
                <w:rFonts w:ascii="Arial" w:cs="Arial" w:eastAsia="Arial" w:hAnsi="Arial"/>
                <w:sz w:val="18"/>
                <w:szCs w:val="18"/>
                <w:color w:val="auto"/>
              </w:rPr>
              <w:t>Note payable - related parties</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131,720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114,183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60" w:type="dxa"/>
            <w:vAlign w:val="bottom"/>
            <w:gridSpan w:val="5"/>
          </w:tcPr>
          <w:p>
            <w:pPr>
              <w:ind w:left="32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960" w:type="dxa"/>
            <w:vAlign w:val="bottom"/>
            <w:gridSpan w:val="5"/>
          </w:tcPr>
          <w:p>
            <w:pPr>
              <w:spacing w:after="0"/>
              <w:rPr>
                <w:sz w:val="20"/>
                <w:szCs w:val="20"/>
                <w:color w:val="auto"/>
              </w:rPr>
            </w:pPr>
            <w:r>
              <w:rPr>
                <w:rFonts w:ascii="Arial" w:cs="Arial" w:eastAsia="Arial" w:hAnsi="Arial"/>
                <w:sz w:val="18"/>
                <w:szCs w:val="18"/>
                <w:b w:val="1"/>
                <w:bCs w:val="1"/>
                <w:color w:val="auto"/>
              </w:rPr>
              <w:t>Commitments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960" w:type="dxa"/>
            <w:vAlign w:val="bottom"/>
            <w:gridSpan w:val="5"/>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gridSpan w:val="5"/>
          </w:tcPr>
          <w:p>
            <w:pPr>
              <w:ind w:left="180"/>
              <w:spacing w:after="0"/>
              <w:rPr>
                <w:sz w:val="20"/>
                <w:szCs w:val="20"/>
                <w:color w:val="auto"/>
              </w:rPr>
            </w:pPr>
            <w:r>
              <w:rPr>
                <w:rFonts w:ascii="Arial" w:cs="Arial" w:eastAsia="Arial" w:hAnsi="Arial"/>
                <w:sz w:val="18"/>
                <w:szCs w:val="18"/>
                <w:color w:val="auto"/>
                <w:w w:val="92"/>
              </w:rPr>
              <w:t>Common stock, $0.001 par value; 50,000,000 shares authorized;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5"/>
          </w:tcPr>
          <w:p>
            <w:pPr>
              <w:ind w:left="320"/>
              <w:spacing w:after="0"/>
              <w:rPr>
                <w:sz w:val="20"/>
                <w:szCs w:val="20"/>
                <w:color w:val="auto"/>
              </w:rPr>
            </w:pPr>
            <w:r>
              <w:rPr>
                <w:rFonts w:ascii="Arial" w:cs="Arial" w:eastAsia="Arial" w:hAnsi="Arial"/>
                <w:sz w:val="18"/>
                <w:szCs w:val="18"/>
                <w:color w:val="auto"/>
              </w:rPr>
              <w:t>1,437,500 shares issued and outstanding (1)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5"/>
          </w:tcPr>
          <w:p>
            <w:pPr>
              <w:ind w:left="180"/>
              <w:spacing w:after="0"/>
              <w:rPr>
                <w:sz w:val="20"/>
                <w:szCs w:val="20"/>
                <w:color w:val="auto"/>
              </w:rPr>
            </w:pPr>
            <w:r>
              <w:rPr>
                <w:rFonts w:ascii="Arial" w:cs="Arial" w:eastAsia="Arial" w:hAnsi="Arial"/>
                <w:sz w:val="18"/>
                <w:szCs w:val="18"/>
                <w:color w:val="auto"/>
              </w:rPr>
              <w:t>Additional paid in capital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960" w:type="dxa"/>
            <w:vAlign w:val="bottom"/>
            <w:gridSpan w:val="5"/>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(17,490)</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10"/>
        </w:trPr>
        <w:tc>
          <w:tcPr>
            <w:tcW w:w="4960" w:type="dxa"/>
            <w:vAlign w:val="bottom"/>
            <w:gridSpan w:val="5"/>
          </w:tcPr>
          <w:p>
            <w:pPr>
              <w:ind w:left="32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496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194,230</w:t>
            </w:r>
          </w:p>
        </w:tc>
        <w:tc>
          <w:tcPr>
            <w:tcW w:w="140" w:type="dxa"/>
            <w:vAlign w:val="bottom"/>
          </w:tcPr>
          <w:p>
            <w:pPr>
              <w:spacing w:after="0"/>
              <w:rPr>
                <w:sz w:val="24"/>
                <w:szCs w:val="24"/>
                <w:color w:val="auto"/>
              </w:rPr>
            </w:pPr>
          </w:p>
        </w:tc>
        <w:tc>
          <w:tcPr>
            <w:tcW w:w="480" w:type="dxa"/>
            <w:vAlign w:val="bottom"/>
            <w:gridSpan w:val="2"/>
          </w:tcPr>
          <w:p>
            <w:pPr>
              <w:jc w:val="right"/>
              <w:ind w:right="305"/>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183,957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20" w:right="459" w:hanging="333"/>
        <w:spacing w:after="0" w:line="277" w:lineRule="auto"/>
        <w:tabs>
          <w:tab w:leader="none" w:pos="11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109" w:name="page110"/>
    <w:bookmarkEnd w:id="109"/>
    <w:p>
      <w:pPr>
        <w:jc w:val="center"/>
        <w:ind w:right="-20"/>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720" w:type="dxa"/>
            <w:vAlign w:val="bottom"/>
            <w:gridSpan w:val="4"/>
          </w:tcPr>
          <w:p>
            <w:pPr>
              <w:ind w:left="60"/>
              <w:spacing w:after="0"/>
              <w:rPr>
                <w:sz w:val="20"/>
                <w:szCs w:val="20"/>
                <w:color w:val="auto"/>
              </w:rPr>
            </w:pPr>
            <w:r>
              <w:rPr>
                <w:rFonts w:ascii="Arial" w:cs="Arial" w:eastAsia="Arial" w:hAnsi="Arial"/>
                <w:sz w:val="18"/>
                <w:szCs w:val="18"/>
                <w:b w:val="1"/>
                <w:bCs w:val="1"/>
                <w:color w:val="auto"/>
              </w:rPr>
              <w:t>For the Six Months</w:t>
            </w:r>
          </w:p>
        </w:tc>
        <w:tc>
          <w:tcPr>
            <w:tcW w:w="140" w:type="dxa"/>
            <w:vAlign w:val="bottom"/>
          </w:tcPr>
          <w:p>
            <w:pPr>
              <w:spacing w:after="0"/>
              <w:rPr>
                <w:sz w:val="18"/>
                <w:szCs w:val="18"/>
                <w:color w:val="auto"/>
              </w:rPr>
            </w:pPr>
          </w:p>
        </w:tc>
        <w:tc>
          <w:tcPr>
            <w:tcW w:w="18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For the Period from</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Ended</w:t>
            </w:r>
          </w:p>
        </w:tc>
        <w:tc>
          <w:tcPr>
            <w:tcW w:w="2020" w:type="dxa"/>
            <w:vAlign w:val="bottom"/>
            <w:gridSpan w:val="4"/>
          </w:tcPr>
          <w:p>
            <w:pPr>
              <w:spacing w:after="0"/>
              <w:rPr>
                <w:sz w:val="20"/>
                <w:szCs w:val="20"/>
                <w:color w:val="auto"/>
              </w:rPr>
            </w:pPr>
            <w:r>
              <w:rPr>
                <w:rFonts w:ascii="Arial" w:cs="Arial" w:eastAsia="Arial" w:hAnsi="Arial"/>
                <w:sz w:val="18"/>
                <w:szCs w:val="18"/>
                <w:b w:val="1"/>
                <w:bCs w:val="1"/>
                <w:color w:val="auto"/>
                <w:w w:val="93"/>
              </w:rPr>
              <w:t>April 23, 2015 (Inception)</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June 30, 2016</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89"/>
              </w:rPr>
              <w:t>to June 30, 2015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340" w:type="dxa"/>
            <w:vAlign w:val="bottom"/>
          </w:tcPr>
          <w:p>
            <w:pPr>
              <w:spacing w:after="0"/>
              <w:rPr>
                <w:sz w:val="20"/>
                <w:szCs w:val="20"/>
                <w:color w:val="auto"/>
              </w:rPr>
            </w:pPr>
            <w:r>
              <w:rPr>
                <w:rFonts w:ascii="Arial" w:cs="Arial" w:eastAsia="Arial" w:hAnsi="Arial"/>
                <w:sz w:val="18"/>
                <w:szCs w:val="18"/>
                <w:color w:val="auto"/>
              </w:rPr>
              <w:t>Formation and operating costs</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7,264</w:t>
            </w:r>
          </w:p>
        </w:tc>
        <w:tc>
          <w:tcPr>
            <w:tcW w:w="1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1,043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34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(7,264)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w w:val="90"/>
              </w:rPr>
              <w:t>Weighted average shares of common stock outstanding</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340" w:type="dxa"/>
            <w:vAlign w:val="bottom"/>
          </w:tcPr>
          <w:p>
            <w:pPr>
              <w:ind w:left="140"/>
              <w:spacing w:after="0"/>
              <w:rPr>
                <w:sz w:val="20"/>
                <w:szCs w:val="20"/>
                <w:color w:val="auto"/>
              </w:rPr>
            </w:pPr>
            <w:r>
              <w:rPr>
                <w:rFonts w:ascii="Arial" w:cs="Arial" w:eastAsia="Arial" w:hAnsi="Arial"/>
                <w:sz w:val="18"/>
                <w:szCs w:val="18"/>
                <w:b w:val="1"/>
                <w:bCs w:val="1"/>
                <w:color w:val="auto"/>
              </w:rPr>
              <w:t>- basic and diluted (1)</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w w:val="89"/>
              </w:rPr>
              <w:t>Net loss per shares of common stock - basic and diluted</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40" w:type="dxa"/>
            <w:vAlign w:val="bottom"/>
            <w:vMerge w:val="continue"/>
          </w:tcPr>
          <w:p>
            <w:pPr>
              <w:spacing w:after="0"/>
              <w:rPr>
                <w:sz w:val="24"/>
                <w:szCs w:val="24"/>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20" w:right="459" w:hanging="333"/>
        <w:spacing w:after="0" w:line="277" w:lineRule="auto"/>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80" w:type="dxa"/>
            <w:vAlign w:val="bottom"/>
            <w:gridSpan w:val="4"/>
          </w:tcPr>
          <w:p>
            <w:pPr>
              <w:ind w:left="120"/>
              <w:spacing w:after="0"/>
              <w:rPr>
                <w:sz w:val="20"/>
                <w:szCs w:val="20"/>
                <w:color w:val="auto"/>
              </w:rPr>
            </w:pPr>
            <w:r>
              <w:rPr>
                <w:rFonts w:ascii="Arial" w:cs="Arial" w:eastAsia="Arial" w:hAnsi="Arial"/>
                <w:sz w:val="18"/>
                <w:szCs w:val="18"/>
                <w:b w:val="1"/>
                <w:bCs w:val="1"/>
                <w:color w:val="auto"/>
              </w:rPr>
              <w:t>For the Six Months</w:t>
            </w:r>
          </w:p>
        </w:tc>
        <w:tc>
          <w:tcPr>
            <w:tcW w:w="14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For the Period from</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Ended</w:t>
            </w:r>
          </w:p>
        </w:tc>
        <w:tc>
          <w:tcPr>
            <w:tcW w:w="2020" w:type="dxa"/>
            <w:vAlign w:val="bottom"/>
            <w:gridSpan w:val="3"/>
          </w:tcPr>
          <w:p>
            <w:pPr>
              <w:spacing w:after="0"/>
              <w:rPr>
                <w:sz w:val="20"/>
                <w:szCs w:val="20"/>
                <w:color w:val="auto"/>
              </w:rPr>
            </w:pPr>
            <w:r>
              <w:rPr>
                <w:rFonts w:ascii="Arial" w:cs="Arial" w:eastAsia="Arial" w:hAnsi="Arial"/>
                <w:sz w:val="18"/>
                <w:szCs w:val="18"/>
                <w:b w:val="1"/>
                <w:bCs w:val="1"/>
                <w:color w:val="auto"/>
                <w:w w:val="93"/>
              </w:rPr>
              <w:t>April 23, 2015 (Inception)</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June 30, 2016</w:t>
            </w:r>
          </w:p>
        </w:tc>
        <w:tc>
          <w:tcPr>
            <w:tcW w:w="140" w:type="dxa"/>
            <w:vAlign w:val="bottom"/>
          </w:tcPr>
          <w:p>
            <w:pPr>
              <w:spacing w:after="0"/>
              <w:rPr>
                <w:sz w:val="20"/>
                <w:szCs w:val="20"/>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 June 30, 2015</w:t>
            </w:r>
          </w:p>
        </w:tc>
        <w:tc>
          <w:tcPr>
            <w:tcW w:w="0" w:type="dxa"/>
            <w:vAlign w:val="bottom"/>
          </w:tcPr>
          <w:p>
            <w:pPr>
              <w:spacing w:after="0"/>
              <w:rPr>
                <w:sz w:val="1"/>
                <w:szCs w:val="1"/>
                <w:color w:val="auto"/>
              </w:rPr>
            </w:pPr>
          </w:p>
        </w:tc>
      </w:tr>
      <w:tr>
        <w:trPr>
          <w:trHeight w:val="41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ind w:left="160"/>
              <w:spacing w:after="0"/>
              <w:rPr>
                <w:sz w:val="20"/>
                <w:szCs w:val="20"/>
                <w:color w:val="auto"/>
              </w:rPr>
            </w:pPr>
            <w:r>
              <w:rPr>
                <w:rFonts w:ascii="Arial" w:cs="Arial" w:eastAsia="Arial" w:hAnsi="Arial"/>
                <w:sz w:val="18"/>
                <w:szCs w:val="18"/>
                <w:color w:val="auto"/>
              </w:rPr>
              <w:t>Net loss</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(7,264)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4280" w:type="dxa"/>
            <w:vAlign w:val="bottom"/>
            <w:gridSpan w:val="3"/>
          </w:tcPr>
          <w:p>
            <w:pPr>
              <w:ind w:left="160"/>
              <w:spacing w:after="0"/>
              <w:rPr>
                <w:sz w:val="20"/>
                <w:szCs w:val="20"/>
                <w:color w:val="auto"/>
              </w:rPr>
            </w:pPr>
            <w:r>
              <w:rPr>
                <w:rFonts w:ascii="Arial" w:cs="Arial" w:eastAsia="Arial" w:hAnsi="Arial"/>
                <w:sz w:val="18"/>
                <w:szCs w:val="18"/>
                <w:color w:val="auto"/>
                <w:w w:val="97"/>
              </w:rPr>
              <w:t>Adjustments to reconcile net loss to net cash used in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ind w:left="16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ind w:left="320"/>
              <w:spacing w:after="0"/>
              <w:rPr>
                <w:sz w:val="20"/>
                <w:szCs w:val="20"/>
                <w:color w:val="auto"/>
              </w:rPr>
            </w:pPr>
            <w:r>
              <w:rPr>
                <w:rFonts w:ascii="Arial" w:cs="Arial" w:eastAsia="Arial" w:hAnsi="Arial"/>
                <w:sz w:val="18"/>
                <w:szCs w:val="18"/>
                <w:color w:val="auto"/>
              </w:rPr>
              <w:t>Formation and organization costs paid by related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80" w:type="dxa"/>
            <w:vAlign w:val="bottom"/>
            <w:gridSpan w:val="3"/>
          </w:tcPr>
          <w:p>
            <w:pPr>
              <w:ind w:left="320"/>
              <w:spacing w:after="0"/>
              <w:rPr>
                <w:sz w:val="20"/>
                <w:szCs w:val="20"/>
                <w:color w:val="auto"/>
              </w:rPr>
            </w:pPr>
            <w:r>
              <w:rPr>
                <w:rFonts w:ascii="Arial" w:cs="Arial" w:eastAsia="Arial" w:hAnsi="Arial"/>
                <w:sz w:val="18"/>
                <w:szCs w:val="18"/>
                <w:color w:val="auto"/>
              </w:rPr>
              <w:t>parties</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280" w:type="dxa"/>
            <w:vAlign w:val="bottom"/>
            <w:gridSpan w:val="3"/>
          </w:tcPr>
          <w:p>
            <w:pPr>
              <w:ind w:left="160"/>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(4,727)</w:t>
            </w:r>
          </w:p>
        </w:tc>
        <w:tc>
          <w:tcPr>
            <w:tcW w:w="1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280" w:type="dxa"/>
            <w:vAlign w:val="bottom"/>
            <w:gridSpan w:val="3"/>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1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disclosure of non-cash financing</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6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activities: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gridSpan w:val="3"/>
          </w:tcPr>
          <w:p>
            <w:pPr>
              <w:ind w:left="160"/>
              <w:spacing w:after="0"/>
              <w:rPr>
                <w:sz w:val="20"/>
                <w:szCs w:val="20"/>
                <w:color w:val="auto"/>
              </w:rPr>
            </w:pPr>
            <w:r>
              <w:rPr>
                <w:rFonts w:ascii="Arial" w:cs="Arial" w:eastAsia="Arial" w:hAnsi="Arial"/>
                <w:sz w:val="18"/>
                <w:szCs w:val="18"/>
                <w:color w:val="auto"/>
                <w:w w:val="92"/>
              </w:rPr>
              <w:t>Payment of deferred offering costs by issuance of notes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80" w:type="dxa"/>
            <w:vAlign w:val="bottom"/>
            <w:gridSpan w:val="3"/>
          </w:tcPr>
          <w:p>
            <w:pPr>
              <w:ind w:left="160"/>
              <w:spacing w:after="0"/>
              <w:rPr>
                <w:sz w:val="20"/>
                <w:szCs w:val="20"/>
                <w:color w:val="auto"/>
              </w:rPr>
            </w:pPr>
            <w:r>
              <w:rPr>
                <w:rFonts w:ascii="Arial" w:cs="Arial" w:eastAsia="Arial" w:hAnsi="Arial"/>
                <w:sz w:val="18"/>
                <w:szCs w:val="18"/>
                <w:color w:val="auto"/>
              </w:rPr>
              <w:t>and related party notes</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83,957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ind w:left="160"/>
              <w:spacing w:after="0" w:line="195" w:lineRule="exact"/>
              <w:rPr>
                <w:sz w:val="20"/>
                <w:szCs w:val="20"/>
                <w:color w:val="auto"/>
              </w:rPr>
            </w:pPr>
            <w:r>
              <w:rPr>
                <w:rFonts w:ascii="Arial" w:cs="Arial" w:eastAsia="Arial" w:hAnsi="Arial"/>
                <w:sz w:val="18"/>
                <w:szCs w:val="18"/>
                <w:color w:val="auto"/>
              </w:rPr>
              <w:t>Payment of deferred offering costs by issuance of</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280" w:type="dxa"/>
            <w:vAlign w:val="bottom"/>
            <w:gridSpan w:val="3"/>
          </w:tcPr>
          <w:p>
            <w:pPr>
              <w:ind w:left="160"/>
              <w:spacing w:after="0"/>
              <w:rPr>
                <w:sz w:val="20"/>
                <w:szCs w:val="20"/>
                <w:color w:val="auto"/>
              </w:rPr>
            </w:pPr>
            <w:r>
              <w:rPr>
                <w:rFonts w:ascii="Arial" w:cs="Arial" w:eastAsia="Arial" w:hAnsi="Arial"/>
                <w:sz w:val="18"/>
                <w:szCs w:val="18"/>
                <w:color w:val="auto"/>
              </w:rPr>
              <w:t>common stock</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22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initially intends to focus on target businesses operating in the consumer, retail or retail service industries.</w:t>
      </w:r>
    </w:p>
    <w:p>
      <w:pPr>
        <w:spacing w:after="0" w:line="17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At June 30, 2016, the Company had not yet commenced any operations. All activity for the six months ended June 30, 2016 relates to the Company’s formation, proposed public offering (as described below) and general and administrative expenses.</w:t>
      </w:r>
    </w:p>
    <w:p>
      <w:pPr>
        <w:spacing w:after="0" w:line="181"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The Company’s ability to commence operations is contingent upon obtaining adequate financial resources through a proposed public offering of 5,000,000 units (or 5,750,000 units if the underwriters’ over-allotment option is exercised in full) (“Units”), at $10.00 per Unit which is discussed in Note 3 (the “Proposed Public Offering”), and the sale (the “Private Placement”) of an aggregate of 402,500 units (the “Private Units”) (or 447,500 Private Units if the underwriters’ over-allotment option is exercised in full) at $10.00 per Unit to the Company’s initial stockholders (the “Initial Stockholders”). The Company’s management has broad discretion with respect to the specific application of the net proceeds of the Proposed Public Offering and the Private Placement, although substantially all of the net proceeds are intended to be applied generally toward consummating a Business Combination. There is no assurance that the Company will be able to effect a Business Combination successfully. Upon the closing of the Proposed Public Offering and Private Placement, management has agreed that at least $10.30 per Unit sold in the Proposed Public Offering will be held in a trust account (“Trust Account”) and invested in United States government treasury bills, notes or bonds having a maturity of 180 days or less or in money market funds meeting the applicable conditions under Rule 2a-7 promulgated under the Investment Company Act of 1940, as amended, until the earlier of the consummation of its first Business Combination and the Company’s failure to consummate a Business Combination within the prescribed time.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The remaining net proceeds (not held in the Trust Account) may be used to pay for business, legal and accounting due diligence on prospective acquisitions and continuing general and administrative expenses. The amount of proceeds not held in trust will remain constant at approximately $525,000 even if the over-allotment is exercised. In addition, (i) interest income earned on the funds in the Trust Account may be released to the Company to pay its income or other tax obligations and (ii) any remaining interest earned on the funds in the Trust Account may be released to the Company for its working capital requirements. With these exceptions, expenses incurred by the Company may be paid prior to a Business Combination only from the net proceeds of the Proposed Public Offering not held in the Trust Account (estimated to initially be $525,000); provided, however, that in order to meet its working capital needs following the consummation of the Proposed Public Offering, the Company’s Initial Stockholders,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Plan of Business Operations and Going Concern Consideration </w:t>
      </w:r>
      <w:r>
        <w:rPr>
          <w:rFonts w:ascii="Arial" w:cs="Arial" w:eastAsia="Arial" w:hAnsi="Arial"/>
          <w:sz w:val="18"/>
          <w:szCs w:val="18"/>
          <w:color w:val="auto"/>
        </w:rPr>
        <w:t>(cont.)</w:t>
      </w:r>
    </w:p>
    <w:p>
      <w:pPr>
        <w:spacing w:after="0" w:line="229"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taxes then due but not yet paid, or provide stockholders with the opportunity to sell their shares to the Company by means of a tender offer for an amount equal to their pro rata share of the aggregate amount then on deposit in the Trust Account, less any taxes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 seeking conversion rights with respect to 20% or more of the common shares sold in the Proposed Public Offering. Accordingly, all shares purchased by a holder in excess of 20% of the shares sold in the Proposed Public Offering will not be converted to cash. In connection with any stockholder vote required to approve any Business Combination, the Initial Stockholders will agree (i) to vote any of its respective shares, including the common shares sold to the Initial Stockholders in connection with the organization of the Company (the “Initial Shares”), common shares included in the Private Units to be sold in the Private Placement, and any common shares which were initially issued in connection with the Proposed Public Offering, whether acquired in or after the effective date of the Proposed Public Offering, in favor of the initial Business Combination and (ii) not to convert such respective shares into a pro rata portion of the Trust Account or seek to sell their shares in connection with any tender offer the Company engages in.</w:t>
      </w:r>
    </w:p>
    <w:p>
      <w:pPr>
        <w:spacing w:after="0" w:line="16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Pursuant to the Company’s Certificate of Incorporation to be in effect upon consummation of the Proposed Public Offering, if the Company is unable to complete its initial Business Combination within 18 months from the date of the Proposed Public Offering (or 21 months from the closing of this offering if we have executed a letter of intent or definitive agreement for a business combination within 18 months from the closing of this offering but have not completed such business combination with the 18-month period),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 If the Company is unable to consummate an initial Business Combination and is forced to redeem 100% of the outstanding public shares for a pro rata portion of the funds held in the Trust Account, each holder will receive a pro rata portion of the amount then in the Trust Account. Holders of warrants will receive no proceeds in connection with the liquidation. The Initial Stockholders and the holders of Private Units will not participate in any redemption distribution with respect to their initial shares and Private Units, including the common stock included in the Private Units.</w:t>
      </w:r>
    </w:p>
    <w:p>
      <w:pPr>
        <w:spacing w:after="0" w:line="17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insiders have agreed to pay the funds necessary to complete such liquidation (currently anticipated to be no more than $15,000) and have agreed not to seek repayment of such expenses.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225"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At June 30, 2016, the Company had $273 in cash and a working capital deficit of $186,447. Further, the Company has incurred, and expects to continue to incur, significant costs in pursuit of its financing and acquisition plans. These conditions raise substantial doubt about the Company’s ability to continue as a going concern. Management plans to address this uncertainty through the Proposed Public Offering as discussed in Note 3. There is no assurance that the Company’s plans to raise capital or to consummate a Business Combination will be successful or successful within the required time period. The financial statements do not include any adjustments that might result from the outcome of this uncertainty.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accompanying unaudited condensed financial statements are presented in U.S. dollars in conformity with accounting principles generally accepted in the United States of America (“U.S. GAAP”) and pursuant to the rules and regulations of the Securities and Exchange Commission (“SEC”) for interim financial information. Accordingly, they do not include all of the information and footnotes required by U.S. GAAP. In the opinion of management, all adjustments (consisting of normal accruals) considered for a fair presentation have been included. The Company has evaluated subsequent events through the issuance of these interim financial statements. Operating results for the six months ended June 30, 2016 are not necessarily indicative of the results that may be expected for the year ending December 31, 2016 or any other period. The accompanying condensed financial statements should be read in conjunction with the Company’s audited financial statements and notes thereto for the year ended December 31, 2015 and the period then ended.</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“Fair Value Measurements and Disclosures,” approximates the carrying amounts represented in the balance sheet, primarily due to their short-term nature.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Loss per share is computed by dividing net loss by the weighted-average number of shares of common stock outstanding during the period excluding shares of common stock subject to forfeiture. Weighted average shares was reduced for the effect of an aggregate of 187,500 shares of common stock that are subject to forfeiture if the over-allotment option is not exercised by the underwriters.</w:t>
      </w:r>
    </w:p>
    <w:p>
      <w:pPr>
        <w:spacing w:after="0" w:line="187"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At June 30, 2016, the Company did not have any dilutive securities and other contracts that could, potentially, be exercised or converted into common stock and then share in the earnings of the Company. As a result, diluted loss per share is the same as basic loss per share for the period presented.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w:t>
      </w:r>
    </w:p>
    <w:p>
      <w:pPr>
        <w:spacing w:after="0" w:line="22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2015 tax year, which will be the only period subject to examination. The Company believes that its income tax positions and deductions would be sustained on audit and does not anticipate any adjustments that would result in a material change to its financial position.</w:t>
      </w:r>
    </w:p>
    <w:p>
      <w:pPr>
        <w:spacing w:after="0" w:line="180"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The Company’s policy for recording interest and penalties associated with audits is to record such expense as a component of income tax expense. There were no amounts accrued for penalties or interest as of or during the period from January 1, 2016 through June 30, 2016. Management is currently unaware of any issues under review that could result in significant payments, accruals or material deviations from its position.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was deemed to be immaterial as of June 30, 2016.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Company’s management reviewed all material events that have occurred after the balance sheet date through July 22, 2016, the date which these financial statements were available to be issued.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22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The Proposed Public Offering calls for the Company to offer for public sale 5,000,000 Units at a proposed offering price of $10.00 per Unit (plus up to an additional 750,000 Units solely to cover over-allotments, if any, pursuant to a 45 day over-allotment option granted to the underwriter). Each Unit consists of one share of common stock in the Company, and one Warrant (“Warrant”). Each Warrant entitles the holder to purchase one share of common stock at a price of $12.00 per share commencing on the later of 30 days after the Company’s completion of its initial Business Combination or 12 months from the effective date of the registration statement relating to the Proposed Public Offering,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Proposed Public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Deferred Offering Costs</w:t>
      </w:r>
    </w:p>
    <w:p>
      <w:pPr>
        <w:spacing w:after="0" w:line="229"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Deferred offering costs consist principally of legal, underwriting fees and other costs incurred through the balance sheet date that are directly related to the Proposed Public Offering and that will be charged to stockholder’s equity upon the receipt of the capital raised. Should the Proposed Public Offering prove to be unsuccessful, these deferred costs as well as additional expenses to be incurred will be charged to operations. As of June 30, 2016 and December 31, 2015, deferred offering costs were $193,957 and $178,957, respectively.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Notes Payable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Note Payable Related Party</w:t>
      </w:r>
    </w:p>
    <w:p>
      <w:pPr>
        <w:spacing w:after="0" w:line="225"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Company issued a $131,720 principal amount unsecured promissory note to an affiliate of the Company’s executive officers. The note is non-interest bearing and payable on the earlier of (i) the consummation of the Proposed Public Offering or (ii) the date on which the Company determines not to proceed with the Proposed Public Offering. Due to the short-term nature of the note, the fair value of the note approximates the carrying amount.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Note Payable</w:t>
      </w:r>
    </w:p>
    <w:p>
      <w:pPr>
        <w:spacing w:after="0" w:line="225"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On July 1, 2015, the Company issued a $55,000 principal amount unsecured promissory note. The note is non-interest bearing and payable on the earlier of (i) the consummation of the Proposed Public Offering or (ii) the date on which the Company determines not to proceed with the Proposed Public Offering. Due to the short-term nature of the note, the fair value of the note approximates the carrying amount.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Company will enter into an agreement with the underwriters of the Proposed Public Offering (“Underwriting Agreement”). The terms of the Proposed Public Offering are set forth in a non-binding letter of intent that is merely a statement of intent and is subject to change and further negotiation between the parties and may be adjusted prior to the execution of the Underwriting Agreement. The Underwriting Agreement will require the Company to pay an underwriting discount of 3.0% of the gross proceeds of the Proposed Public Offering as an underwriting discount and a deferred underwriting discount of up to 2.0% for an aggregate underwriting discount of 5.0% of the gross proceeds of the Proposed Public Offering, in each case as to be set forth in the Underwriting Agreement. The Company will pay the deferred underwriting fee at the closing of the Business Combination. In July 2016, the underwriters also purchased an interest in M SPAC Holdings I LLC, an entity controlled by the Company’s insiders, which entitles it to the beneficial interest in an aggregate of 61,607 insider shares.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paid $50,000 as an advance against out of pocket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Units</w:t>
      </w:r>
    </w:p>
    <w:p>
      <w:pPr>
        <w:spacing w:after="0" w:line="22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Initial Stockholders have committed to purchase an aggregate of 402,500 Private Units at $10.00 per Private Unit. The Initial Stockholders have also agreed that if the over-allotment option is exercised by the underwriters, they will purchase from the Company at a price of $10.00 per Private Unit up to an additional 45,000 Private Units pro rata with the amount of the over-allotment option exercised so that at least $10.30 per share sold to the public in the Proposed Public Offering is held in the Trust Account regardless of whether the over-allotment option is exercised in full or part.</w:t>
      </w:r>
    </w:p>
    <w:p>
      <w:pPr>
        <w:spacing w:after="0" w:line="193"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Private Units are identical to the Units sold in the Proposed Public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Option</w:t>
      </w:r>
    </w:p>
    <w:p>
      <w:pPr>
        <w:spacing w:after="0" w:line="225"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The Company has agreed to sell to the underwriters, for $100, a unit purchase option to purchase up to a total of 500,000 units exercisable at $12.00 per unit (or an aggregate exercise price of $6,000,000) commencing on the later of the consummation of a Business Combination and one year from the effective date of the registration statement relating to the Proposed Public Offering. The unit purchase option expires five years from the effective date of the registration statement relating to the Proposed Public Offering. The units issuable upon exercise of this option are identical to the Units being offered in the Proposed Public Offering. The Company has agreed to grant to the holders of the unit purchase option, demand and “piggy back” registration rights for periods of five and seven years, respectively, from the effective date of this Proposed Public Offering, including securities directly and indirectly issuable upon exercise of the unit purchase option.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117" w:name="page118"/>
    <w:bookmarkEnd w:id="117"/>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w:t>
      </w:r>
      <w:r>
        <w:rPr>
          <w:rFonts w:ascii="Arial" w:cs="Arial" w:eastAsia="Arial" w:hAnsi="Arial"/>
          <w:sz w:val="18"/>
          <w:szCs w:val="18"/>
          <w:color w:val="auto"/>
        </w:rPr>
        <w:t>(cont.)</w:t>
      </w:r>
    </w:p>
    <w:p>
      <w:pPr>
        <w:spacing w:after="0" w:line="229"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Company intends to account for the fair value of the unit purchase option, inclusive of the receipt of a $100 cash payment, as an expense of the Proposed Public Offering resulting in a charge directly to stockholders’ equity. The Company estimates that the fair value of this unit purchase option is approximately $4,486,000 (or $8.97 per unit) using a Black-Scholes option-pricing model. The fair value of the unit purchase option to be granted to the placement agent is estimated as of the date of grant using the following assumptions: (1) expected volatility of 149%, (2) risk-free interest rate of 1.01%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22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Company, commencing on the effective date of the registration statement relating to the Proposed Public Offering, has agreed to pay an affiliate of the Company’s executive officers a monthly fee of $10,000 for general and administrative services.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Initial Stockholders will be entitled to registration rights with respect to their initial shares and the purchasers of the Private Units will be entitled to registration rights with respect to the Private Units (and underlying securities), pursuant to an agreement to be signed prior to or on the effective date of the Proposed Public Offering.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Stockholder’s Equity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authorized to issue 50,000,000 shares of common stock with a par value of $0.001 per share.</w:t>
      </w:r>
    </w:p>
    <w:p>
      <w:pPr>
        <w:spacing w:after="0" w:line="24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On April 23, 2015, 1,437,500 shares of the Company’s common stock were sold to the Initial Stockholders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w:t>
      </w:r>
    </w:p>
    <w:p>
      <w:pPr>
        <w:spacing w:after="0" w:line="16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21 months, as applicable),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franchise and income taxes,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w:t>
      </w:r>
    </w:p>
    <w:p>
      <w:pPr>
        <w:sectPr>
          <w:pgSz w:w="11900" w:h="16924" w:orient="portrait"/>
          <w:cols w:equalWidth="0" w:num="1">
            <w:col w:w="9019"/>
          </w:cols>
          <w:pgMar w:left="1440" w:top="688" w:right="1440" w:bottom="0" w:gutter="0" w:footer="0" w:header="0"/>
        </w:sectPr>
      </w:pPr>
    </w:p>
    <w:bookmarkStart w:id="118" w:name="page119"/>
    <w:bookmarkEnd w:id="118"/>
    <w:p>
      <w:pPr>
        <w:jc w:val="both"/>
        <w:ind w:left="460" w:right="459"/>
        <w:spacing w:after="0" w:line="279" w:lineRule="auto"/>
        <w:rPr>
          <w:sz w:val="20"/>
          <w:szCs w:val="20"/>
          <w:color w:val="auto"/>
        </w:rPr>
      </w:pPr>
      <w:r>
        <w:rPr>
          <w:rFonts w:ascii="Arial" w:cs="Arial" w:eastAsia="Arial" w:hAnsi="Arial"/>
          <w:sz w:val="17"/>
          <w:szCs w:val="17"/>
          <w:color w:val="auto"/>
        </w:rPr>
        <w:t>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9" w:name="page120"/>
    <w:bookmarkEnd w:id="119"/>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448945</wp:posOffset>
            </wp:positionV>
            <wp:extent cx="514540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page">
              <wp:posOffset>1212215</wp:posOffset>
            </wp:positionH>
            <wp:positionV relativeFrom="page">
              <wp:posOffset>492125</wp:posOffset>
            </wp:positionV>
            <wp:extent cx="514540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5405" cy="260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b w:val="1"/>
          <w:bCs w:val="1"/>
          <w:color w:val="auto"/>
        </w:rPr>
        <w:t>Until __________, 2016 (25 days after the date of this prospectus), all dealers that buy, sell or trade our</w:t>
      </w:r>
    </w:p>
    <w:p>
      <w:pPr>
        <w:spacing w:after="0" w:line="5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b w:val="1"/>
          <w:bCs w:val="1"/>
          <w:color w:val="auto"/>
        </w:rPr>
        <w:t>ordinary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50"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$50,000,000</w:t>
      </w:r>
    </w:p>
    <w:p>
      <w:pPr>
        <w:jc w:val="center"/>
        <w:spacing w:after="0" w:line="180" w:lineRule="auto"/>
        <w:rPr>
          <w:sz w:val="20"/>
          <w:szCs w:val="20"/>
          <w:color w:val="auto"/>
        </w:rPr>
      </w:pPr>
      <w:r>
        <w:rPr>
          <w:rFonts w:ascii="Arial" w:cs="Arial" w:eastAsia="Arial" w:hAnsi="Arial"/>
          <w:sz w:val="25"/>
          <w:szCs w:val="25"/>
          <w:b w:val="1"/>
          <w:bCs w:val="1"/>
          <w:color w:val="auto"/>
        </w:rPr>
        <w:t>M I Acquisitions, Inc.</w:t>
      </w:r>
    </w:p>
    <w:p>
      <w:pPr>
        <w:jc w:val="center"/>
        <w:spacing w:after="0"/>
        <w:rPr>
          <w:sz w:val="20"/>
          <w:szCs w:val="20"/>
          <w:color w:val="auto"/>
        </w:rPr>
      </w:pPr>
      <w:r>
        <w:rPr>
          <w:rFonts w:ascii="Arial" w:cs="Arial" w:eastAsia="Arial" w:hAnsi="Arial"/>
          <w:sz w:val="29"/>
          <w:szCs w:val="29"/>
          <w:b w:val="1"/>
          <w:bCs w:val="1"/>
          <w:color w:val="auto"/>
        </w:rPr>
        <w:t>5,000,000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w:t>
      </w:r>
    </w:p>
    <w:p>
      <w:pPr>
        <w:spacing w:after="0" w:line="5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640" w:type="dxa"/>
            <w:vAlign w:val="bottom"/>
          </w:tcPr>
          <w:p>
            <w:pPr>
              <w:spacing w:after="0"/>
              <w:rPr>
                <w:sz w:val="20"/>
                <w:szCs w:val="20"/>
                <w:color w:val="auto"/>
              </w:rPr>
            </w:pPr>
            <w:r>
              <w:rPr>
                <w:rFonts w:ascii="Arial" w:cs="Arial" w:eastAsia="Arial" w:hAnsi="Arial"/>
                <w:sz w:val="18"/>
                <w:szCs w:val="18"/>
                <w:b w:val="1"/>
                <w:bCs w:val="1"/>
                <w:i w:val="1"/>
                <w:iCs w:val="1"/>
                <w:color w:val="auto"/>
              </w:rPr>
              <w:t>Sole Book-Running Manager</w:t>
            </w:r>
          </w:p>
        </w:tc>
        <w:tc>
          <w:tcPr>
            <w:tcW w:w="44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Co-Manager</w:t>
            </w:r>
          </w:p>
        </w:tc>
      </w:tr>
      <w:tr>
        <w:trPr>
          <w:trHeight w:val="329"/>
        </w:trPr>
        <w:tc>
          <w:tcPr>
            <w:tcW w:w="3640" w:type="dxa"/>
            <w:vAlign w:val="bottom"/>
          </w:tcPr>
          <w:p>
            <w:pPr>
              <w:spacing w:after="0"/>
              <w:rPr>
                <w:sz w:val="20"/>
                <w:szCs w:val="20"/>
                <w:color w:val="auto"/>
              </w:rPr>
            </w:pPr>
            <w:r>
              <w:rPr>
                <w:rFonts w:ascii="Arial" w:cs="Arial" w:eastAsia="Arial" w:hAnsi="Arial"/>
                <w:sz w:val="25"/>
                <w:szCs w:val="25"/>
                <w:b w:val="1"/>
                <w:bCs w:val="1"/>
                <w:color w:val="auto"/>
              </w:rPr>
              <w:t>Chardan Capital Markets, LLC</w:t>
            </w:r>
          </w:p>
        </w:tc>
        <w:tc>
          <w:tcPr>
            <w:tcW w:w="4480" w:type="dxa"/>
            <w:vAlign w:val="bottom"/>
          </w:tcPr>
          <w:p>
            <w:pPr>
              <w:jc w:val="right"/>
              <w:spacing w:after="0"/>
              <w:rPr>
                <w:sz w:val="20"/>
                <w:szCs w:val="20"/>
                <w:color w:val="auto"/>
              </w:rPr>
            </w:pPr>
            <w:r>
              <w:rPr>
                <w:rFonts w:ascii="Arial" w:cs="Arial" w:eastAsia="Arial" w:hAnsi="Arial"/>
                <w:sz w:val="25"/>
                <w:szCs w:val="25"/>
                <w:b w:val="1"/>
                <w:bCs w:val="1"/>
                <w:color w:val="auto"/>
              </w:rPr>
              <w:t>Maxim Group LLC</w:t>
            </w:r>
          </w:p>
        </w:tc>
      </w:tr>
      <w:tr>
        <w:trPr>
          <w:trHeight w:val="779"/>
        </w:trPr>
        <w:tc>
          <w:tcPr>
            <w:tcW w:w="3640" w:type="dxa"/>
            <w:vAlign w:val="bottom"/>
          </w:tcPr>
          <w:p>
            <w:pPr>
              <w:spacing w:after="0"/>
              <w:rPr>
                <w:sz w:val="24"/>
                <w:szCs w:val="24"/>
                <w:color w:val="auto"/>
              </w:rPr>
            </w:pPr>
          </w:p>
        </w:tc>
        <w:tc>
          <w:tcPr>
            <w:tcW w:w="4480" w:type="dxa"/>
            <w:vAlign w:val="bottom"/>
          </w:tcPr>
          <w:p>
            <w:pPr>
              <w:jc w:val="right"/>
              <w:ind w:right="3738"/>
              <w:spacing w:after="0"/>
              <w:rPr>
                <w:sz w:val="20"/>
                <w:szCs w:val="20"/>
                <w:color w:val="auto"/>
              </w:rPr>
            </w:pPr>
            <w:r>
              <w:rPr>
                <w:rFonts w:ascii="Arial" w:cs="Arial" w:eastAsia="Arial" w:hAnsi="Arial"/>
                <w:sz w:val="18"/>
                <w:szCs w:val="18"/>
                <w:color w:val="auto"/>
              </w:rPr>
              <w:t>, 2016</w:t>
            </w:r>
          </w:p>
        </w:tc>
      </w:tr>
      <w:tr>
        <w:trPr>
          <w:trHeight w:val="588"/>
        </w:trPr>
        <w:tc>
          <w:tcPr>
            <w:tcW w:w="36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8"/>
        </w:trPr>
        <w:tc>
          <w:tcPr>
            <w:tcW w:w="364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r>
      <w:tr>
        <w:trPr>
          <w:trHeight w:val="392"/>
        </w:trPr>
        <w:tc>
          <w:tcPr>
            <w:tcW w:w="36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89"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Trustees fee</w:t>
            </w:r>
          </w:p>
        </w:tc>
        <w:tc>
          <w:tcPr>
            <w:tcW w:w="2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SEC Registration fees</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13,947</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FINRA filing fee</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21,275</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53,500</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Nasdaq listing fees</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305,000</w:t>
            </w:r>
          </w:p>
        </w:tc>
        <w:tc>
          <w:tcPr>
            <w:tcW w:w="0" w:type="dxa"/>
            <w:vAlign w:val="bottom"/>
          </w:tcPr>
          <w:p>
            <w:pPr>
              <w:spacing w:after="0"/>
              <w:rPr>
                <w:sz w:val="1"/>
                <w:szCs w:val="1"/>
                <w:color w:val="auto"/>
              </w:rPr>
            </w:pPr>
          </w:p>
        </w:tc>
      </w:tr>
      <w:tr>
        <w:trPr>
          <w:trHeight w:val="297"/>
        </w:trPr>
        <w:tc>
          <w:tcPr>
            <w:tcW w:w="4660" w:type="dxa"/>
            <w:vAlign w:val="bottom"/>
          </w:tcPr>
          <w:p>
            <w:pPr>
              <w:spacing w:after="0"/>
              <w:rPr>
                <w:sz w:val="20"/>
                <w:szCs w:val="20"/>
                <w:color w:val="auto"/>
              </w:rPr>
            </w:pPr>
            <w:r>
              <w:rPr>
                <w:rFonts w:ascii="Arial" w:cs="Arial" w:eastAsia="Arial" w:hAnsi="Arial"/>
                <w:sz w:val="18"/>
                <w:szCs w:val="18"/>
                <w:color w:val="auto"/>
              </w:rPr>
              <w:t>Miscellaneous</w:t>
            </w:r>
            <w:r>
              <w:rPr>
                <w:rFonts w:ascii="Arial" w:cs="Arial" w:eastAsia="Arial" w:hAnsi="Arial"/>
                <w:sz w:val="8"/>
                <w:szCs w:val="8"/>
                <w:color w:val="auto"/>
              </w:rPr>
              <w:t>(1)</w:t>
            </w:r>
          </w:p>
        </w:tc>
        <w:tc>
          <w:tcPr>
            <w:tcW w:w="2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480"/>
        </w:trPr>
        <w:tc>
          <w:tcPr>
            <w:tcW w:w="4660" w:type="dxa"/>
            <w:vAlign w:val="bottom"/>
          </w:tcPr>
          <w:p>
            <w:pPr>
              <w:ind w:left="180"/>
              <w:spacing w:after="0"/>
              <w:rPr>
                <w:sz w:val="20"/>
                <w:szCs w:val="20"/>
                <w:color w:val="auto"/>
              </w:rPr>
            </w:pPr>
            <w:r>
              <w:rPr>
                <w:rFonts w:ascii="Arial" w:cs="Arial" w:eastAsia="Arial" w:hAnsi="Arial"/>
                <w:sz w:val="18"/>
                <w:szCs w:val="18"/>
                <w:color w:val="auto"/>
              </w:rPr>
              <w:t>Total</w:t>
            </w:r>
          </w:p>
        </w:tc>
        <w:tc>
          <w:tcPr>
            <w:tcW w:w="2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vMerge w:val="continue"/>
          </w:tcPr>
          <w:p>
            <w:pPr>
              <w:spacing w:after="0"/>
              <w:rPr>
                <w:sz w:val="17"/>
                <w:szCs w:val="17"/>
                <w:color w:val="auto"/>
              </w:rPr>
            </w:pPr>
          </w:p>
        </w:tc>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780" w:right="459" w:hanging="318"/>
        <w:spacing w:after="0" w:line="255" w:lineRule="auto"/>
        <w:tabs>
          <w:tab w:leader="none" w:pos="80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amount represents additional expenses that may be incurred by the Company in connection with the offering and over and above those specifically listed above, including liability insurance, distribution and mailing costs.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w:t>
      </w:r>
    </w:p>
    <w:p>
      <w:pPr>
        <w:spacing w:after="0" w:line="14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Section 145 of the Delaware General Corporation Law concerning indemnification of officers, directors, employees and agents is set forth below.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185" w:lineRule="exact"/>
        <w:rPr>
          <w:sz w:val="20"/>
          <w:szCs w:val="20"/>
          <w:color w:val="auto"/>
        </w:rPr>
      </w:pPr>
    </w:p>
    <w:p>
      <w:pPr>
        <w:jc w:val="both"/>
        <w:ind w:left="1120" w:right="459" w:hanging="333"/>
        <w:spacing w:after="0" w:line="286" w:lineRule="auto"/>
        <w:tabs>
          <w:tab w:leader="none" w:pos="1137"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60" w:lineRule="exact"/>
        <w:rPr>
          <w:rFonts w:ascii="Arial" w:cs="Arial" w:eastAsia="Arial" w:hAnsi="Arial"/>
          <w:sz w:val="16"/>
          <w:szCs w:val="16"/>
          <w:color w:val="auto"/>
        </w:rPr>
      </w:pPr>
    </w:p>
    <w:p>
      <w:pPr>
        <w:jc w:val="both"/>
        <w:ind w:left="1120" w:right="459" w:hanging="333"/>
        <w:spacing w:after="0" w:line="287" w:lineRule="auto"/>
        <w:tabs>
          <w:tab w:leader="none" w:pos="1147"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1" w:name="page122"/>
    <w:bookmarkEnd w:id="121"/>
    <w:p>
      <w:pPr>
        <w:ind w:left="1120" w:right="459"/>
        <w:spacing w:after="0" w:line="277" w:lineRule="auto"/>
        <w:rPr>
          <w:sz w:val="20"/>
          <w:szCs w:val="20"/>
          <w:color w:val="auto"/>
        </w:rPr>
      </w:pPr>
      <w:r>
        <w:rPr>
          <w:rFonts w:ascii="Arial" w:cs="Arial" w:eastAsia="Arial" w:hAnsi="Arial"/>
          <w:sz w:val="18"/>
          <w:szCs w:val="18"/>
          <w:color w:val="auto"/>
        </w:rPr>
        <w:t>of all the circumstances of the case, such person is fairly and reasonably entitled to indemnity for such expenses which the Court of Chancery or such other court shall deem proper.</w:t>
      </w:r>
    </w:p>
    <w:p>
      <w:pPr>
        <w:spacing w:after="0" w:line="130" w:lineRule="exact"/>
        <w:rPr>
          <w:sz w:val="20"/>
          <w:szCs w:val="20"/>
          <w:color w:val="auto"/>
        </w:rPr>
      </w:pPr>
    </w:p>
    <w:p>
      <w:pPr>
        <w:jc w:val="both"/>
        <w:ind w:left="1120" w:right="459" w:hanging="333"/>
        <w:spacing w:after="0" w:line="257" w:lineRule="auto"/>
        <w:tabs>
          <w:tab w:leader="none" w:pos="115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61" w:lineRule="exact"/>
        <w:rPr>
          <w:rFonts w:ascii="Arial" w:cs="Arial" w:eastAsia="Arial" w:hAnsi="Arial"/>
          <w:sz w:val="18"/>
          <w:szCs w:val="18"/>
          <w:color w:val="auto"/>
        </w:rPr>
      </w:pPr>
    </w:p>
    <w:p>
      <w:pPr>
        <w:jc w:val="both"/>
        <w:ind w:left="1120" w:right="459" w:hanging="333"/>
        <w:spacing w:after="0" w:line="286" w:lineRule="auto"/>
        <w:tabs>
          <w:tab w:leader="none" w:pos="1147"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1" w:lineRule="exact"/>
        <w:rPr>
          <w:rFonts w:ascii="Arial" w:cs="Arial" w:eastAsia="Arial" w:hAnsi="Arial"/>
          <w:sz w:val="16"/>
          <w:szCs w:val="16"/>
          <w:color w:val="auto"/>
        </w:rPr>
      </w:pPr>
    </w:p>
    <w:p>
      <w:pPr>
        <w:jc w:val="both"/>
        <w:ind w:left="1120" w:right="459"/>
        <w:spacing w:after="0" w:line="252" w:lineRule="auto"/>
        <w:rPr>
          <w:rFonts w:ascii="Arial" w:cs="Arial" w:eastAsia="Arial" w:hAnsi="Arial"/>
          <w:sz w:val="16"/>
          <w:szCs w:val="16"/>
          <w:color w:val="auto"/>
        </w:rPr>
      </w:pPr>
      <w:r>
        <w:rPr>
          <w:rFonts w:ascii="Arial" w:cs="Arial" w:eastAsia="Arial" w:hAnsi="Arial"/>
          <w:sz w:val="18"/>
          <w:szCs w:val="18"/>
          <w:color w:val="auto"/>
        </w:rPr>
        <w:t>(a)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53" w:lineRule="exact"/>
        <w:rPr>
          <w:rFonts w:ascii="Arial" w:cs="Arial" w:eastAsia="Arial" w:hAnsi="Arial"/>
          <w:sz w:val="16"/>
          <w:szCs w:val="16"/>
          <w:color w:val="auto"/>
        </w:rPr>
      </w:pPr>
    </w:p>
    <w:p>
      <w:pPr>
        <w:jc w:val="both"/>
        <w:ind w:left="1120" w:right="459" w:hanging="333"/>
        <w:spacing w:after="0" w:line="291" w:lineRule="auto"/>
        <w:tabs>
          <w:tab w:leader="none" w:pos="1124" w:val="left"/>
        </w:tabs>
        <w:numPr>
          <w:ilvl w:val="0"/>
          <w:numId w:val="65"/>
        </w:numPr>
        <w:rPr>
          <w:rFonts w:ascii="Arial" w:cs="Arial" w:eastAsia="Arial" w:hAnsi="Arial"/>
          <w:sz w:val="16"/>
          <w:szCs w:val="16"/>
          <w:color w:val="auto"/>
        </w:rPr>
      </w:pPr>
      <w:r>
        <w:rPr>
          <w:rFonts w:ascii="Arial" w:cs="Arial" w:eastAsia="Arial" w:hAnsi="Arial"/>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26" w:lineRule="exact"/>
        <w:rPr>
          <w:rFonts w:ascii="Arial" w:cs="Arial" w:eastAsia="Arial" w:hAnsi="Arial"/>
          <w:sz w:val="16"/>
          <w:szCs w:val="16"/>
          <w:color w:val="auto"/>
        </w:rPr>
      </w:pPr>
    </w:p>
    <w:p>
      <w:pPr>
        <w:jc w:val="both"/>
        <w:ind w:left="1120" w:right="459" w:hanging="333"/>
        <w:spacing w:after="0" w:line="269" w:lineRule="auto"/>
        <w:tabs>
          <w:tab w:leader="none" w:pos="1237"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55" w:lineRule="exact"/>
        <w:rPr>
          <w:rFonts w:ascii="Arial" w:cs="Arial" w:eastAsia="Arial" w:hAnsi="Arial"/>
          <w:sz w:val="17"/>
          <w:szCs w:val="17"/>
          <w:color w:val="auto"/>
        </w:rPr>
      </w:pPr>
    </w:p>
    <w:p>
      <w:pPr>
        <w:jc w:val="both"/>
        <w:ind w:left="1120" w:right="459" w:hanging="333"/>
        <w:spacing w:after="0" w:line="293" w:lineRule="auto"/>
        <w:tabs>
          <w:tab w:leader="none" w:pos="1134"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24" w:lineRule="exact"/>
        <w:rPr>
          <w:rFonts w:ascii="Arial" w:cs="Arial" w:eastAsia="Arial" w:hAnsi="Arial"/>
          <w:sz w:val="16"/>
          <w:szCs w:val="16"/>
          <w:color w:val="auto"/>
        </w:rPr>
      </w:pPr>
    </w:p>
    <w:p>
      <w:pPr>
        <w:jc w:val="both"/>
        <w:ind w:left="1120" w:right="459" w:hanging="333"/>
        <w:spacing w:after="0" w:line="270" w:lineRule="auto"/>
        <w:tabs>
          <w:tab w:leader="none" w:pos="1147" w:val="left"/>
        </w:tabs>
        <w:numPr>
          <w:ilvl w:val="0"/>
          <w:numId w:val="65"/>
        </w:numPr>
        <w:rPr>
          <w:rFonts w:ascii="Arial" w:cs="Arial" w:eastAsia="Arial" w:hAnsi="Arial"/>
          <w:sz w:val="17"/>
          <w:szCs w:val="17"/>
          <w:color w:val="auto"/>
        </w:rPr>
      </w:pPr>
      <w:r>
        <w:rPr>
          <w:rFonts w:ascii="Arial" w:cs="Arial" w:eastAsia="Arial" w:hAnsi="Arial"/>
          <w:sz w:val="17"/>
          <w:szCs w:val="17"/>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41" w:lineRule="exact"/>
        <w:rPr>
          <w:rFonts w:ascii="Arial" w:cs="Arial" w:eastAsia="Arial" w:hAnsi="Arial"/>
          <w:sz w:val="17"/>
          <w:szCs w:val="17"/>
          <w:color w:val="auto"/>
        </w:rPr>
      </w:pPr>
    </w:p>
    <w:p>
      <w:pPr>
        <w:jc w:val="both"/>
        <w:ind w:left="1120" w:right="459" w:hanging="333"/>
        <w:spacing w:after="0" w:line="253" w:lineRule="auto"/>
        <w:tabs>
          <w:tab w:leader="none" w:pos="1186"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sectPr>
      </w:pPr>
    </w:p>
    <w:bookmarkStart w:id="122" w:name="page123"/>
    <w:bookmarkEnd w:id="122"/>
    <w:p>
      <w:pPr>
        <w:jc w:val="both"/>
        <w:ind w:left="1120" w:right="459" w:hanging="333"/>
        <w:spacing w:after="0" w:line="259" w:lineRule="auto"/>
        <w:tabs>
          <w:tab w:leader="none" w:pos="118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59" w:lineRule="exact"/>
        <w:rPr>
          <w:rFonts w:ascii="Arial" w:cs="Arial" w:eastAsia="Arial" w:hAnsi="Arial"/>
          <w:sz w:val="18"/>
          <w:szCs w:val="18"/>
          <w:color w:val="auto"/>
        </w:rPr>
      </w:pPr>
    </w:p>
    <w:p>
      <w:pPr>
        <w:jc w:val="both"/>
        <w:ind w:left="1120" w:right="459" w:hanging="333"/>
        <w:spacing w:after="0" w:line="302" w:lineRule="auto"/>
        <w:tabs>
          <w:tab w:leader="none" w:pos="1147"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1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37"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In accordance with Section 102(b)(7) of the DGCL, our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unless they violated their duty of loyalty to the Company or its stockholders, acted in bad faith, knowingly or intentionally violated the law, authorized unlawful payments of dividends, unlawful stock purchases or unlawful redemptions, or derived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42"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 Any repeal or amendment of provisions of our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3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42"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5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23" w:name="page124"/>
    <w:bookmarkEnd w:id="123"/>
    <w:p>
      <w:pPr>
        <w:jc w:val="both"/>
        <w:ind w:left="460" w:right="459"/>
        <w:spacing w:after="0" w:line="270" w:lineRule="auto"/>
        <w:rPr>
          <w:sz w:val="20"/>
          <w:szCs w:val="20"/>
          <w:color w:val="auto"/>
        </w:rPr>
      </w:pPr>
      <w:r>
        <w:rPr>
          <w:rFonts w:ascii="Arial" w:cs="Arial" w:eastAsia="Arial" w:hAnsi="Arial"/>
          <w:sz w:val="17"/>
          <w:szCs w:val="17"/>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55"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52"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2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will enter into indemnity agreements with each of our officers and directors a form of which is filed as Exhibit 10.6 to this Registration Statement. These agreements will require us to indemnify these individuals to the fullest extent permitted under Delaware law and to advance expenses incurred as a result of any proceeding against them as to which they could be indemnified.</w:t>
      </w:r>
    </w:p>
    <w:p>
      <w:pPr>
        <w:spacing w:after="0" w:line="160"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8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 April 2015, M SPAC LLC purchased an aggregate of 1,437,500 shares of our common stock for an aggregate purchase price of $25,000, or approximately $.02 per share. On July 20, 2016, M SPAC LLC sold back 494,480 shares to us at a price equal to the amount paid for such shares. We subsequently sold an aggregate of 494,480 shares of our common stock for $8,599.65, or approximately $.02 per share, to M SPAC Holdings I LLC and M SPAC Holdings II LLC, each of which is controlled by Joshua Sason. Such shares were issued in connection with our organization pursuant to the exemption from registration contained in Section 4(a)(2) of the Securities Act as they were sold to accredited investors.</w:t>
      </w:r>
    </w:p>
    <w:p>
      <w:pPr>
        <w:spacing w:after="0" w:line="137"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In addition, M SPAC LLC, M SPAC Holdings I LLC and M SPAC Holdings II LLC, entities controlled by Joshua Sason, our Chief Executive Officer, (and/or its designees) have committed to purchase an aggregate of 402,500 private units from us on a private placement basis simultaneously with the consummation of this offering, for an aggregate purchase price of $4,025,000. These purchases will take place on a private placement basis simultaneously with the consummation of our initial public offering. M SPAC LLC, M SPAC Holdings I LLC and M SPAC Holdings II LLC have also agreed that if the over-allotment option is exercised by the underwriters in full or in part, they will purchase from us at a price of $10.00 per unit the number of private units (up to a maximum of 45,000 private units) that is necessary to maintain in the trust account an amount equal to $10.30 per share sold to the public in this offering. These purchases will be made pursuant to the exemption from registration contained in Section 4(a)(2) of the Securities Act.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attached hereto is incorporated herein by reference.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24" w:name="page125"/>
    <w:bookmarkEnd w:id="124"/>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189" w:lineRule="exact"/>
        <w:rPr>
          <w:sz w:val="20"/>
          <w:szCs w:val="20"/>
          <w:color w:val="auto"/>
        </w:rPr>
      </w:pPr>
    </w:p>
    <w:p>
      <w:pPr>
        <w:ind w:left="1100" w:hanging="313"/>
        <w:spacing w:after="0"/>
        <w:tabs>
          <w:tab w:leader="none" w:pos="11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98" w:lineRule="exact"/>
        <w:rPr>
          <w:rFonts w:ascii="Arial" w:cs="Arial" w:eastAsia="Arial" w:hAnsi="Arial"/>
          <w:sz w:val="18"/>
          <w:szCs w:val="18"/>
          <w:color w:val="auto"/>
        </w:rPr>
      </w:pPr>
    </w:p>
    <w:p>
      <w:pPr>
        <w:ind w:left="1460" w:right="459" w:hanging="331"/>
        <w:spacing w:after="0" w:line="277" w:lineRule="auto"/>
        <w:tabs>
          <w:tab w:leader="none" w:pos="1474" w:val="left"/>
        </w:tabs>
        <w:numPr>
          <w:ilvl w:val="1"/>
          <w:numId w:val="6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29" w:lineRule="exact"/>
        <w:rPr>
          <w:rFonts w:ascii="Arial" w:cs="Arial" w:eastAsia="Arial" w:hAnsi="Arial"/>
          <w:sz w:val="18"/>
          <w:szCs w:val="18"/>
          <w:color w:val="auto"/>
        </w:rPr>
      </w:pPr>
    </w:p>
    <w:p>
      <w:pPr>
        <w:ind w:left="1800" w:hanging="329"/>
        <w:spacing w:after="0"/>
        <w:tabs>
          <w:tab w:leader="none" w:pos="1800" w:val="left"/>
        </w:tabs>
        <w:numPr>
          <w:ilvl w:val="2"/>
          <w:numId w:val="6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84" w:lineRule="exact"/>
        <w:rPr>
          <w:rFonts w:ascii="Arial" w:cs="Arial" w:eastAsia="Arial" w:hAnsi="Arial"/>
          <w:sz w:val="18"/>
          <w:szCs w:val="18"/>
          <w:color w:val="auto"/>
        </w:rPr>
      </w:pPr>
    </w:p>
    <w:p>
      <w:pPr>
        <w:jc w:val="both"/>
        <w:ind w:left="1800" w:right="459" w:hanging="329"/>
        <w:spacing w:after="0" w:line="288" w:lineRule="auto"/>
        <w:tabs>
          <w:tab w:leader="none" w:pos="2001" w:val="left"/>
        </w:tabs>
        <w:numPr>
          <w:ilvl w:val="2"/>
          <w:numId w:val="6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42" w:lineRule="exact"/>
        <w:rPr>
          <w:rFonts w:ascii="Arial" w:cs="Arial" w:eastAsia="Arial" w:hAnsi="Arial"/>
          <w:sz w:val="16"/>
          <w:szCs w:val="16"/>
          <w:color w:val="auto"/>
        </w:rPr>
      </w:pPr>
    </w:p>
    <w:p>
      <w:pPr>
        <w:jc w:val="both"/>
        <w:ind w:left="1800" w:right="459" w:hanging="329"/>
        <w:spacing w:after="0" w:line="264" w:lineRule="auto"/>
        <w:tabs>
          <w:tab w:leader="none" w:pos="1878" w:val="left"/>
        </w:tabs>
        <w:numPr>
          <w:ilvl w:val="2"/>
          <w:numId w:val="6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40" w:lineRule="exact"/>
        <w:rPr>
          <w:rFonts w:ascii="Arial" w:cs="Arial" w:eastAsia="Arial" w:hAnsi="Arial"/>
          <w:sz w:val="18"/>
          <w:szCs w:val="18"/>
          <w:color w:val="auto"/>
        </w:rPr>
      </w:pPr>
    </w:p>
    <w:p>
      <w:pPr>
        <w:jc w:val="both"/>
        <w:ind w:left="1460" w:right="459" w:hanging="331"/>
        <w:spacing w:after="0" w:line="259" w:lineRule="auto"/>
        <w:tabs>
          <w:tab w:leader="none" w:pos="14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46" w:lineRule="exact"/>
        <w:rPr>
          <w:rFonts w:ascii="Arial" w:cs="Arial" w:eastAsia="Arial" w:hAnsi="Arial"/>
          <w:sz w:val="18"/>
          <w:szCs w:val="18"/>
          <w:color w:val="auto"/>
        </w:rPr>
      </w:pPr>
    </w:p>
    <w:p>
      <w:pPr>
        <w:ind w:left="1460" w:right="459" w:hanging="331"/>
        <w:spacing w:after="0" w:line="277" w:lineRule="auto"/>
        <w:tabs>
          <w:tab w:leader="none" w:pos="1487" w:val="left"/>
        </w:tabs>
        <w:numPr>
          <w:ilvl w:val="1"/>
          <w:numId w:val="6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43" w:lineRule="exact"/>
        <w:rPr>
          <w:rFonts w:ascii="Arial" w:cs="Arial" w:eastAsia="Arial" w:hAnsi="Arial"/>
          <w:sz w:val="18"/>
          <w:szCs w:val="18"/>
          <w:color w:val="auto"/>
        </w:rPr>
      </w:pPr>
    </w:p>
    <w:p>
      <w:pPr>
        <w:jc w:val="both"/>
        <w:ind w:left="1460" w:right="459" w:hanging="331"/>
        <w:spacing w:after="0" w:line="255" w:lineRule="auto"/>
        <w:tabs>
          <w:tab w:leader="none" w:pos="1501"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3" w:lineRule="exact"/>
        <w:rPr>
          <w:sz w:val="20"/>
          <w:szCs w:val="20"/>
          <w:color w:val="auto"/>
        </w:rPr>
      </w:pPr>
    </w:p>
    <w:p>
      <w:pPr>
        <w:ind w:left="1800" w:right="459" w:hanging="329"/>
        <w:spacing w:after="0" w:line="277" w:lineRule="auto"/>
        <w:tabs>
          <w:tab w:leader="none" w:pos="1947"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29" w:lineRule="exact"/>
        <w:rPr>
          <w:rFonts w:ascii="Arial" w:cs="Arial" w:eastAsia="Arial" w:hAnsi="Arial"/>
          <w:sz w:val="18"/>
          <w:szCs w:val="18"/>
          <w:color w:val="auto"/>
        </w:rPr>
      </w:pPr>
    </w:p>
    <w:p>
      <w:pPr>
        <w:ind w:left="1800" w:right="459" w:hanging="329"/>
        <w:spacing w:after="0" w:line="277" w:lineRule="auto"/>
        <w:tabs>
          <w:tab w:leader="none" w:pos="1945"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43" w:lineRule="exact"/>
        <w:rPr>
          <w:rFonts w:ascii="Arial" w:cs="Arial" w:eastAsia="Arial" w:hAnsi="Arial"/>
          <w:sz w:val="18"/>
          <w:szCs w:val="18"/>
          <w:color w:val="auto"/>
        </w:rPr>
      </w:pPr>
    </w:p>
    <w:p>
      <w:pPr>
        <w:jc w:val="both"/>
        <w:ind w:left="1800" w:right="459" w:hanging="329"/>
        <w:spacing w:after="0" w:line="264" w:lineRule="auto"/>
        <w:tabs>
          <w:tab w:leader="none" w:pos="1836"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0" w:lineRule="exact"/>
        <w:rPr>
          <w:rFonts w:ascii="Arial" w:cs="Arial" w:eastAsia="Arial" w:hAnsi="Arial"/>
          <w:sz w:val="18"/>
          <w:szCs w:val="18"/>
          <w:color w:val="auto"/>
        </w:rPr>
      </w:pPr>
    </w:p>
    <w:p>
      <w:pPr>
        <w:ind w:left="1800" w:right="459" w:hanging="329"/>
        <w:spacing w:after="0" w:line="277" w:lineRule="auto"/>
        <w:tabs>
          <w:tab w:leader="none" w:pos="1826"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29" w:lineRule="exact"/>
        <w:rPr>
          <w:rFonts w:ascii="Arial" w:cs="Arial" w:eastAsia="Arial" w:hAnsi="Arial"/>
          <w:sz w:val="18"/>
          <w:szCs w:val="18"/>
          <w:color w:val="auto"/>
        </w:rPr>
      </w:pPr>
    </w:p>
    <w:p>
      <w:pPr>
        <w:jc w:val="both"/>
        <w:ind w:left="1460" w:right="459" w:hanging="331"/>
        <w:spacing w:after="0" w:line="287" w:lineRule="auto"/>
        <w:tabs>
          <w:tab w:leader="none" w:pos="1474"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5" w:name="page126"/>
    <w:bookmarkEnd w:id="125"/>
    <w:p>
      <w:pPr>
        <w:jc w:val="both"/>
        <w:ind w:left="1120" w:right="459" w:hanging="333"/>
        <w:spacing w:after="0" w:line="264" w:lineRule="auto"/>
        <w:tabs>
          <w:tab w:leader="none" w:pos="12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undersigned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54" w:lineRule="exact"/>
        <w:rPr>
          <w:rFonts w:ascii="Arial" w:cs="Arial" w:eastAsia="Arial" w:hAnsi="Arial"/>
          <w:sz w:val="18"/>
          <w:szCs w:val="18"/>
          <w:color w:val="auto"/>
        </w:rPr>
      </w:pPr>
    </w:p>
    <w:p>
      <w:pPr>
        <w:jc w:val="both"/>
        <w:ind w:left="1120" w:right="459" w:hanging="333"/>
        <w:spacing w:after="0" w:line="287" w:lineRule="auto"/>
        <w:tabs>
          <w:tab w:leader="none" w:pos="1137"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32" w:lineRule="exact"/>
        <w:rPr>
          <w:rFonts w:ascii="Arial" w:cs="Arial" w:eastAsia="Arial" w:hAnsi="Arial"/>
          <w:sz w:val="16"/>
          <w:szCs w:val="16"/>
          <w:color w:val="auto"/>
        </w:rPr>
      </w:pPr>
    </w:p>
    <w:p>
      <w:pPr>
        <w:ind w:left="1120" w:hanging="333"/>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84" w:lineRule="exact"/>
        <w:rPr>
          <w:rFonts w:ascii="Arial" w:cs="Arial" w:eastAsia="Arial" w:hAnsi="Arial"/>
          <w:sz w:val="18"/>
          <w:szCs w:val="18"/>
          <w:color w:val="auto"/>
        </w:rPr>
      </w:pPr>
    </w:p>
    <w:p>
      <w:pPr>
        <w:jc w:val="both"/>
        <w:ind w:left="1460" w:right="459" w:hanging="331"/>
        <w:spacing w:after="0" w:line="257" w:lineRule="auto"/>
        <w:tabs>
          <w:tab w:leader="none" w:pos="1555" w:val="left"/>
        </w:tabs>
        <w:numPr>
          <w:ilvl w:val="1"/>
          <w:numId w:val="70"/>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1" w:lineRule="exact"/>
        <w:rPr>
          <w:rFonts w:ascii="Arial" w:cs="Arial" w:eastAsia="Arial" w:hAnsi="Arial"/>
          <w:sz w:val="18"/>
          <w:szCs w:val="18"/>
          <w:color w:val="auto"/>
        </w:rPr>
      </w:pPr>
    </w:p>
    <w:p>
      <w:pPr>
        <w:jc w:val="both"/>
        <w:ind w:left="1460" w:right="459" w:hanging="331"/>
        <w:spacing w:after="0" w:line="259" w:lineRule="auto"/>
        <w:tabs>
          <w:tab w:leader="none" w:pos="1474" w:val="left"/>
        </w:tabs>
        <w:numPr>
          <w:ilvl w:val="1"/>
          <w:numId w:val="7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New York,</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State of New York, on the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July, 2016.</w:t>
      </w:r>
    </w:p>
    <w:p>
      <w:pPr>
        <w:spacing w:after="0" w:line="9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M I ACQUISITIONS, INC.</w:t>
      </w:r>
    </w:p>
    <w:p>
      <w:pPr>
        <w:spacing w:after="0" w:line="22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 /s/ Joshua Sason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-130810</wp:posOffset>
            </wp:positionV>
            <wp:extent cx="185229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8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Joshua Sason and Marc Manuel his true and lawful attorney-in-fact,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5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40" w:type="dxa"/>
            <w:vAlign w:val="bottom"/>
          </w:tcPr>
          <w:p>
            <w:pPr>
              <w:spacing w:after="0"/>
              <w:rPr>
                <w:sz w:val="20"/>
                <w:szCs w:val="20"/>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120" w:type="dxa"/>
            <w:vAlign w:val="bottom"/>
          </w:tcPr>
          <w:p>
            <w:pPr>
              <w:spacing w:after="0"/>
              <w:rPr>
                <w:sz w:val="20"/>
                <w:szCs w:val="20"/>
                <w:color w:val="auto"/>
              </w:rPr>
            </w:pP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Date</w:t>
            </w:r>
          </w:p>
        </w:tc>
      </w:tr>
      <w:tr>
        <w:trPr>
          <w:trHeight w:val="466"/>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Sason</w:t>
            </w:r>
          </w:p>
        </w:tc>
        <w:tc>
          <w:tcPr>
            <w:tcW w:w="1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Director</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July 25</w:t>
            </w:r>
            <w:r>
              <w:rPr>
                <w:rFonts w:ascii="Arial" w:cs="Arial" w:eastAsia="Arial" w:hAnsi="Arial"/>
                <w:sz w:val="30"/>
                <w:szCs w:val="30"/>
                <w:color w:val="auto"/>
                <w:vertAlign w:val="superscript"/>
              </w:rPr>
              <w:t>th</w:t>
            </w:r>
            <w:r>
              <w:rPr>
                <w:rFonts w:ascii="Arial" w:cs="Arial" w:eastAsia="Arial" w:hAnsi="Arial"/>
                <w:sz w:val="18"/>
                <w:szCs w:val="18"/>
                <w:color w:val="auto"/>
              </w:rPr>
              <w:t>, 2016</w:t>
            </w:r>
          </w:p>
        </w:tc>
      </w:tr>
      <w:tr>
        <w:trPr>
          <w:trHeight w:val="224"/>
        </w:trPr>
        <w:tc>
          <w:tcPr>
            <w:tcW w:w="1920" w:type="dxa"/>
            <w:vAlign w:val="bottom"/>
          </w:tcPr>
          <w:p>
            <w:pPr>
              <w:spacing w:after="0"/>
              <w:rPr>
                <w:sz w:val="20"/>
                <w:szCs w:val="20"/>
                <w:color w:val="auto"/>
              </w:rPr>
            </w:pPr>
            <w:r>
              <w:rPr>
                <w:rFonts w:ascii="Arial" w:cs="Arial" w:eastAsia="Arial" w:hAnsi="Arial"/>
                <w:sz w:val="18"/>
                <w:szCs w:val="18"/>
                <w:color w:val="auto"/>
              </w:rPr>
              <w:t>Joshua Sason</w:t>
            </w:r>
          </w:p>
        </w:tc>
        <w:tc>
          <w:tcPr>
            <w:tcW w:w="14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58"/>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Manuel</w:t>
            </w:r>
          </w:p>
        </w:tc>
        <w:tc>
          <w:tcPr>
            <w:tcW w:w="1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Chief Financial Officer and Director</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July 25</w:t>
            </w:r>
            <w:r>
              <w:rPr>
                <w:rFonts w:ascii="Arial" w:cs="Arial" w:eastAsia="Arial" w:hAnsi="Arial"/>
                <w:sz w:val="30"/>
                <w:szCs w:val="30"/>
                <w:color w:val="auto"/>
                <w:vertAlign w:val="superscript"/>
              </w:rPr>
              <w:t>th</w:t>
            </w:r>
            <w:r>
              <w:rPr>
                <w:rFonts w:ascii="Arial" w:cs="Arial" w:eastAsia="Arial" w:hAnsi="Arial"/>
                <w:sz w:val="18"/>
                <w:szCs w:val="18"/>
                <w:color w:val="auto"/>
              </w:rPr>
              <w:t>, 2016</w:t>
            </w:r>
          </w:p>
        </w:tc>
      </w:tr>
      <w:tr>
        <w:trPr>
          <w:trHeight w:val="224"/>
        </w:trPr>
        <w:tc>
          <w:tcPr>
            <w:tcW w:w="1920" w:type="dxa"/>
            <w:vAlign w:val="bottom"/>
          </w:tcPr>
          <w:p>
            <w:pPr>
              <w:spacing w:after="0"/>
              <w:rPr>
                <w:sz w:val="20"/>
                <w:szCs w:val="20"/>
                <w:color w:val="auto"/>
              </w:rPr>
            </w:pPr>
            <w:r>
              <w:rPr>
                <w:rFonts w:ascii="Arial" w:cs="Arial" w:eastAsia="Arial" w:hAnsi="Arial"/>
                <w:sz w:val="18"/>
                <w:szCs w:val="18"/>
                <w:color w:val="auto"/>
              </w:rPr>
              <w:t>Marc Manuel</w:t>
            </w:r>
          </w:p>
        </w:tc>
        <w:tc>
          <w:tcPr>
            <w:tcW w:w="14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(Principal Accounting and Financial Officer)</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58"/>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Russell Rieger</w:t>
            </w:r>
          </w:p>
        </w:tc>
        <w:tc>
          <w:tcPr>
            <w:tcW w:w="1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Vice President Strategy</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July 25</w:t>
            </w:r>
            <w:r>
              <w:rPr>
                <w:rFonts w:ascii="Arial" w:cs="Arial" w:eastAsia="Arial" w:hAnsi="Arial"/>
                <w:sz w:val="30"/>
                <w:szCs w:val="30"/>
                <w:color w:val="auto"/>
                <w:vertAlign w:val="superscript"/>
              </w:rPr>
              <w:t>th</w:t>
            </w:r>
            <w:r>
              <w:rPr>
                <w:rFonts w:ascii="Arial" w:cs="Arial" w:eastAsia="Arial" w:hAnsi="Arial"/>
                <w:sz w:val="18"/>
                <w:szCs w:val="18"/>
                <w:color w:val="auto"/>
              </w:rPr>
              <w:t>, 2016</w:t>
            </w:r>
          </w:p>
        </w:tc>
      </w:tr>
      <w:tr>
        <w:trPr>
          <w:trHeight w:val="224"/>
        </w:trPr>
        <w:tc>
          <w:tcPr>
            <w:tcW w:w="1920" w:type="dxa"/>
            <w:vAlign w:val="bottom"/>
          </w:tcPr>
          <w:p>
            <w:pPr>
              <w:spacing w:after="0"/>
              <w:rPr>
                <w:sz w:val="20"/>
                <w:szCs w:val="20"/>
                <w:color w:val="auto"/>
              </w:rPr>
            </w:pPr>
            <w:r>
              <w:rPr>
                <w:rFonts w:ascii="Arial" w:cs="Arial" w:eastAsia="Arial" w:hAnsi="Arial"/>
                <w:sz w:val="18"/>
                <w:szCs w:val="18"/>
                <w:color w:val="auto"/>
              </w:rPr>
              <w:t>Russell Rieger</w:t>
            </w:r>
          </w:p>
        </w:tc>
        <w:tc>
          <w:tcPr>
            <w:tcW w:w="1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85"/>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S. Ienner</w:t>
            </w:r>
          </w:p>
        </w:tc>
        <w:tc>
          <w:tcPr>
            <w:tcW w:w="1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July 25</w:t>
            </w:r>
            <w:r>
              <w:rPr>
                <w:rFonts w:ascii="Arial" w:cs="Arial" w:eastAsia="Arial" w:hAnsi="Arial"/>
                <w:sz w:val="30"/>
                <w:szCs w:val="30"/>
                <w:color w:val="auto"/>
                <w:vertAlign w:val="superscript"/>
              </w:rPr>
              <w:t>th</w:t>
            </w:r>
            <w:r>
              <w:rPr>
                <w:rFonts w:ascii="Arial" w:cs="Arial" w:eastAsia="Arial" w:hAnsi="Arial"/>
                <w:sz w:val="18"/>
                <w:szCs w:val="18"/>
                <w:color w:val="auto"/>
              </w:rPr>
              <w:t>, 2016</w:t>
            </w:r>
          </w:p>
        </w:tc>
      </w:tr>
      <w:tr>
        <w:trPr>
          <w:trHeight w:val="224"/>
        </w:trPr>
        <w:tc>
          <w:tcPr>
            <w:tcW w:w="1920" w:type="dxa"/>
            <w:vAlign w:val="bottom"/>
          </w:tcPr>
          <w:p>
            <w:pPr>
              <w:spacing w:after="0"/>
              <w:rPr>
                <w:sz w:val="20"/>
                <w:szCs w:val="20"/>
                <w:color w:val="auto"/>
              </w:rPr>
            </w:pPr>
            <w:r>
              <w:rPr>
                <w:rFonts w:ascii="Arial" w:cs="Arial" w:eastAsia="Arial" w:hAnsi="Arial"/>
                <w:sz w:val="18"/>
                <w:szCs w:val="18"/>
                <w:color w:val="auto"/>
              </w:rPr>
              <w:t>Donald S. Ienner</w:t>
            </w:r>
          </w:p>
        </w:tc>
        <w:tc>
          <w:tcPr>
            <w:tcW w:w="1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58"/>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Schulhof</w:t>
            </w:r>
          </w:p>
        </w:tc>
        <w:tc>
          <w:tcPr>
            <w:tcW w:w="1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July 25</w:t>
            </w:r>
            <w:r>
              <w:rPr>
                <w:rFonts w:ascii="Arial" w:cs="Arial" w:eastAsia="Arial" w:hAnsi="Arial"/>
                <w:sz w:val="30"/>
                <w:szCs w:val="30"/>
                <w:color w:val="auto"/>
                <w:vertAlign w:val="superscript"/>
              </w:rPr>
              <w:t>th</w:t>
            </w:r>
            <w:r>
              <w:rPr>
                <w:rFonts w:ascii="Arial" w:cs="Arial" w:eastAsia="Arial" w:hAnsi="Arial"/>
                <w:sz w:val="18"/>
                <w:szCs w:val="18"/>
                <w:color w:val="auto"/>
              </w:rPr>
              <w:t>, 2016</w:t>
            </w:r>
          </w:p>
        </w:tc>
      </w:tr>
      <w:tr>
        <w:trPr>
          <w:trHeight w:val="224"/>
        </w:trPr>
        <w:tc>
          <w:tcPr>
            <w:tcW w:w="1920" w:type="dxa"/>
            <w:vAlign w:val="bottom"/>
          </w:tcPr>
          <w:p>
            <w:pPr>
              <w:spacing w:after="0"/>
              <w:rPr>
                <w:sz w:val="20"/>
                <w:szCs w:val="20"/>
                <w:color w:val="auto"/>
              </w:rPr>
            </w:pPr>
            <w:r>
              <w:rPr>
                <w:rFonts w:ascii="Arial" w:cs="Arial" w:eastAsia="Arial" w:hAnsi="Arial"/>
                <w:sz w:val="18"/>
                <w:szCs w:val="18"/>
                <w:color w:val="auto"/>
              </w:rPr>
              <w:t>David Schulhof</w:t>
            </w:r>
          </w:p>
        </w:tc>
        <w:tc>
          <w:tcPr>
            <w:tcW w:w="1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58"/>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 Samuel S. Holdsworth</w:t>
            </w:r>
          </w:p>
        </w:tc>
        <w:tc>
          <w:tcPr>
            <w:tcW w:w="1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July 25</w:t>
            </w:r>
            <w:r>
              <w:rPr>
                <w:rFonts w:ascii="Arial" w:cs="Arial" w:eastAsia="Arial" w:hAnsi="Arial"/>
                <w:sz w:val="30"/>
                <w:szCs w:val="30"/>
                <w:color w:val="auto"/>
                <w:vertAlign w:val="superscript"/>
              </w:rPr>
              <w:t>th</w:t>
            </w:r>
            <w:r>
              <w:rPr>
                <w:rFonts w:ascii="Arial" w:cs="Arial" w:eastAsia="Arial" w:hAnsi="Arial"/>
                <w:sz w:val="18"/>
                <w:szCs w:val="18"/>
                <w:color w:val="auto"/>
              </w:rPr>
              <w:t>, 2016</w:t>
            </w:r>
          </w:p>
        </w:tc>
      </w:tr>
      <w:tr>
        <w:trPr>
          <w:trHeight w:val="224"/>
        </w:trPr>
        <w:tc>
          <w:tcPr>
            <w:tcW w:w="1920" w:type="dxa"/>
            <w:vAlign w:val="bottom"/>
          </w:tcPr>
          <w:p>
            <w:pPr>
              <w:spacing w:after="0"/>
              <w:rPr>
                <w:sz w:val="20"/>
                <w:szCs w:val="20"/>
                <w:color w:val="auto"/>
              </w:rPr>
            </w:pPr>
            <w:r>
              <w:rPr>
                <w:rFonts w:ascii="Arial" w:cs="Arial" w:eastAsia="Arial" w:hAnsi="Arial"/>
                <w:sz w:val="18"/>
                <w:szCs w:val="18"/>
                <w:color w:val="auto"/>
              </w:rPr>
              <w:t>Samuel S. Holdsworth</w:t>
            </w:r>
          </w:p>
        </w:tc>
        <w:tc>
          <w:tcPr>
            <w:tcW w:w="1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77"/>
        </w:trPr>
        <w:tc>
          <w:tcPr>
            <w:tcW w:w="1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II-7</w:t>
            </w: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27" w:name="page128"/>
    <w:bookmarkEnd w:id="127"/>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7260" w:type="dxa"/>
            <w:vAlign w:val="bottom"/>
          </w:tcPr>
          <w:p>
            <w:pPr>
              <w:ind w:left="252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840" w:type="dxa"/>
            <w:vAlign w:val="bottom"/>
          </w:tcPr>
          <w:p>
            <w:pPr>
              <w:ind w:left="180"/>
              <w:spacing w:after="0"/>
              <w:rPr>
                <w:sz w:val="20"/>
                <w:szCs w:val="20"/>
                <w:color w:val="auto"/>
              </w:rPr>
            </w:pPr>
            <w:r>
              <w:rPr>
                <w:rFonts w:ascii="Arial" w:cs="Arial" w:eastAsia="Arial" w:hAnsi="Arial"/>
                <w:sz w:val="16"/>
                <w:szCs w:val="16"/>
                <w:b w:val="1"/>
                <w:bCs w:val="1"/>
                <w:color w:val="auto"/>
              </w:rPr>
              <w:t>Exhibit</w:t>
            </w:r>
          </w:p>
        </w:tc>
        <w:tc>
          <w:tcPr>
            <w:tcW w:w="7260" w:type="dxa"/>
            <w:vAlign w:val="bottom"/>
          </w:tcPr>
          <w:p>
            <w:pPr>
              <w:spacing w:after="0"/>
              <w:rPr>
                <w:sz w:val="24"/>
                <w:szCs w:val="24"/>
                <w:color w:val="auto"/>
              </w:rPr>
            </w:pPr>
          </w:p>
        </w:tc>
      </w:tr>
      <w:tr>
        <w:trPr>
          <w:trHeight w:val="210"/>
        </w:trPr>
        <w:tc>
          <w:tcPr>
            <w:tcW w:w="840" w:type="dxa"/>
            <w:vAlign w:val="bottom"/>
          </w:tcPr>
          <w:p>
            <w:pPr>
              <w:ind w:left="320"/>
              <w:spacing w:after="0"/>
              <w:rPr>
                <w:sz w:val="20"/>
                <w:szCs w:val="20"/>
                <w:color w:val="auto"/>
              </w:rPr>
            </w:pPr>
            <w:r>
              <w:rPr>
                <w:rFonts w:ascii="Arial" w:cs="Arial" w:eastAsia="Arial" w:hAnsi="Arial"/>
                <w:sz w:val="16"/>
                <w:szCs w:val="16"/>
                <w:b w:val="1"/>
                <w:bCs w:val="1"/>
                <w:color w:val="auto"/>
              </w:rPr>
              <w:t>No.</w:t>
            </w:r>
          </w:p>
        </w:tc>
        <w:tc>
          <w:tcPr>
            <w:tcW w:w="7260" w:type="dxa"/>
            <w:vAlign w:val="bottom"/>
          </w:tcPr>
          <w:p>
            <w:pPr>
              <w:ind w:left="3300"/>
              <w:spacing w:after="0"/>
              <w:rPr>
                <w:sz w:val="20"/>
                <w:szCs w:val="20"/>
                <w:color w:val="auto"/>
              </w:rPr>
            </w:pPr>
            <w:r>
              <w:rPr>
                <w:rFonts w:ascii="Arial" w:cs="Arial" w:eastAsia="Arial" w:hAnsi="Arial"/>
                <w:sz w:val="16"/>
                <w:szCs w:val="16"/>
                <w:b w:val="1"/>
                <w:bCs w:val="1"/>
                <w:color w:val="auto"/>
              </w:rPr>
              <w:t>Description</w:t>
            </w:r>
          </w:p>
        </w:tc>
      </w:tr>
      <w:tr>
        <w:trPr>
          <w:trHeight w:val="236"/>
        </w:trPr>
        <w:tc>
          <w:tcPr>
            <w:tcW w:w="840" w:type="dxa"/>
            <w:vAlign w:val="bottom"/>
          </w:tcPr>
          <w:p>
            <w:pPr>
              <w:spacing w:after="0"/>
              <w:rPr>
                <w:sz w:val="20"/>
                <w:szCs w:val="20"/>
                <w:color w:val="auto"/>
              </w:rPr>
            </w:pPr>
            <w:r>
              <w:rPr>
                <w:rFonts w:ascii="Arial" w:cs="Arial" w:eastAsia="Arial" w:hAnsi="Arial"/>
                <w:sz w:val="18"/>
                <w:szCs w:val="18"/>
                <w:color w:val="auto"/>
              </w:rPr>
              <w:t>1.1*</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Underwriting Agreement.</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7260" w:type="dxa"/>
            <w:vAlign w:val="bottom"/>
          </w:tcPr>
          <w:p>
            <w:pPr>
              <w:ind w:left="140"/>
              <w:spacing w:after="0"/>
              <w:rPr>
                <w:sz w:val="20"/>
                <w:szCs w:val="20"/>
                <w:color w:val="auto"/>
              </w:rPr>
            </w:pPr>
            <w:r>
              <w:rPr>
                <w:rFonts w:ascii="Arial" w:cs="Arial" w:eastAsia="Arial" w:hAnsi="Arial"/>
                <w:sz w:val="18"/>
                <w:szCs w:val="18"/>
                <w:color w:val="auto"/>
              </w:rPr>
              <w:t>Certificate of Incorporation.</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Amended and Restated Certificate of Incorporation</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3.3</w:t>
            </w:r>
          </w:p>
        </w:tc>
        <w:tc>
          <w:tcPr>
            <w:tcW w:w="7260" w:type="dxa"/>
            <w:vAlign w:val="bottom"/>
          </w:tcPr>
          <w:p>
            <w:pPr>
              <w:ind w:left="140"/>
              <w:spacing w:after="0"/>
              <w:rPr>
                <w:sz w:val="20"/>
                <w:szCs w:val="20"/>
                <w:color w:val="auto"/>
              </w:rPr>
            </w:pPr>
            <w:r>
              <w:rPr>
                <w:rFonts w:ascii="Arial" w:cs="Arial" w:eastAsia="Arial" w:hAnsi="Arial"/>
                <w:sz w:val="18"/>
                <w:szCs w:val="18"/>
                <w:color w:val="auto"/>
              </w:rPr>
              <w:t>Bylaws.</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7260" w:type="dxa"/>
            <w:vAlign w:val="bottom"/>
          </w:tcPr>
          <w:p>
            <w:pPr>
              <w:ind w:left="140"/>
              <w:spacing w:after="0"/>
              <w:rPr>
                <w:sz w:val="20"/>
                <w:szCs w:val="20"/>
                <w:color w:val="auto"/>
              </w:rPr>
            </w:pPr>
            <w:r>
              <w:rPr>
                <w:rFonts w:ascii="Arial" w:cs="Arial" w:eastAsia="Arial" w:hAnsi="Arial"/>
                <w:sz w:val="18"/>
                <w:szCs w:val="18"/>
                <w:color w:val="auto"/>
              </w:rPr>
              <w:t>Specimen Unit Certificate.</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7260" w:type="dxa"/>
            <w:vAlign w:val="bottom"/>
          </w:tcPr>
          <w:p>
            <w:pPr>
              <w:ind w:left="140"/>
              <w:spacing w:after="0"/>
              <w:rPr>
                <w:sz w:val="20"/>
                <w:szCs w:val="20"/>
                <w:color w:val="auto"/>
              </w:rPr>
            </w:pPr>
            <w:r>
              <w:rPr>
                <w:rFonts w:ascii="Arial" w:cs="Arial" w:eastAsia="Arial" w:hAnsi="Arial"/>
                <w:sz w:val="18"/>
                <w:szCs w:val="18"/>
                <w:color w:val="auto"/>
              </w:rPr>
              <w:t>Specimen Common Stock Certificate.</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4.3</w:t>
            </w:r>
          </w:p>
        </w:tc>
        <w:tc>
          <w:tcPr>
            <w:tcW w:w="7260" w:type="dxa"/>
            <w:vAlign w:val="bottom"/>
          </w:tcPr>
          <w:p>
            <w:pPr>
              <w:ind w:left="140"/>
              <w:spacing w:after="0"/>
              <w:rPr>
                <w:sz w:val="20"/>
                <w:szCs w:val="20"/>
                <w:color w:val="auto"/>
              </w:rPr>
            </w:pPr>
            <w:r>
              <w:rPr>
                <w:rFonts w:ascii="Arial" w:cs="Arial" w:eastAsia="Arial" w:hAnsi="Arial"/>
                <w:sz w:val="18"/>
                <w:szCs w:val="18"/>
                <w:color w:val="auto"/>
              </w:rPr>
              <w:t>Specimen Warrant Certificate.</w:t>
            </w:r>
          </w:p>
        </w:tc>
      </w:tr>
      <w:tr>
        <w:trPr>
          <w:trHeight w:val="472"/>
        </w:trPr>
        <w:tc>
          <w:tcPr>
            <w:tcW w:w="840" w:type="dxa"/>
            <w:vAlign w:val="bottom"/>
          </w:tcPr>
          <w:p>
            <w:pPr>
              <w:spacing w:after="0"/>
              <w:rPr>
                <w:sz w:val="20"/>
                <w:szCs w:val="20"/>
                <w:color w:val="auto"/>
              </w:rPr>
            </w:pPr>
            <w:r>
              <w:rPr>
                <w:rFonts w:ascii="Arial" w:cs="Arial" w:eastAsia="Arial" w:hAnsi="Arial"/>
                <w:sz w:val="18"/>
                <w:szCs w:val="18"/>
                <w:color w:val="auto"/>
              </w:rPr>
              <w:t>4.4</w:t>
            </w:r>
          </w:p>
        </w:tc>
        <w:tc>
          <w:tcPr>
            <w:tcW w:w="7260" w:type="dxa"/>
            <w:vAlign w:val="bottom"/>
          </w:tcPr>
          <w:p>
            <w:pPr>
              <w:ind w:left="140"/>
              <w:spacing w:after="0"/>
              <w:rPr>
                <w:sz w:val="20"/>
                <w:szCs w:val="20"/>
                <w:color w:val="auto"/>
              </w:rPr>
            </w:pPr>
            <w:r>
              <w:rPr>
                <w:rFonts w:ascii="Arial" w:cs="Arial" w:eastAsia="Arial" w:hAnsi="Arial"/>
                <w:sz w:val="18"/>
                <w:szCs w:val="18"/>
                <w:color w:val="auto"/>
                <w:w w:val="94"/>
              </w:rPr>
              <w:t>Form of Warrant Agreement by and between Continental Stock Transfer &amp; Trust Company and</w:t>
            </w:r>
          </w:p>
        </w:tc>
      </w:tr>
      <w:tr>
        <w:trPr>
          <w:trHeight w:val="230"/>
        </w:trPr>
        <w:tc>
          <w:tcPr>
            <w:tcW w:w="840" w:type="dxa"/>
            <w:vAlign w:val="bottom"/>
          </w:tcPr>
          <w:p>
            <w:pPr>
              <w:spacing w:after="0"/>
              <w:rPr>
                <w:sz w:val="20"/>
                <w:szCs w:val="20"/>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the Registrant.</w:t>
            </w: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4.5*</w:t>
            </w:r>
          </w:p>
        </w:tc>
        <w:tc>
          <w:tcPr>
            <w:tcW w:w="7260" w:type="dxa"/>
            <w:vAlign w:val="bottom"/>
          </w:tcPr>
          <w:p>
            <w:pPr>
              <w:ind w:left="140"/>
              <w:spacing w:after="0"/>
              <w:rPr>
                <w:sz w:val="20"/>
                <w:szCs w:val="20"/>
                <w:color w:val="auto"/>
              </w:rPr>
            </w:pPr>
            <w:r>
              <w:rPr>
                <w:rFonts w:ascii="Arial" w:cs="Arial" w:eastAsia="Arial" w:hAnsi="Arial"/>
                <w:sz w:val="18"/>
                <w:szCs w:val="18"/>
                <w:color w:val="auto"/>
                <w:w w:val="99"/>
              </w:rPr>
              <w:t>Form of Unit Purchase Option between the Registrant and Chardan Capital Markets, LLC.</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5.1</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Opinion of Loeb &amp; Loeb LLP</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Promissory Note, dated as of April 23, 2015, issued to Insiders.</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7260" w:type="dxa"/>
            <w:vAlign w:val="bottom"/>
          </w:tcPr>
          <w:p>
            <w:pPr>
              <w:ind w:left="140"/>
              <w:spacing w:after="0"/>
              <w:rPr>
                <w:sz w:val="20"/>
                <w:szCs w:val="20"/>
                <w:color w:val="auto"/>
              </w:rPr>
            </w:pPr>
            <w:r>
              <w:rPr>
                <w:rFonts w:ascii="Arial" w:cs="Arial" w:eastAsia="Arial" w:hAnsi="Arial"/>
                <w:sz w:val="18"/>
                <w:szCs w:val="18"/>
                <w:color w:val="auto"/>
                <w:w w:val="97"/>
              </w:rPr>
              <w:t>Form of Letter Agreement among the Registrant and the Registrant’s Officers and Directors</w:t>
            </w:r>
          </w:p>
        </w:tc>
      </w:tr>
      <w:tr>
        <w:trPr>
          <w:trHeight w:val="472"/>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7260" w:type="dxa"/>
            <w:vAlign w:val="bottom"/>
          </w:tcPr>
          <w:p>
            <w:pPr>
              <w:ind w:left="140"/>
              <w:spacing w:after="0"/>
              <w:rPr>
                <w:sz w:val="20"/>
                <w:szCs w:val="20"/>
                <w:color w:val="auto"/>
              </w:rPr>
            </w:pPr>
            <w:r>
              <w:rPr>
                <w:rFonts w:ascii="Arial" w:cs="Arial" w:eastAsia="Arial" w:hAnsi="Arial"/>
                <w:sz w:val="18"/>
                <w:szCs w:val="18"/>
                <w:color w:val="auto"/>
                <w:w w:val="92"/>
              </w:rPr>
              <w:t>Form of Investment Management Trust Agreement by and between Continental Stock Transfer &amp;</w:t>
            </w:r>
          </w:p>
        </w:tc>
      </w:tr>
      <w:tr>
        <w:trPr>
          <w:trHeight w:val="230"/>
        </w:trPr>
        <w:tc>
          <w:tcPr>
            <w:tcW w:w="840" w:type="dxa"/>
            <w:vAlign w:val="bottom"/>
          </w:tcPr>
          <w:p>
            <w:pPr>
              <w:spacing w:after="0"/>
              <w:rPr>
                <w:sz w:val="20"/>
                <w:szCs w:val="20"/>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Trust Company and the Registrant</w:t>
            </w:r>
          </w:p>
        </w:tc>
      </w:tr>
      <w:tr>
        <w:trPr>
          <w:trHeight w:val="445"/>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7260" w:type="dxa"/>
            <w:vAlign w:val="bottom"/>
          </w:tcPr>
          <w:p>
            <w:pPr>
              <w:ind w:left="140"/>
              <w:spacing w:after="0"/>
              <w:rPr>
                <w:sz w:val="20"/>
                <w:szCs w:val="20"/>
                <w:color w:val="auto"/>
              </w:rPr>
            </w:pPr>
            <w:r>
              <w:rPr>
                <w:rFonts w:ascii="Arial" w:cs="Arial" w:eastAsia="Arial" w:hAnsi="Arial"/>
                <w:sz w:val="18"/>
                <w:szCs w:val="18"/>
                <w:color w:val="auto"/>
                <w:w w:val="96"/>
              </w:rPr>
              <w:t>Form of Stock Escrow Agreement among the Registrant, Continental Stock Transfer &amp; Trust</w:t>
            </w:r>
          </w:p>
        </w:tc>
      </w:tr>
      <w:tr>
        <w:trPr>
          <w:trHeight w:val="230"/>
        </w:trPr>
        <w:tc>
          <w:tcPr>
            <w:tcW w:w="840" w:type="dxa"/>
            <w:vAlign w:val="bottom"/>
          </w:tcPr>
          <w:p>
            <w:pPr>
              <w:spacing w:after="0"/>
              <w:rPr>
                <w:sz w:val="20"/>
                <w:szCs w:val="20"/>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Company, and the Initial Stockholders</w:t>
            </w: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7260" w:type="dxa"/>
            <w:vAlign w:val="bottom"/>
          </w:tcPr>
          <w:p>
            <w:pPr>
              <w:ind w:left="140"/>
              <w:spacing w:after="0"/>
              <w:rPr>
                <w:sz w:val="20"/>
                <w:szCs w:val="20"/>
                <w:color w:val="auto"/>
              </w:rPr>
            </w:pPr>
            <w:r>
              <w:rPr>
                <w:rFonts w:ascii="Arial" w:cs="Arial" w:eastAsia="Arial" w:hAnsi="Arial"/>
                <w:sz w:val="18"/>
                <w:szCs w:val="18"/>
                <w:color w:val="auto"/>
                <w:w w:val="94"/>
              </w:rPr>
              <w:t>Form of Registration Rights Agreement by and between the Registrant and Initial Stockholders</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Indemnity Agreement</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7260" w:type="dxa"/>
            <w:vAlign w:val="bottom"/>
          </w:tcPr>
          <w:p>
            <w:pPr>
              <w:ind w:left="140"/>
              <w:spacing w:after="0"/>
              <w:rPr>
                <w:sz w:val="20"/>
                <w:szCs w:val="20"/>
                <w:color w:val="auto"/>
              </w:rPr>
            </w:pPr>
            <w:r>
              <w:rPr>
                <w:rFonts w:ascii="Arial" w:cs="Arial" w:eastAsia="Arial" w:hAnsi="Arial"/>
                <w:sz w:val="18"/>
                <w:szCs w:val="18"/>
                <w:color w:val="auto"/>
                <w:w w:val="91"/>
              </w:rPr>
              <w:t>Administrative Services Agreement by and between the Registrant and Magna Management LLC.</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Subscription Agreement between the Registrant and M SPAC LLC</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14</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Code of Ethics</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7260" w:type="dxa"/>
            <w:vAlign w:val="bottom"/>
          </w:tcPr>
          <w:p>
            <w:pPr>
              <w:ind w:left="140"/>
              <w:spacing w:after="0"/>
              <w:rPr>
                <w:sz w:val="20"/>
                <w:szCs w:val="20"/>
                <w:color w:val="auto"/>
              </w:rPr>
            </w:pPr>
            <w:r>
              <w:rPr>
                <w:rFonts w:ascii="Arial" w:cs="Arial" w:eastAsia="Arial" w:hAnsi="Arial"/>
                <w:sz w:val="18"/>
                <w:szCs w:val="18"/>
                <w:color w:val="auto"/>
              </w:rPr>
              <w:t>Consent of Marcum LLP</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23.2</w:t>
            </w:r>
          </w:p>
        </w:tc>
        <w:tc>
          <w:tcPr>
            <w:tcW w:w="7260" w:type="dxa"/>
            <w:vAlign w:val="bottom"/>
          </w:tcPr>
          <w:p>
            <w:pPr>
              <w:ind w:left="140"/>
              <w:spacing w:after="0"/>
              <w:rPr>
                <w:sz w:val="20"/>
                <w:szCs w:val="20"/>
                <w:color w:val="auto"/>
              </w:rPr>
            </w:pPr>
            <w:r>
              <w:rPr>
                <w:rFonts w:ascii="Arial" w:cs="Arial" w:eastAsia="Arial" w:hAnsi="Arial"/>
                <w:sz w:val="18"/>
                <w:szCs w:val="18"/>
                <w:color w:val="auto"/>
              </w:rPr>
              <w:t>Consent of Loeb &amp; Loeb LLP (included on Exhibit 5.1).</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24</w:t>
            </w:r>
          </w:p>
        </w:tc>
        <w:tc>
          <w:tcPr>
            <w:tcW w:w="7260" w:type="dxa"/>
            <w:vAlign w:val="bottom"/>
          </w:tcPr>
          <w:p>
            <w:pPr>
              <w:ind w:left="140"/>
              <w:spacing w:after="0"/>
              <w:rPr>
                <w:sz w:val="20"/>
                <w:szCs w:val="20"/>
                <w:color w:val="auto"/>
              </w:rPr>
            </w:pPr>
            <w:r>
              <w:rPr>
                <w:rFonts w:ascii="Arial" w:cs="Arial" w:eastAsia="Arial" w:hAnsi="Arial"/>
                <w:sz w:val="18"/>
                <w:szCs w:val="18"/>
                <w:color w:val="auto"/>
              </w:rPr>
              <w:t>Power of Attorney (included on the signature page hereto).</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Audit Committee Charter</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99.2</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Compensation Committee Charter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-7863205</wp:posOffset>
            </wp:positionV>
            <wp:extent cx="5145405" cy="7880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5405" cy="788098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ind w:left="460" w:right="6299" w:firstLine="2"/>
        <w:spacing w:after="0" w:line="323" w:lineRule="auto"/>
        <w:tabs>
          <w:tab w:leader="none" w:pos="779" w:val="left"/>
        </w:tabs>
        <w:numPr>
          <w:ilvl w:val="0"/>
          <w:numId w:val="71"/>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8" w:name="page129"/>
    <w:bookmarkEnd w:id="128"/>
    <w:p>
      <w:pPr>
        <w:jc w:val="right"/>
        <w:ind w:right="20"/>
        <w:spacing w:after="0"/>
        <w:rPr>
          <w:sz w:val="20"/>
          <w:szCs w:val="20"/>
          <w:color w:val="auto"/>
        </w:rPr>
      </w:pPr>
      <w:r>
        <w:rPr>
          <w:rFonts w:ascii="Arial" w:cs="Arial" w:eastAsia="Arial" w:hAnsi="Arial"/>
          <w:sz w:val="22"/>
          <w:szCs w:val="22"/>
          <w:b w:val="1"/>
          <w:bCs w:val="1"/>
          <w:color w:val="auto"/>
        </w:rPr>
        <w:t>Exhibit 3.1</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AMENDMENT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FM ACQUISITIONS I,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FM Acquisitions I, Inc., a Delaware corporation (the “Corporation”), does hereby certify that:</w:t>
      </w:r>
    </w:p>
    <w:p>
      <w:pPr>
        <w:spacing w:after="0" w:line="221" w:lineRule="exact"/>
        <w:rPr>
          <w:sz w:val="20"/>
          <w:szCs w:val="20"/>
          <w:color w:val="auto"/>
        </w:rPr>
      </w:pPr>
    </w:p>
    <w:p>
      <w:pPr>
        <w:jc w:val="both"/>
        <w:ind w:right="320"/>
        <w:spacing w:after="0" w:line="314" w:lineRule="auto"/>
        <w:rPr>
          <w:sz w:val="20"/>
          <w:szCs w:val="20"/>
          <w:color w:val="auto"/>
        </w:rPr>
      </w:pPr>
      <w:r>
        <w:rPr>
          <w:rFonts w:ascii="Arial" w:cs="Arial" w:eastAsia="Arial" w:hAnsi="Arial"/>
          <w:sz w:val="16"/>
          <w:szCs w:val="16"/>
          <w:b w:val="1"/>
          <w:bCs w:val="1"/>
          <w:color w:val="auto"/>
        </w:rPr>
        <w:t xml:space="preserve">First: </w:t>
      </w:r>
      <w:r>
        <w:rPr>
          <w:rFonts w:ascii="Arial" w:cs="Arial" w:eastAsia="Arial" w:hAnsi="Arial"/>
          <w:sz w:val="16"/>
          <w:szCs w:val="16"/>
          <w:color w:val="auto"/>
        </w:rPr>
        <w:t>That the Board of Directors of the Corporation by unanimous written consent dated as of September 16, 2015, adopted resolutions setting forth a</w:t>
      </w:r>
      <w:r>
        <w:rPr>
          <w:rFonts w:ascii="Arial" w:cs="Arial" w:eastAsia="Arial" w:hAnsi="Arial"/>
          <w:sz w:val="16"/>
          <w:szCs w:val="16"/>
          <w:b w:val="1"/>
          <w:bCs w:val="1"/>
          <w:color w:val="auto"/>
        </w:rPr>
        <w:t xml:space="preserve"> </w:t>
      </w:r>
      <w:r>
        <w:rPr>
          <w:rFonts w:ascii="Arial" w:cs="Arial" w:eastAsia="Arial" w:hAnsi="Arial"/>
          <w:sz w:val="16"/>
          <w:szCs w:val="16"/>
          <w:color w:val="auto"/>
        </w:rPr>
        <w:t>proposed amendment to the Certificate of Incorporation of the Corporation, declaring such amendment to be advisable and calling for the submission of such amendment to the stockholders of the Corporation for consideration thereof. The resolutions setting forth the proposed amendments are as follows:</w:t>
      </w:r>
    </w:p>
    <w:p>
      <w:pPr>
        <w:spacing w:after="0" w:line="142" w:lineRule="exact"/>
        <w:rPr>
          <w:sz w:val="20"/>
          <w:szCs w:val="20"/>
          <w:color w:val="auto"/>
        </w:rPr>
      </w:pPr>
    </w:p>
    <w:p>
      <w:pPr>
        <w:jc w:val="both"/>
        <w:ind w:right="340" w:firstLine="648"/>
        <w:spacing w:after="0" w:line="28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Certificate of Incorporation of the Corporation be amended by deleting the text of Article “FIRST” and adding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in its place:</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 of this corporation is M I Acquisitions, Inc. (the “Corporation”).</w:t>
      </w:r>
    </w:p>
    <w:p>
      <w:pPr>
        <w:spacing w:after="0" w:line="221"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That thereafter,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228 of the General Corporation Law of the State of Delaware, a written consent approving the amendment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above was signed by the holders of outstanding voting stock having not less than the minimum number of votes that would be necessary to authorize or take such action at a meeting on such date at which all shares entitled to vote thereon were present and voted.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Third: </w:t>
      </w:r>
      <w:r>
        <w:rPr>
          <w:rFonts w:ascii="Arial" w:cs="Arial" w:eastAsia="Arial" w:hAnsi="Arial"/>
          <w:sz w:val="17"/>
          <w:szCs w:val="17"/>
          <w:color w:val="auto"/>
        </w:rPr>
        <w:t>That said amendment was duly adopted in accordance with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242 of the General Corporation Law of the State of Delaware.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said corporation has caused this certificate to be signed this 18</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2015.</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ind w:left="542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17"/>
                <w:szCs w:val="17"/>
                <w:color w:val="auto"/>
              </w:rPr>
            </w:pPr>
          </w:p>
        </w:tc>
        <w:tc>
          <w:tcPr>
            <w:tcW w:w="5080" w:type="dxa"/>
            <w:vAlign w:val="bottom"/>
            <w:gridSpan w:val="2"/>
          </w:tcPr>
          <w:p>
            <w:pPr>
              <w:ind w:left="40"/>
              <w:spacing w:after="0"/>
              <w:rPr>
                <w:sz w:val="20"/>
                <w:szCs w:val="20"/>
                <w:color w:val="auto"/>
              </w:rPr>
            </w:pPr>
            <w:r>
              <w:rPr>
                <w:rFonts w:ascii="Arial" w:cs="Arial" w:eastAsia="Arial" w:hAnsi="Arial"/>
                <w:sz w:val="18"/>
                <w:szCs w:val="18"/>
                <w:color w:val="auto"/>
              </w:rPr>
              <w:t>/s/ Joshua Sason</w:t>
            </w:r>
          </w:p>
        </w:tc>
      </w:tr>
      <w:tr>
        <w:trPr>
          <w:trHeight w:val="20"/>
        </w:trPr>
        <w:tc>
          <w:tcPr>
            <w:tcW w:w="6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22"/>
        </w:trPr>
        <w:tc>
          <w:tcPr>
            <w:tcW w:w="6040" w:type="dxa"/>
            <w:vAlign w:val="bottom"/>
          </w:tcPr>
          <w:p>
            <w:pPr>
              <w:spacing w:after="0"/>
              <w:rPr>
                <w:sz w:val="19"/>
                <w:szCs w:val="19"/>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(Authorized Officer)</w:t>
            </w:r>
          </w:p>
        </w:tc>
      </w:tr>
      <w:tr>
        <w:trPr>
          <w:trHeight w:val="216"/>
        </w:trPr>
        <w:tc>
          <w:tcPr>
            <w:tcW w:w="6040" w:type="dxa"/>
            <w:vAlign w:val="bottom"/>
          </w:tcPr>
          <w:p>
            <w:pPr>
              <w:ind w:left="5420"/>
              <w:spacing w:after="0"/>
              <w:rPr>
                <w:sz w:val="20"/>
                <w:szCs w:val="20"/>
                <w:color w:val="auto"/>
              </w:rPr>
            </w:pPr>
            <w:r>
              <w:rPr>
                <w:rFonts w:ascii="Arial" w:cs="Arial" w:eastAsia="Arial" w:hAnsi="Arial"/>
                <w:sz w:val="18"/>
                <w:szCs w:val="18"/>
                <w:color w:val="auto"/>
              </w:rPr>
              <w:t>Name:</w:t>
            </w: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Joshua Sason</w:t>
            </w:r>
          </w:p>
        </w:tc>
      </w:tr>
      <w:tr>
        <w:trPr>
          <w:trHeight w:val="230"/>
        </w:trPr>
        <w:tc>
          <w:tcPr>
            <w:tcW w:w="6040" w:type="dxa"/>
            <w:vAlign w:val="bottom"/>
          </w:tcPr>
          <w:p>
            <w:pPr>
              <w:ind w:left="5420"/>
              <w:spacing w:after="0"/>
              <w:rPr>
                <w:sz w:val="20"/>
                <w:szCs w:val="20"/>
                <w:color w:val="auto"/>
              </w:rPr>
            </w:pPr>
            <w:r>
              <w:rPr>
                <w:rFonts w:ascii="Arial" w:cs="Arial" w:eastAsia="Arial" w:hAnsi="Arial"/>
                <w:sz w:val="18"/>
                <w:szCs w:val="18"/>
                <w:color w:val="auto"/>
              </w:rPr>
              <w:t>Title:</w:t>
            </w: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Chief Executive Officer</w:t>
            </w:r>
          </w:p>
        </w:tc>
      </w:tr>
      <w:tr>
        <w:trPr>
          <w:trHeight w:val="648"/>
        </w:trPr>
        <w:tc>
          <w:tcPr>
            <w:tcW w:w="6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20" w:top="111" w:right="29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FM ACQUISITIONS I, INC.</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THE UNDERSIGNED</w:t>
      </w:r>
      <w:r>
        <w:rPr>
          <w:rFonts w:ascii="Arial" w:cs="Arial" w:eastAsia="Arial" w:hAnsi="Arial"/>
          <w:sz w:val="18"/>
          <w:szCs w:val="18"/>
          <w:color w:val="auto"/>
        </w:rPr>
        <w:t>, for the purpose of incorporating and organizing a corporation under the General Corporation Law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does hereby execute this Certificate of Incorporation and does hereby certify as follows: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corporation is FM Acquisitions I, Inc. (hereinafter called the "Corporation").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The registered office of the Corporation is to be located at 28 Old Rudnick Lane, in the City of Dover, in the County of Kent, in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19901. The name of its registered agent at that address is Corp1, Inc.</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purpose of the Corporation is to engage in any lawful act or activity for which corporations may be organized under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Law of Delaware.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The name and mailing address of the incorporator is: Jaszick Maldonado, c/o Loeb &amp; Loeb LLP, 345 Park Avenue, New York NY 10154.</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FIFTH</w:t>
      </w:r>
      <w:r>
        <w:rPr>
          <w:rFonts w:ascii="Arial" w:cs="Arial" w:eastAsia="Arial" w:hAnsi="Arial"/>
          <w:sz w:val="16"/>
          <w:szCs w:val="16"/>
          <w:color w:val="auto"/>
        </w:rPr>
        <w:t>: The total number of shares which the Corporation shall have authority to issue is fifty million (50,000,000) shares of common stock, $0.001 par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207"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6"/>
          <w:szCs w:val="16"/>
          <w:b w:val="1"/>
          <w:bCs w:val="1"/>
          <w:color w:val="auto"/>
        </w:rPr>
        <w:t>SIXTH</w:t>
      </w:r>
      <w:r>
        <w:rPr>
          <w:rFonts w:ascii="Arial" w:cs="Arial" w:eastAsia="Arial" w:hAnsi="Arial"/>
          <w:sz w:val="16"/>
          <w:szCs w:val="16"/>
          <w:color w:val="auto"/>
        </w:rPr>
        <w:t>: A Director of the Corporation shall not be liable to the Corporation or its stockholders for monetary damages for breach of fiduciary duty as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the Corporation, except to the extent that exculpation from liability is not permitted under the General Corporation Law of the State of Delaware as in effect at the time such liability is determined. No amendment or repeal of this paragraph shall apply to or have any effect on the liability or alleged liability of any Director of the Corporation for or with respect to any acts or omissions of such Director occurring prior to such amendment or repeal.</w:t>
      </w:r>
    </w:p>
    <w:p>
      <w:pPr>
        <w:spacing w:after="0" w:line="15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SEVENTH</w:t>
      </w:r>
      <w:r>
        <w:rPr>
          <w:rFonts w:ascii="Arial" w:cs="Arial" w:eastAsia="Arial" w:hAnsi="Arial"/>
          <w:sz w:val="17"/>
          <w:szCs w:val="17"/>
          <w:color w:val="auto"/>
        </w:rPr>
        <w:t>: In furtherance and not in imitation of the powers conferred by statute, the Board of Directors of the Corporation is expressly authorized to</w:t>
      </w:r>
      <w:r>
        <w:rPr>
          <w:rFonts w:ascii="Arial" w:cs="Arial" w:eastAsia="Arial" w:hAnsi="Arial"/>
          <w:sz w:val="17"/>
          <w:szCs w:val="17"/>
          <w:b w:val="1"/>
          <w:bCs w:val="1"/>
          <w:color w:val="auto"/>
        </w:rPr>
        <w:t xml:space="preserve"> </w:t>
      </w:r>
      <w:r>
        <w:rPr>
          <w:rFonts w:ascii="Arial" w:cs="Arial" w:eastAsia="Arial" w:hAnsi="Arial"/>
          <w:sz w:val="17"/>
          <w:szCs w:val="17"/>
          <w:color w:val="auto"/>
        </w:rPr>
        <w:t>make, alter or repeal the By-Laws of the Corporation; provided, however, that no By-Laws hereafter adopted by the Board of Directors or stockholders shall invalidate any prior act of the Directors which would have been valid if such By-Laws had not been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112395</wp:posOffset>
            </wp:positionV>
            <wp:extent cx="716089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80"/>
          </w:cols>
          <w:pgMar w:left="320" w:top="688" w:right="299" w:bottom="1440" w:gutter="0" w:footer="0" w:header="0"/>
        </w:sectPr>
      </w:pPr>
    </w:p>
    <w:bookmarkStart w:id="130" w:name="page131"/>
    <w:bookmarkEnd w:id="130"/>
    <w:p>
      <w:pPr>
        <w:jc w:val="both"/>
        <w:ind w:right="20" w:firstLine="648"/>
        <w:spacing w:after="0" w:line="287" w:lineRule="auto"/>
        <w:rPr>
          <w:sz w:val="20"/>
          <w:szCs w:val="20"/>
          <w:color w:val="auto"/>
        </w:rPr>
      </w:pPr>
      <w:r>
        <w:rPr>
          <w:rFonts w:ascii="Arial" w:cs="Arial" w:eastAsia="Arial" w:hAnsi="Arial"/>
          <w:sz w:val="16"/>
          <w:szCs w:val="16"/>
          <w:b w:val="1"/>
          <w:bCs w:val="1"/>
          <w:color w:val="auto"/>
        </w:rPr>
        <w:t>EIGHTH</w:t>
      </w:r>
      <w:r>
        <w:rPr>
          <w:rFonts w:ascii="Arial" w:cs="Arial" w:eastAsia="Arial" w:hAnsi="Arial"/>
          <w:sz w:val="16"/>
          <w:szCs w:val="16"/>
          <w:color w:val="auto"/>
        </w:rPr>
        <w:t>: The Corporation shall, to the maximum extent permitted from time to time under the law of the State of Delaware, indemnify and upon</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Corporation or while a Director or officer is or was serving at the request of the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(and not otherwise recovered) in connection with the investigation, preparation to defend or defense of such action, suit, proceeding or claim; provided, however, that the foregoing shall not require the Corporation to indemnify or advance expenses to any person in connection with any action, suit, proceeding, claim or counterclaim initiated by or on behalf of such person. Such indemnification shall not be exclusive of other indemnification rights arising under any By-Law, agreement, vote of Directors or stockholders or otherwise and shall inure to the benefits of the heirs and legal representatives of such person. Any person seeking indemnification under this paragraph shall be deemed to have met the standard of conduct required for such indemnification unless the contrary shall be established. Any repeal or modification of the foregoing provisions of this paragraph shall not adversely affect any right or protection of a Director or officer of the Corporation with respect to any acts or omissions of such Director or officer occurring prior to such repeal or modification.</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NINTH: </w:t>
      </w:r>
      <w:r>
        <w:rPr>
          <w:rFonts w:ascii="Arial" w:cs="Arial" w:eastAsia="Arial" w:hAnsi="Arial"/>
          <w:sz w:val="18"/>
          <w:szCs w:val="18"/>
          <w:color w:val="auto"/>
        </w:rPr>
        <w:t>In furtherance of and not in limitation of powers conferred by statute, it is further provided:</w:t>
      </w:r>
    </w:p>
    <w:p>
      <w:pPr>
        <w:spacing w:after="0" w:line="229" w:lineRule="exact"/>
        <w:rPr>
          <w:sz w:val="20"/>
          <w:szCs w:val="20"/>
          <w:color w:val="auto"/>
        </w:rPr>
      </w:pPr>
    </w:p>
    <w:p>
      <w:pPr>
        <w:ind w:left="820" w:hanging="172"/>
        <w:spacing w:after="0"/>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Election of Directors need not be by written ballot unless the By-Laws of the Corporation so provide.</w:t>
      </w:r>
    </w:p>
    <w:p>
      <w:pPr>
        <w:spacing w:after="0" w:line="225" w:lineRule="exact"/>
        <w:rPr>
          <w:rFonts w:ascii="Arial" w:cs="Arial" w:eastAsia="Arial" w:hAnsi="Arial"/>
          <w:sz w:val="18"/>
          <w:szCs w:val="18"/>
          <w:color w:val="auto"/>
        </w:rPr>
      </w:pPr>
    </w:p>
    <w:p>
      <w:pPr>
        <w:ind w:left="820" w:hanging="172"/>
        <w:spacing w:after="0"/>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Meetings of stockholders may be held within or without the State of Delaware, as the By Laws may provide.</w:t>
      </w:r>
    </w:p>
    <w:p>
      <w:pPr>
        <w:spacing w:after="0" w:line="225" w:lineRule="exact"/>
        <w:rPr>
          <w:rFonts w:ascii="Arial" w:cs="Arial" w:eastAsia="Arial" w:hAnsi="Arial"/>
          <w:sz w:val="18"/>
          <w:szCs w:val="18"/>
          <w:color w:val="auto"/>
        </w:rPr>
      </w:pPr>
    </w:p>
    <w:p>
      <w:pPr>
        <w:ind w:firstLine="648"/>
        <w:spacing w:after="0" w:line="277" w:lineRule="auto"/>
        <w:tabs>
          <w:tab w:leader="none" w:pos="8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the extent permitted by law, the books of the Corporation may be kept outside the State of Delaware at such place or places as may be designated from time to time by the Board of Directors or in the By-Laws of the Corporation.</w:t>
      </w:r>
    </w:p>
    <w:p>
      <w:pPr>
        <w:spacing w:after="0" w:line="166"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TENTH</w:t>
      </w:r>
      <w:r>
        <w:rPr>
          <w:rFonts w:ascii="Arial" w:cs="Arial" w:eastAsia="Arial" w:hAnsi="Arial"/>
          <w:sz w:val="18"/>
          <w:szCs w:val="18"/>
          <w:color w:val="auto"/>
        </w:rPr>
        <w:t>: Except as otherwise provided herein, the Corporation reserves the right to amend, alter, change or repeal any provision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in the manner now or hereafter prescribed by statute, and all rights conferred upon stockholders herein are granted subject to this reservation.</w:t>
      </w:r>
    </w:p>
    <w:p>
      <w:pPr>
        <w:spacing w:after="0" w:line="184" w:lineRule="exact"/>
        <w:rPr>
          <w:sz w:val="20"/>
          <w:szCs w:val="20"/>
          <w:color w:val="auto"/>
        </w:rPr>
      </w:pPr>
    </w:p>
    <w:p>
      <w:pPr>
        <w:jc w:val="both"/>
        <w:ind w:right="20" w:firstLine="648"/>
        <w:spacing w:after="0" w:line="210"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being the incorporator herein before named, has executed this Certificate of Incorporation this 23</w:t>
      </w:r>
      <w:r>
        <w:rPr>
          <w:rFonts w:ascii="Arial" w:cs="Arial" w:eastAsia="Arial" w:hAnsi="Arial"/>
          <w:sz w:val="30"/>
          <w:szCs w:val="30"/>
          <w:color w:val="auto"/>
          <w:vertAlign w:val="superscript"/>
        </w:rPr>
        <w:t>rd</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r>
        <w:rPr>
          <w:rFonts w:ascii="Arial" w:cs="Arial" w:eastAsia="Arial" w:hAnsi="Arial"/>
          <w:sz w:val="18"/>
          <w:szCs w:val="18"/>
          <w:b w:val="1"/>
          <w:bCs w:val="1"/>
          <w:color w:val="auto"/>
        </w:rPr>
        <w:t xml:space="preserve"> </w:t>
      </w:r>
      <w:r>
        <w:rPr>
          <w:rFonts w:ascii="Arial" w:cs="Arial" w:eastAsia="Arial" w:hAnsi="Arial"/>
          <w:sz w:val="18"/>
          <w:szCs w:val="18"/>
          <w:color w:val="auto"/>
        </w:rPr>
        <w:t>April, 2015.</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540"/>
        <w:spacing w:after="0"/>
        <w:rPr>
          <w:sz w:val="20"/>
          <w:szCs w:val="20"/>
          <w:color w:val="auto"/>
        </w:rPr>
      </w:pPr>
      <w:r>
        <w:rPr>
          <w:rFonts w:ascii="Arial" w:cs="Arial" w:eastAsia="Arial" w:hAnsi="Arial"/>
          <w:sz w:val="18"/>
          <w:szCs w:val="18"/>
          <w:b w:val="1"/>
          <w:bCs w:val="1"/>
          <w:i w:val="1"/>
          <w:iCs w:val="1"/>
          <w:u w:val="single" w:color="auto"/>
          <w:color w:val="auto"/>
        </w:rPr>
        <w:t>/s/ Jaszick Maldonado</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Jaszick Maldonado, 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314325</wp:posOffset>
            </wp:positionV>
            <wp:extent cx="717804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ectPr>
          <w:pgSz w:w="11900" w:h="16838" w:orient="portrait"/>
          <w:cols w:equalWidth="0" w:num="1">
            <w:col w:w="11280"/>
          </w:cols>
          <w:pgMar w:left="320" w:top="904" w:right="299" w:bottom="1440" w:gutter="0" w:footer="0" w:header="0"/>
        </w:sectPr>
      </w:pPr>
    </w:p>
    <w:bookmarkStart w:id="131" w:name="page132"/>
    <w:bookmarkEnd w:id="131"/>
    <w:p>
      <w:pPr>
        <w:jc w:val="right"/>
        <w:spacing w:after="0"/>
        <w:rPr>
          <w:sz w:val="20"/>
          <w:szCs w:val="20"/>
          <w:color w:val="auto"/>
        </w:rPr>
      </w:pPr>
      <w:r>
        <w:rPr>
          <w:rFonts w:ascii="Arial" w:cs="Arial" w:eastAsia="Arial" w:hAnsi="Arial"/>
          <w:sz w:val="22"/>
          <w:szCs w:val="22"/>
          <w:b w:val="1"/>
          <w:bCs w:val="1"/>
          <w:color w:val="auto"/>
        </w:rPr>
        <w:t>Exhibit 3.2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245 of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General Corporation Law</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 I Acquisitions, Inc., a corporation existing under the laws of the State of Delaware (the “Corporation”), by its Chief Executive Officer, hereby certifies as follows:</w:t>
      </w:r>
    </w:p>
    <w:p>
      <w:pPr>
        <w:spacing w:after="0" w:line="170" w:lineRule="exact"/>
        <w:rPr>
          <w:sz w:val="20"/>
          <w:szCs w:val="20"/>
          <w:color w:val="auto"/>
        </w:rPr>
      </w:pPr>
    </w:p>
    <w:p>
      <w:pPr>
        <w:ind w:left="640" w:hanging="635"/>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name of the corporation is M I Acquisitions, Inc. (hereinafter called the “Corporation’).</w:t>
      </w:r>
    </w:p>
    <w:p>
      <w:pPr>
        <w:spacing w:after="0" w:line="225" w:lineRule="exact"/>
        <w:rPr>
          <w:rFonts w:ascii="Arial" w:cs="Arial" w:eastAsia="Arial" w:hAnsi="Arial"/>
          <w:sz w:val="18"/>
          <w:szCs w:val="18"/>
          <w:color w:val="auto"/>
        </w:rPr>
      </w:pPr>
    </w:p>
    <w:p>
      <w:pPr>
        <w:ind w:left="640" w:hanging="635"/>
        <w:spacing w:after="0"/>
        <w:tabs>
          <w:tab w:leader="none" w:pos="6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Corporation’s Certificate of Incorporation was filed in the office of the Secretary of State of the State of Delaware on April 23, 2015.</w:t>
      </w:r>
    </w:p>
    <w:p>
      <w:pPr>
        <w:spacing w:after="0" w:line="236" w:lineRule="exact"/>
        <w:rPr>
          <w:rFonts w:ascii="Arial" w:cs="Arial" w:eastAsia="Arial" w:hAnsi="Arial"/>
          <w:sz w:val="17"/>
          <w:szCs w:val="17"/>
          <w:color w:val="auto"/>
        </w:rPr>
      </w:pPr>
    </w:p>
    <w:p>
      <w:pPr>
        <w:ind w:left="640" w:hanging="635"/>
        <w:spacing w:after="0"/>
        <w:tabs>
          <w:tab w:leader="none" w:pos="6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This Amended Restated Certificate of Incorporation restates, integrates and amends the Certificate of Incorporation of the Corporation.</w:t>
      </w:r>
    </w:p>
    <w:p>
      <w:pPr>
        <w:spacing w:after="0" w:line="236" w:lineRule="exact"/>
        <w:rPr>
          <w:rFonts w:ascii="Arial" w:cs="Arial" w:eastAsia="Arial" w:hAnsi="Arial"/>
          <w:sz w:val="17"/>
          <w:szCs w:val="17"/>
          <w:color w:val="auto"/>
        </w:rPr>
      </w:pPr>
    </w:p>
    <w:p>
      <w:pPr>
        <w:jc w:val="both"/>
        <w:ind w:firstLine="5"/>
        <w:spacing w:after="0" w:line="264" w:lineRule="auto"/>
        <w:tabs>
          <w:tab w:leader="none" w:pos="88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was duly adopted by the written consent of the directors and stockholders of the Corporation in accordance with the applicable provisions of Sections 141(f), 228, 242 and 245 of the General Corporation Law of the State of Delaware (“GCL”).</w:t>
      </w:r>
    </w:p>
    <w:p>
      <w:pPr>
        <w:spacing w:after="0" w:line="181" w:lineRule="exact"/>
        <w:rPr>
          <w:rFonts w:ascii="Arial" w:cs="Arial" w:eastAsia="Arial" w:hAnsi="Arial"/>
          <w:sz w:val="18"/>
          <w:szCs w:val="18"/>
          <w:color w:val="auto"/>
        </w:rPr>
      </w:pPr>
    </w:p>
    <w:p>
      <w:pPr>
        <w:ind w:left="640" w:hanging="635"/>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text of the Certificate of Incorporation of the Corporation is hereby amended and restated to read in full as follows: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FIRST: The name of the corporation is M I Acquisitions, Inc. (hereinafter called the "Corporation").</w:t>
      </w:r>
    </w:p>
    <w:p>
      <w:pPr>
        <w:spacing w:after="0" w:line="225"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SECOND: The registered office of the Corporation is to be located at 28 Old Rudnick Lane, in the City of Dover, in the County of Kent, in the State of Delaware 19901. The name of its registered agent at that address is Corp1, Inc.</w:t>
      </w:r>
    </w:p>
    <w:p>
      <w:pPr>
        <w:spacing w:after="0" w:line="170"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General Corporation Law of Delaware (“GCL”).</w:t>
      </w:r>
    </w:p>
    <w:p>
      <w:pPr>
        <w:spacing w:after="0" w:line="170"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FOURTH: The name and mailing address of the incorporator is: [Jaszick Maldonado, c/o Loeb &amp; Loeb LLP, 345 Park Avenue, New York NY 10154.]</w:t>
      </w:r>
    </w:p>
    <w:p>
      <w:pPr>
        <w:spacing w:after="0" w:line="170"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FIFTH: The total number of shares of all classes of capital stock which the Corporation shall have authority to issue is 51,000,000, of which 50,000,000 shares shall be common stock of the par value $.001 per share (“Common Stock”) and 1,000,000 shares shall be preferred stock of the par value of $.001 per share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415925</wp:posOffset>
            </wp:positionV>
            <wp:extent cx="716089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00"/>
          </w:cols>
          <w:pgMar w:left="380" w:top="355" w:right="319" w:bottom="1440" w:gutter="0" w:footer="0" w:header="0"/>
        </w:sectPr>
      </w:pPr>
    </w:p>
    <w:bookmarkStart w:id="132" w:name="page133"/>
    <w:bookmarkEnd w:id="132"/>
    <w:p>
      <w:pPr>
        <w:jc w:val="both"/>
        <w:ind w:left="660" w:hanging="3"/>
        <w:spacing w:after="0" w:line="270" w:lineRule="auto"/>
        <w:tabs>
          <w:tab w:leader="none" w:pos="1465"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Preferred Stock.</w:t>
      </w:r>
      <w:r>
        <w:rPr>
          <w:rFonts w:ascii="Arial" w:cs="Arial" w:eastAsia="Arial" w:hAnsi="Arial"/>
          <w:sz w:val="17"/>
          <w:szCs w:val="17"/>
          <w:color w:val="auto"/>
        </w:rPr>
        <w:t xml:space="preserve"> 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“Preferred Stock Designation”) and as may be permitted by the GCL.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181" w:lineRule="exact"/>
        <w:rPr>
          <w:rFonts w:ascii="Arial" w:cs="Arial" w:eastAsia="Arial" w:hAnsi="Arial"/>
          <w:sz w:val="17"/>
          <w:szCs w:val="17"/>
          <w:color w:val="auto"/>
        </w:rPr>
      </w:pPr>
    </w:p>
    <w:p>
      <w:pPr>
        <w:ind w:left="660" w:hanging="3"/>
        <w:spacing w:after="0" w:line="308" w:lineRule="auto"/>
        <w:tabs>
          <w:tab w:leader="none" w:pos="1320"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Common Stock.</w:t>
      </w:r>
      <w:r>
        <w:rPr>
          <w:rFonts w:ascii="Arial" w:cs="Arial" w:eastAsia="Arial" w:hAnsi="Arial"/>
          <w:sz w:val="17"/>
          <w:szCs w:val="17"/>
          <w:color w:val="auto"/>
        </w:rPr>
        <w:t xml:space="preserve"> Except as otherwise required by law or as otherwise provided in any Preferred Stock Designation, the holders of the Common Stock shall exclusively possess all voting power and each share of Common Stock shall have one vote.</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SIXTH: This Article Sixth shall apply during the period commencing upon the filing of this Certificate of Incorporation and terminating upon the consummation of any “Business Combination” (as defined below). A “Business Combination” shall mean any merger, capital stock exchange, asset, stock purchase, reorganization or other similar business combination involving the Corporation and one or more businesses or entities (“Target Business”), or entering into contractual arrangements that give the Corporation control over such a Target Business, and, if the Corporation is then listed on a national securities exchange, the Target Business has a fair market value equal to at least 80% of the balance in the Trust Fund (defined below), less any deferred underwriting commissions and taxes payable on interest earned, at the time of signing a definitive agreement in connection with the initial Business Combination. “IPO Shares” shall mean the shares sold pursuant to the registration statement on Form S-1 (“Registration Statement”) filed with the Securities and Exchange Commission (“Commission”) in connection with the Corporation’s initial public offering (“IPO”).</w:t>
      </w:r>
    </w:p>
    <w:p>
      <w:pPr>
        <w:spacing w:after="0" w:line="197" w:lineRule="exact"/>
        <w:rPr>
          <w:sz w:val="20"/>
          <w:szCs w:val="20"/>
          <w:color w:val="auto"/>
        </w:rPr>
      </w:pPr>
    </w:p>
    <w:p>
      <w:pPr>
        <w:jc w:val="both"/>
        <w:ind w:left="660" w:hanging="3"/>
        <w:spacing w:after="0" w:line="259" w:lineRule="auto"/>
        <w:tabs>
          <w:tab w:leader="none" w:pos="1407"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Prior to the consummation of a Business Combination, the Corporation shall either (i) submit any Business Combination to its holders of Common Stock for approval (“Proxy Solicitation”) pursuant to the proxy rules promulgated under the Securities Exchange Act of 1934, as amended (“Exchange Act”), or (ii) provide its holders of IPO Shares with the opportunity to sell their shares to the Corporation by means of a tender offer (“Tender Offer”).</w:t>
      </w:r>
    </w:p>
    <w:p>
      <w:pPr>
        <w:spacing w:after="0" w:line="186" w:lineRule="exact"/>
        <w:rPr>
          <w:rFonts w:ascii="Arial" w:cs="Arial" w:eastAsia="Arial" w:hAnsi="Arial"/>
          <w:sz w:val="18"/>
          <w:szCs w:val="18"/>
          <w:color w:val="auto"/>
        </w:rPr>
      </w:pPr>
    </w:p>
    <w:p>
      <w:pPr>
        <w:jc w:val="both"/>
        <w:ind w:left="660" w:hanging="3"/>
        <w:spacing w:after="0" w:line="286" w:lineRule="auto"/>
        <w:tabs>
          <w:tab w:leader="none" w:pos="13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If the Corporation engages in a Proxy Solicitation with respect to a Business Combination, the Corporation will consummate the Business Combination only if a majority of the then outstanding shares of Common Stock present and entitled to vote at the meeting to approve the Business Combination are voted for the approval of such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405765</wp:posOffset>
            </wp:positionV>
            <wp:extent cx="716089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20"/>
          </w:cols>
          <w:pgMar w:left="960" w:top="908" w:right="319" w:bottom="1440" w:gutter="0" w:footer="0" w:header="0"/>
        </w:sectPr>
      </w:pPr>
    </w:p>
    <w:bookmarkStart w:id="133" w:name="page134"/>
    <w:bookmarkEnd w:id="133"/>
    <w:p>
      <w:pPr>
        <w:jc w:val="both"/>
        <w:ind w:left="180" w:hanging="3"/>
        <w:spacing w:after="0" w:line="267" w:lineRule="auto"/>
        <w:tabs>
          <w:tab w:leader="none" w:pos="869"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the event that a Business Combination is consummated by the Corporation or the Corporation holds a vote of its stockholders to amend its Certificate of Incorporation, any holder of IPO Shares who (i) voted on the proposal to approve such Business Combination or amend the Certificate of Incorporation, whether such holder voted in favor or against such Business Combination or amendment, and followed the procedures contained in the proxy materials to perfect the holder’s right to convert the holder’s IPO Shares into cash, if any, or (ii) tendered the holder’s IPO Shares as specified in the tender offer materials therefore, shall be entitled to receive the Conversion Price (as defined below) in exchanges for the holder’s IPO Shares. The Corporation shall, promptly after consummation of the Business Combination or the filing of the amendment to the Certificate of Incorporation with the Secretary of State of the State of Delaware, convert such shares into cash at a per share price equal to the quotient determined by dividing (i) the amount then held in the Trust Fund (as defined below) less any income taxes owed on such funds but not yet paid, calculated as of two business days prior to the consummation of the Business Combination or the filing of the amendment, as applicable, by (ii) the total number of IPO Shares then outstanding (such price being referred to as the “Conversion Price”). “Trust Fund” shall mean the trust account established by the Corporation at the consummation of its IPO and into which the amount specified in Registration Statement is deposited. Notwithstanding the foregoing, a holder of IPO Shares, together with any affiliate of his or any other person with whom he is acting in concert or as a “group” (within the meaning of Section 13(d)(3) of the Exchange Act) (“Group”) with, will be restricted from demanding conversion in connection with a proposed Business Combination with respect to 20.0% or more of the IPO Shares. Accordingly, all IPO Shares beneficially owned by such holder or any other person with whom such holder is acting in concert or as a Group with in excess of 20.0% or more of the IPO Shares will remain outstanding following consummation of such Business Combination in the name of the stockholder and not be converted.</w:t>
      </w:r>
    </w:p>
    <w:p>
      <w:pPr>
        <w:spacing w:after="0" w:line="191" w:lineRule="exact"/>
        <w:rPr>
          <w:rFonts w:ascii="Arial" w:cs="Arial" w:eastAsia="Arial" w:hAnsi="Arial"/>
          <w:sz w:val="17"/>
          <w:szCs w:val="17"/>
          <w:color w:val="auto"/>
        </w:rPr>
      </w:pPr>
    </w:p>
    <w:p>
      <w:pPr>
        <w:ind w:left="180" w:hanging="3"/>
        <w:spacing w:after="0" w:line="277" w:lineRule="auto"/>
        <w:tabs>
          <w:tab w:leader="none" w:pos="95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Corporation will not consummate any Business Combination unless it has net tangible assets of at least $5,000,001 upon consummation of such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408940</wp:posOffset>
            </wp:positionV>
            <wp:extent cx="71608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140"/>
          </w:cols>
          <w:pgMar w:left="1440" w:top="1124" w:right="319" w:bottom="1440" w:gutter="0" w:footer="0" w:header="0"/>
        </w:sectPr>
      </w:pPr>
    </w:p>
    <w:bookmarkStart w:id="134" w:name="page135"/>
    <w:bookmarkEnd w:id="134"/>
    <w:p>
      <w:pPr>
        <w:jc w:val="both"/>
        <w:ind w:left="180" w:hanging="3"/>
        <w:spacing w:after="0" w:line="286" w:lineRule="auto"/>
        <w:tabs>
          <w:tab w:leader="none" w:pos="868"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the event that the Corporation does not consummate a Business Combination by (i) 18 months from the consummation of the IPO or (ii) 21 months from the consummation of the IPO if the Corporation executed a letter of intent or definitive agreement for a Business Combination within 18 months from the closing of the IPO but has not completed the Business Combination within such 18-month period (in either case, such date being referred to as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per-share redemption price shall be equal to a pro rata share of the Trust Account plus any pro rata interest earned on the funds held in the Trust Account and not previously released to the Corporation for its working capital requirements or necessary to pay its taxes divided by the total number of IPO Shares then outstanding.</w:t>
      </w:r>
    </w:p>
    <w:p>
      <w:pPr>
        <w:spacing w:after="0" w:line="168" w:lineRule="exact"/>
        <w:rPr>
          <w:rFonts w:ascii="Arial" w:cs="Arial" w:eastAsia="Arial" w:hAnsi="Arial"/>
          <w:sz w:val="16"/>
          <w:szCs w:val="16"/>
          <w:color w:val="auto"/>
        </w:rPr>
      </w:pPr>
    </w:p>
    <w:p>
      <w:pPr>
        <w:jc w:val="both"/>
        <w:ind w:left="180" w:hanging="3"/>
        <w:spacing w:after="0" w:line="259" w:lineRule="auto"/>
        <w:tabs>
          <w:tab w:leader="none" w:pos="823"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holder of IPO Shares shall only be entitled to receive distributions from the Trust Fund in the event (i) he demands conversion of his shares in accordance with paragraph C above or (ii) that the Corporation has not consummated a Business Combination by the Termination Date as described in paragraph E above. In no other circumstances shall a holder of IPO Shares have any right or interest of any kind in or to the Trust Fund.</w:t>
      </w:r>
    </w:p>
    <w:p>
      <w:pPr>
        <w:spacing w:after="0" w:line="186" w:lineRule="exact"/>
        <w:rPr>
          <w:rFonts w:ascii="Arial" w:cs="Arial" w:eastAsia="Arial" w:hAnsi="Arial"/>
          <w:sz w:val="18"/>
          <w:szCs w:val="18"/>
          <w:color w:val="auto"/>
        </w:rPr>
      </w:pPr>
    </w:p>
    <w:p>
      <w:pPr>
        <w:jc w:val="both"/>
        <w:ind w:left="180" w:hanging="3"/>
        <w:spacing w:after="0" w:line="264" w:lineRule="auto"/>
        <w:tabs>
          <w:tab w:leader="none" w:pos="1066"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Prior to a Business Combination, the Board of Directors may not issue (i) any shares of Common Stock or any securities convertible into Common Stock; or (ii) any securities which participate in or are otherwise entitled in any manner to any of the proceeds in the Trust Fund or which vote as a class with the Common Stock on a Business Combination.</w:t>
      </w:r>
    </w:p>
    <w:p>
      <w:pPr>
        <w:spacing w:after="0" w:line="181" w:lineRule="exact"/>
        <w:rPr>
          <w:rFonts w:ascii="Arial" w:cs="Arial" w:eastAsia="Arial" w:hAnsi="Arial"/>
          <w:sz w:val="18"/>
          <w:szCs w:val="18"/>
          <w:color w:val="auto"/>
        </w:rPr>
      </w:pPr>
    </w:p>
    <w:p>
      <w:pPr>
        <w:jc w:val="both"/>
        <w:ind w:left="180" w:hanging="3"/>
        <w:spacing w:after="0" w:line="267" w:lineRule="auto"/>
        <w:tabs>
          <w:tab w:leader="none" w:pos="861"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Board of Directors shall be divided into three classes: First Class, Second Class and Third Class. The number of directors in each class shall be as nearly equal as possible. At the first election of directors by the incorporator, the incorporator shall elect a Third Class director for a term expiring at the Corporation’s third Annual Meeting of Stockholders. The Third Class director shall then appoint additional First Class, Second Class and Third Class directors, as necessary. The directors in First Class shall be elected for a term expiring at the first Annual Meeting of Stockholders, the directors in Second Class shall be elected for a term expiring at the second Annual Meeting of Stockholders and the directors in Third Class shall be elected for a term expiring at the third Annual Meeting of Stockholders. Commencing at the first Annual Meeting of Stockholders, and at each annual meeting thereafter, directors elected to succeed those directors whose terms expire shall be elected for a term of office to expire at the third succeeding annual meeting of stockholders after their election. Except as the GCL may otherwise require, in the interim between annual meetings of stockholders or special meetings of stockholders called for the election of directors and/or the removal of one or more directors and the filling of any vacancy in that connection, newly created directorships and any vacancies in the Board of Directors, including unfilled vacancies resulting from the removal of directors for cause, may be filled by the vote of a majority of the remaining directors then in office, although less than a quorum (as defined in the Corporation’s Bylaws), or by the sole remaining director. All directors shall hold office until the expiration of their respective terms of office and until their successors shall have been elected and qualified or until his or her earlier resignation, removal or death. A director elected to fill a vacancy resulting from the death, resignation or removal of a director shall serve for the remainder of the full term of the director whose death, resignation or removal shall have created such vacancy and until his or her successor shall have been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422910</wp:posOffset>
            </wp:positionV>
            <wp:extent cx="71608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140"/>
          </w:cols>
          <w:pgMar w:left="1440" w:top="1125" w:right="319" w:bottom="1440" w:gutter="0" w:footer="0" w:header="0"/>
        </w:sectPr>
      </w:pPr>
    </w:p>
    <w:bookmarkStart w:id="135" w:name="page136"/>
    <w:bookmarkEnd w:id="135"/>
    <w:p>
      <w:pPr>
        <w:spacing w:after="0" w:line="277" w:lineRule="auto"/>
        <w:rPr>
          <w:sz w:val="20"/>
          <w:szCs w:val="20"/>
          <w:color w:val="auto"/>
        </w:rPr>
      </w:pPr>
      <w:r>
        <w:rPr>
          <w:rFonts w:ascii="Arial" w:cs="Arial" w:eastAsia="Arial" w:hAnsi="Arial"/>
          <w:sz w:val="18"/>
          <w:szCs w:val="18"/>
          <w:color w:val="auto"/>
        </w:rPr>
        <w:t>SEVENTH: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70" w:lineRule="exact"/>
        <w:rPr>
          <w:sz w:val="20"/>
          <w:szCs w:val="20"/>
          <w:color w:val="auto"/>
        </w:rPr>
      </w:pPr>
    </w:p>
    <w:p>
      <w:pPr>
        <w:ind w:left="1320" w:hanging="663"/>
        <w:spacing w:after="0"/>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Election of directors need not be by ballot unless the by-laws of the Corporation so provide.</w:t>
      </w:r>
    </w:p>
    <w:p>
      <w:pPr>
        <w:spacing w:after="0" w:line="225" w:lineRule="exact"/>
        <w:rPr>
          <w:rFonts w:ascii="Arial" w:cs="Arial" w:eastAsia="Arial" w:hAnsi="Arial"/>
          <w:sz w:val="18"/>
          <w:szCs w:val="18"/>
          <w:color w:val="auto"/>
        </w:rPr>
      </w:pPr>
    </w:p>
    <w:p>
      <w:pPr>
        <w:ind w:left="660" w:hanging="3"/>
        <w:spacing w:after="0" w:line="277" w:lineRule="auto"/>
        <w:tabs>
          <w:tab w:leader="none" w:pos="137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Board of Directors shall have the power, without the assent or vote of the stockholders, to make, alter, amend, change, add to or repeal the by-laws of the Corporation as provided in the by-laws of the Corporation.</w:t>
      </w:r>
    </w:p>
    <w:p>
      <w:pPr>
        <w:spacing w:after="0" w:line="170" w:lineRule="exact"/>
        <w:rPr>
          <w:rFonts w:ascii="Arial" w:cs="Arial" w:eastAsia="Arial" w:hAnsi="Arial"/>
          <w:sz w:val="18"/>
          <w:szCs w:val="18"/>
          <w:color w:val="auto"/>
        </w:rPr>
      </w:pPr>
    </w:p>
    <w:p>
      <w:pPr>
        <w:jc w:val="both"/>
        <w:ind w:left="660" w:hanging="3"/>
        <w:spacing w:after="0" w:line="255" w:lineRule="auto"/>
        <w:tabs>
          <w:tab w:leader="none" w:pos="157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directors in their discretion may submit any contract or act for approval or ratification at any annual meeting of the stockholders or at any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89" w:lineRule="exact"/>
        <w:rPr>
          <w:rFonts w:ascii="Arial" w:cs="Arial" w:eastAsia="Arial" w:hAnsi="Arial"/>
          <w:sz w:val="18"/>
          <w:szCs w:val="18"/>
          <w:color w:val="auto"/>
        </w:rPr>
      </w:pPr>
    </w:p>
    <w:p>
      <w:pPr>
        <w:jc w:val="both"/>
        <w:ind w:left="660" w:hanging="3"/>
        <w:spacing w:after="0" w:line="257" w:lineRule="auto"/>
        <w:tabs>
          <w:tab w:leader="none" w:pos="1499"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Delaware, of this Certificate of Incorporation, and to any bylaws from time to time made by the stockholders; provided, however, that no bylaw so made shall invalidate any prior act of the directors which would have been valid if such bylaw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420370</wp:posOffset>
            </wp:positionV>
            <wp:extent cx="71608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20"/>
          </w:cols>
          <w:pgMar w:left="960" w:top="908" w:right="31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EIGHTH:</w:t>
      </w:r>
    </w:p>
    <w:p>
      <w:pPr>
        <w:spacing w:after="0" w:line="225" w:lineRule="exact"/>
        <w:rPr>
          <w:sz w:val="20"/>
          <w:szCs w:val="20"/>
          <w:color w:val="auto"/>
        </w:rPr>
      </w:pPr>
    </w:p>
    <w:p>
      <w:pPr>
        <w:jc w:val="both"/>
        <w:ind w:left="660" w:hanging="3"/>
        <w:spacing w:after="0" w:line="271" w:lineRule="auto"/>
        <w:tabs>
          <w:tab w:leader="none" w:pos="1483" w:val="left"/>
        </w:tabs>
        <w:numPr>
          <w:ilvl w:val="0"/>
          <w:numId w:val="79"/>
        </w:numPr>
        <w:rPr>
          <w:rFonts w:ascii="Arial" w:cs="Arial" w:eastAsia="Arial" w:hAnsi="Arial"/>
          <w:sz w:val="17"/>
          <w:szCs w:val="17"/>
          <w:color w:val="auto"/>
        </w:rPr>
      </w:pPr>
      <w:r>
        <w:rPr>
          <w:rFonts w:ascii="Arial" w:cs="Arial" w:eastAsia="Arial" w:hAnsi="Arial"/>
          <w:sz w:val="17"/>
          <w:szCs w:val="17"/>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GCL, or (iv) for any transaction from which the director derived an improper personal benefit. If the GCL is amended to authorize corporate action further eliminating or limiting the personal liability of directors, then the liability of a director of the Corporation shall be eliminated or limited to the fullest extent permitted by the GCL, as so amended. Any repeal or modification of this paragraph A by the stockholders of the Corporation shall not adversely affect any right or protection of a director of the Corporation with respect to events occurring prior to the time of such repeal or modification.</w:t>
      </w:r>
    </w:p>
    <w:p>
      <w:pPr>
        <w:spacing w:after="0" w:line="178" w:lineRule="exact"/>
        <w:rPr>
          <w:rFonts w:ascii="Arial" w:cs="Arial" w:eastAsia="Arial" w:hAnsi="Arial"/>
          <w:sz w:val="17"/>
          <w:szCs w:val="17"/>
          <w:color w:val="auto"/>
        </w:rPr>
      </w:pPr>
    </w:p>
    <w:p>
      <w:pPr>
        <w:jc w:val="both"/>
        <w:ind w:left="660" w:hanging="3"/>
        <w:spacing w:after="0" w:line="255" w:lineRule="auto"/>
        <w:tabs>
          <w:tab w:leader="none" w:pos="146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Corporation, to the full extent permitted by Section 145 of the 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93" w:lineRule="exact"/>
        <w:rPr>
          <w:rFonts w:ascii="Arial" w:cs="Arial" w:eastAsia="Arial" w:hAnsi="Arial"/>
          <w:sz w:val="18"/>
          <w:szCs w:val="18"/>
          <w:color w:val="auto"/>
        </w:rPr>
      </w:pPr>
    </w:p>
    <w:p>
      <w:pPr>
        <w:jc w:val="both"/>
        <w:ind w:left="660" w:hanging="3"/>
        <w:spacing w:after="0" w:line="279" w:lineRule="auto"/>
        <w:tabs>
          <w:tab w:leader="none" w:pos="1347" w:val="left"/>
        </w:tabs>
        <w:numPr>
          <w:ilvl w:val="0"/>
          <w:numId w:val="79"/>
        </w:numPr>
        <w:rPr>
          <w:rFonts w:ascii="Arial" w:cs="Arial" w:eastAsia="Arial" w:hAnsi="Arial"/>
          <w:sz w:val="17"/>
          <w:szCs w:val="17"/>
          <w:color w:val="auto"/>
        </w:rPr>
      </w:pPr>
      <w:r>
        <w:rPr>
          <w:rFonts w:ascii="Arial" w:cs="Arial" w:eastAsia="Arial" w:hAnsi="Arial"/>
          <w:sz w:val="17"/>
          <w:szCs w:val="17"/>
          <w:color w:val="auto"/>
        </w:rPr>
        <w:t>Notwithstanding the foregoing provisions of this Article Eighth, no indemnification nor advancement of expenses will extend to any claims made by the Company’s officers and directors to cover any loss that such individuals may sustain as a result of such individuals’ agreement to pay debts and obligations to target businesses or vendors or other entities that are owed money by the Corporation for services rendered or contracted for or products sold to the Corporation, as described in the Registration Statement.</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NINTH: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416560</wp:posOffset>
            </wp:positionV>
            <wp:extent cx="71608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20"/>
          </w:cols>
          <w:pgMar w:left="960" w:top="1125" w:right="31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color w:val="auto"/>
        </w:rPr>
        <w:t>IN WITNESS WHEREOF, the Corporation has caused this Amended and Restated Certificate of Incorporation to be signed by Joshua Sason, its Chief</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w w:val="97"/>
              </w:rPr>
              <w:t>Executive Officer, as of the ___ day of</w:t>
            </w:r>
          </w:p>
        </w:tc>
        <w:tc>
          <w:tcPr>
            <w:tcW w:w="2620" w:type="dxa"/>
            <w:vAlign w:val="bottom"/>
          </w:tcPr>
          <w:p>
            <w:pPr>
              <w:jc w:val="right"/>
              <w:ind w:right="1850"/>
              <w:spacing w:after="0"/>
              <w:rPr>
                <w:sz w:val="20"/>
                <w:szCs w:val="20"/>
                <w:color w:val="auto"/>
              </w:rPr>
            </w:pPr>
            <w:r>
              <w:rPr>
                <w:rFonts w:ascii="Arial" w:cs="Arial" w:eastAsia="Arial" w:hAnsi="Arial"/>
                <w:sz w:val="18"/>
                <w:szCs w:val="18"/>
                <w:color w:val="auto"/>
              </w:rPr>
              <w:t>, 2015.</w:t>
            </w:r>
          </w:p>
        </w:tc>
        <w:tc>
          <w:tcPr>
            <w:tcW w:w="5660" w:type="dxa"/>
            <w:vAlign w:val="bottom"/>
          </w:tcPr>
          <w:p>
            <w:pPr>
              <w:spacing w:after="0"/>
              <w:rPr>
                <w:sz w:val="20"/>
                <w:szCs w:val="20"/>
                <w:color w:val="auto"/>
              </w:rPr>
            </w:pPr>
          </w:p>
        </w:tc>
      </w:tr>
      <w:tr>
        <w:trPr>
          <w:trHeight w:val="418"/>
        </w:trPr>
        <w:tc>
          <w:tcPr>
            <w:tcW w:w="30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660" w:type="dxa"/>
            <w:vAlign w:val="bottom"/>
          </w:tcPr>
          <w:p>
            <w:pPr>
              <w:spacing w:after="0"/>
              <w:rPr>
                <w:sz w:val="24"/>
                <w:szCs w:val="24"/>
                <w:color w:val="auto"/>
              </w:rPr>
            </w:pPr>
          </w:p>
        </w:tc>
      </w:tr>
      <w:tr>
        <w:trPr>
          <w:trHeight w:val="224"/>
        </w:trPr>
        <w:tc>
          <w:tcPr>
            <w:tcW w:w="3000" w:type="dxa"/>
            <w:vAlign w:val="bottom"/>
          </w:tcPr>
          <w:p>
            <w:pPr>
              <w:spacing w:after="0"/>
              <w:rPr>
                <w:sz w:val="20"/>
                <w:szCs w:val="20"/>
                <w:color w:val="auto"/>
              </w:rPr>
            </w:pPr>
            <w:r>
              <w:rPr>
                <w:rFonts w:ascii="Arial" w:cs="Arial" w:eastAsia="Arial" w:hAnsi="Arial"/>
                <w:sz w:val="18"/>
                <w:szCs w:val="18"/>
                <w:color w:val="auto"/>
                <w:w w:val="97"/>
              </w:rPr>
              <w:t>Joshua Sason, Chief Executive Officer</w:t>
            </w:r>
          </w:p>
        </w:tc>
        <w:tc>
          <w:tcPr>
            <w:tcW w:w="2620" w:type="dxa"/>
            <w:vAlign w:val="bottom"/>
          </w:tcPr>
          <w:p>
            <w:pPr>
              <w:spacing w:after="0"/>
              <w:rPr>
                <w:sz w:val="19"/>
                <w:szCs w:val="19"/>
                <w:color w:val="auto"/>
              </w:rPr>
            </w:pPr>
          </w:p>
        </w:tc>
        <w:tc>
          <w:tcPr>
            <w:tcW w:w="5660" w:type="dxa"/>
            <w:vAlign w:val="bottom"/>
          </w:tcPr>
          <w:p>
            <w:pPr>
              <w:spacing w:after="0"/>
              <w:rPr>
                <w:sz w:val="19"/>
                <w:szCs w:val="19"/>
                <w:color w:val="auto"/>
              </w:rPr>
            </w:pPr>
          </w:p>
        </w:tc>
      </w:tr>
      <w:tr>
        <w:trPr>
          <w:trHeight w:val="661"/>
        </w:trPr>
        <w:tc>
          <w:tcPr>
            <w:tcW w:w="30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20" w:top="1124" w:right="29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3.3</w:t>
      </w:r>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32"/>
          <w:szCs w:val="32"/>
          <w:b w:val="1"/>
          <w:bCs w:val="1"/>
          <w:color w:val="auto"/>
        </w:rPr>
        <w:t>BYLAWS</w:t>
      </w:r>
    </w:p>
    <w:p>
      <w:pPr>
        <w:spacing w:after="0" w:line="213" w:lineRule="exact"/>
        <w:rPr>
          <w:sz w:val="20"/>
          <w:szCs w:val="20"/>
          <w:color w:val="auto"/>
        </w:rPr>
      </w:pPr>
    </w:p>
    <w:p>
      <w:pPr>
        <w:jc w:val="center"/>
        <w:ind w:right="1120"/>
        <w:spacing w:after="0"/>
        <w:rPr>
          <w:sz w:val="20"/>
          <w:szCs w:val="20"/>
          <w:color w:val="auto"/>
        </w:rPr>
      </w:pPr>
      <w:r>
        <w:rPr>
          <w:rFonts w:ascii="Arial" w:cs="Arial" w:eastAsia="Arial" w:hAnsi="Arial"/>
          <w:sz w:val="32"/>
          <w:szCs w:val="32"/>
          <w:b w:val="1"/>
          <w:bCs w:val="1"/>
          <w:color w:val="auto"/>
        </w:rPr>
        <w:t>OF</w:t>
      </w:r>
    </w:p>
    <w:p>
      <w:pPr>
        <w:spacing w:after="0" w:line="213" w:lineRule="exact"/>
        <w:rPr>
          <w:sz w:val="20"/>
          <w:szCs w:val="20"/>
          <w:color w:val="auto"/>
        </w:rPr>
      </w:pPr>
    </w:p>
    <w:p>
      <w:pPr>
        <w:jc w:val="center"/>
        <w:ind w:right="1120"/>
        <w:spacing w:after="0"/>
        <w:rPr>
          <w:sz w:val="20"/>
          <w:szCs w:val="20"/>
          <w:color w:val="auto"/>
        </w:rPr>
      </w:pPr>
      <w:r>
        <w:rPr>
          <w:rFonts w:ascii="Arial" w:cs="Arial" w:eastAsia="Arial" w:hAnsi="Arial"/>
          <w:sz w:val="32"/>
          <w:szCs w:val="32"/>
          <w:b w:val="1"/>
          <w:bCs w:val="1"/>
          <w:color w:val="auto"/>
        </w:rPr>
        <w:t>M I ACQUISITIONS, INC.</w:t>
      </w:r>
    </w:p>
    <w:p>
      <w:pPr>
        <w:spacing w:after="0" w:line="236"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 A Delaware Corporation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377825</wp:posOffset>
            </wp:positionV>
            <wp:extent cx="716089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registered office of the corporation shall be located in such place as may be provided from time to time in the Certificate of Incorporation.</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as the business of the corporation may require.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STOCKHOLDERS</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 of the stockholders of the corporation shall be held wholly or partially by means of remote communication or at such place, within or without the State of Delaware, on such date and at such time as may be determined by the board of directors and as shall be designated in the notice of said meeting.</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stockholders for any purpose or purposes, unless otherwise prescribed by statute or by the Certificate of Incorporation, may be held wholly or partially by means of remote communication or at any place, within or without the State of Delaware, and may be called by resolution of the board of directors, or by the Chairman or the President.</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Notice and Purpose of Meetings</w:t>
      </w:r>
      <w:r>
        <w:rPr>
          <w:rFonts w:ascii="Arial" w:cs="Arial" w:eastAsia="Arial" w:hAnsi="Arial"/>
          <w:sz w:val="18"/>
          <w:szCs w:val="18"/>
          <w:color w:val="auto"/>
        </w:rPr>
        <w:t>. Written or printed notice of the meeting stating the place, day and hour of the meeting and, in case of a special meeting, stating the purpose or purposes for which the meeting is called, and in case of a meeting held by remote communication stating such means, shall be delivered not less than 10 nor more than 60 days before the date of the meeting, either personally, or by mail, or if prior consent has been received by a stockholder by electronic transmission, by or at the direction of the Chairman or the President, the Secretary, or the persons calling the meeting, to each stockholder of record entitled to vote at such meeting.</w:t>
      </w:r>
    </w:p>
    <w:p>
      <w:pPr>
        <w:spacing w:after="0" w:line="18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Quorum</w:t>
      </w:r>
      <w:r>
        <w:rPr>
          <w:rFonts w:ascii="Arial" w:cs="Arial" w:eastAsia="Arial" w:hAnsi="Arial"/>
          <w:sz w:val="17"/>
          <w:szCs w:val="17"/>
          <w:color w:val="auto"/>
        </w:rPr>
        <w:t>. The holders of a majority of the shares of capital stock issued and outstanding and entitled to vote, represented in person or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140" w:name="page141"/>
    <w:bookmarkEnd w:id="140"/>
    <w:p>
      <w:pPr>
        <w:jc w:val="both"/>
        <w:ind w:firstLine="1297"/>
        <w:spacing w:after="0" w:line="25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Voting Process</w:t>
      </w:r>
      <w:r>
        <w:rPr>
          <w:rFonts w:ascii="Arial" w:cs="Arial" w:eastAsia="Arial" w:hAnsi="Arial"/>
          <w:sz w:val="18"/>
          <w:szCs w:val="18"/>
          <w:color w:val="auto"/>
        </w:rPr>
        <w:t>. If a quorum is present or represented, the affirmative vote of a majority of the shares of stock present or represented at the meeting, by ballot, proxy or electronic ballot, shall be the act of the stockholders unless the vote of a greater number of shares of stock is required by law, by the Certificate of Incorporation or by these by-laws. Each outstanding share of stock having voting power, shall be entitled to one vote on each matter submitted to a vote at a meeting of stockholders. A stockholder may vote either in person, by proxy executed in writing by the stockholder or by his duly authorized attorney-in-fact, or by an electronic ballot from which it can be determined that the ballot was authorized by a stockholder or proxyholder. The term, validity and enforceability of any proxy shall be determined in accordance with the General Corporation Law of the State of Delaware.</w:t>
      </w:r>
    </w:p>
    <w:p>
      <w:pPr>
        <w:spacing w:after="0" w:line="18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Written Consent of Stockholders Without a Meeting</w:t>
      </w:r>
      <w:r>
        <w:rPr>
          <w:rFonts w:ascii="Arial" w:cs="Arial" w:eastAsia="Arial" w:hAnsi="Arial"/>
          <w:sz w:val="18"/>
          <w:szCs w:val="18"/>
          <w:color w:val="auto"/>
        </w:rPr>
        <w:t>. Whenever the stockholders are required or permitted to take any action by vote, such action may be taken without a meeting, without prior notice and without a vote, if a written consent or electronic transmission, setting forth the action so taken, shall be signed or e-mailed by the holders of outstanding stock having not less than the minimum number of votes that would be necessary to authorize or take such action at a meeting called for such purpose.</w:t>
      </w:r>
    </w:p>
    <w:p>
      <w:pPr>
        <w:spacing w:after="0" w:line="18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u w:val="single" w:color="auto"/>
          <w:color w:val="auto"/>
        </w:rPr>
        <w:t>DIRECTORS</w:t>
      </w:r>
    </w:p>
    <w:p>
      <w:pPr>
        <w:spacing w:after="0" w:line="211"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Powers</w:t>
      </w:r>
      <w:r>
        <w:rPr>
          <w:rFonts w:ascii="Arial" w:cs="Arial" w:eastAsia="Arial" w:hAnsi="Arial"/>
          <w:sz w:val="16"/>
          <w:szCs w:val="16"/>
          <w:color w:val="auto"/>
        </w:rPr>
        <w:t>. The business affairs of the corporation shall be managed by its board of directors, which may exercise all such powers of the corporation and do all such lawful acts and things as are not by statute or by the Certificate of Incorporation or by these by-laws directed or required to be exercised or done by the stockholders. The board of directors may adopt such rules and regulations, not inconsistent with the Certificate of Incorporation or these by-laws or applicable laws, as it may deem proper for the conduct of its meetings and the management of the Corporation.</w:t>
      </w:r>
    </w:p>
    <w:p>
      <w:pPr>
        <w:spacing w:after="0" w:line="15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Qualifications, Term</w:t>
      </w:r>
      <w:r>
        <w:rPr>
          <w:rFonts w:ascii="Arial" w:cs="Arial" w:eastAsia="Arial" w:hAnsi="Arial"/>
          <w:sz w:val="18"/>
          <w:szCs w:val="18"/>
          <w:color w:val="auto"/>
        </w:rPr>
        <w:t>. The board of directors shall consist of one or more members. The number of directors shall be fixed by the board of directors and may thereafter be changed from time to time by resolution of the board of directors. Directors need not be residents of the State of Delaware nor stockholders of the corporation.</w:t>
      </w:r>
    </w:p>
    <w:p>
      <w:pPr>
        <w:spacing w:after="0" w:line="181"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Vacancies</w:t>
      </w:r>
      <w:r>
        <w:rPr>
          <w:rFonts w:ascii="Arial" w:cs="Arial" w:eastAsia="Arial" w:hAnsi="Arial"/>
          <w:sz w:val="16"/>
          <w:szCs w:val="16"/>
          <w:color w:val="auto"/>
        </w:rPr>
        <w:t>. Vacancies and newly created directorships resulting from any increase in the number of directors may be filled by a majority of the directors then in office, though less than a quorum, and the directors so chosen shall hold office until the next annual election and until their successors are duly elected and shall qualify. A vacancy created by the removal of a director by the stockholders may be filled by the stockholders.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Place of Meetings</w:t>
      </w:r>
      <w:r>
        <w:rPr>
          <w:rFonts w:ascii="Arial" w:cs="Arial" w:eastAsia="Arial" w:hAnsi="Arial"/>
          <w:sz w:val="16"/>
          <w:szCs w:val="16"/>
          <w:color w:val="auto"/>
        </w:rPr>
        <w:t>. Meetings of the board of directors, regular or special, may be held either within or without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141" w:name="page142"/>
    <w:bookmarkEnd w:id="141"/>
    <w:p>
      <w:pPr>
        <w:jc w:val="both"/>
        <w:ind w:firstLine="1297"/>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upon such notice, or without notice, and at such time and at such place as shall from time to time be determined by the board.</w:t>
      </w:r>
    </w:p>
    <w:p>
      <w:pPr>
        <w:spacing w:after="0" w:line="17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the Chairman or the President or by the number of directors who then legally constitute a quorum. Notice of the time and place of all special meetings of the board of directors shall be orally or in writing, by telephone, including a voice messaging system or other system or technology designed to record and communicate messages, facsimile, telegraph or telex, or by electronic mail or other electronic means, during normal business hours, at least 24 hours before the date and time of the meeting. If notice is sent by U.S. mail, it shall be sent by first class mail, charges prepaid, at least three days before the date of the meeting. .</w:t>
      </w:r>
    </w:p>
    <w:p>
      <w:pPr>
        <w:spacing w:after="0" w:line="17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Notice; Waiver</w:t>
      </w:r>
      <w:r>
        <w:rPr>
          <w:rFonts w:ascii="Arial" w:cs="Arial" w:eastAsia="Arial" w:hAnsi="Arial"/>
          <w:sz w:val="18"/>
          <w:szCs w:val="18"/>
          <w:color w:val="auto"/>
        </w:rPr>
        <w:t>. Attendance of a director at any meeting shall constitute a waiver of notice of such meeting, except where a director attends for the express purpose of objecting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187"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Quorum</w:t>
      </w:r>
      <w:r>
        <w:rPr>
          <w:rFonts w:ascii="Arial" w:cs="Arial" w:eastAsia="Arial" w:hAnsi="Arial"/>
          <w:sz w:val="16"/>
          <w:szCs w:val="16"/>
          <w:color w:val="auto"/>
        </w:rPr>
        <w:t>. A majority of the directors then in office shall constitute a quorum for the transaction of business unless a greater number is required by law, by the Certificate of Incorporation or by these by-laws. If a quorum shall not be present at any meeting of directors, the directors present thereat may adjourn the meeting from time to time, without notice other than announcement at the meeting, until a quorum shall be present.</w:t>
      </w:r>
    </w:p>
    <w:p>
      <w:pPr>
        <w:spacing w:after="0" w:line="14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Any action required or permitted to be taken at a meeting of the directors may be taken without a meeting if a consent in writing or by electronic transmission, setting forth the action so taken, shall be signed by all of the directors entitled to vote with respect to the subject matter thereof. In addition, meetings of the board may be held by means of conference telephone or voice communication as permitted by the General Corporation Law of the State of Delaware.</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Action</w:t>
      </w:r>
      <w:r>
        <w:rPr>
          <w:rFonts w:ascii="Arial" w:cs="Arial" w:eastAsia="Arial" w:hAnsi="Arial"/>
          <w:sz w:val="18"/>
          <w:szCs w:val="18"/>
          <w:color w:val="auto"/>
        </w:rPr>
        <w:t>. Except as otherwise provided by law or in the Certificate of Incorporation or these by-laws, if a quorum is present, the affirmative vote of a majority of the members of the board of directors will be required for any action.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Removal of Directors</w:t>
      </w:r>
      <w:r>
        <w:rPr>
          <w:rFonts w:ascii="Arial" w:cs="Arial" w:eastAsia="Arial" w:hAnsi="Arial"/>
          <w:sz w:val="16"/>
          <w:szCs w:val="16"/>
          <w:color w:val="auto"/>
        </w:rPr>
        <w:t>. Subject to any provisions of applicable law, any or all of the directors may be removed by vote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COMMITTEES</w:t>
      </w:r>
    </w:p>
    <w:p>
      <w:pPr>
        <w:spacing w:after="0" w:line="21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Designation of Committees</w:t>
      </w:r>
      <w:r>
        <w:rPr>
          <w:rFonts w:ascii="Arial" w:cs="Arial" w:eastAsia="Arial" w:hAnsi="Arial"/>
          <w:sz w:val="18"/>
          <w:szCs w:val="18"/>
          <w:color w:val="auto"/>
        </w:rPr>
        <w:t>. The board of directors may, by resolution adopted by a majority of the whole board, designate one or more committees, each of which shall, except as otherwise prescribed by law, have such authority of the board of directors as shall be specified in the resolution of the board designating such committee. The board of directors shall have the power at any time to change the membership of, to fill all vacancies in and to discharge any such committee, either with or without cause.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142" w:name="page143"/>
    <w:bookmarkEnd w:id="142"/>
    <w:p>
      <w:pPr>
        <w:jc w:val="both"/>
        <w:ind w:firstLine="1297"/>
        <w:spacing w:after="0" w:line="25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Procedure; Meetings; Quorum</w:t>
      </w:r>
      <w:r>
        <w:rPr>
          <w:rFonts w:ascii="Arial" w:cs="Arial" w:eastAsia="Arial" w:hAnsi="Arial"/>
          <w:sz w:val="18"/>
          <w:szCs w:val="18"/>
          <w:color w:val="auto"/>
        </w:rPr>
        <w:t>. Committee meetings, of which no notice shall be necessary, may be held at such times and places as shall be fixed by resolution adopted by a majority of the members thereof. So far as applicable, the provisions of Article III of these by-laws relating to notice, quorum and voting requirements applicable to meetings of the board of directors shall govern meetings of any committee of the board. Each committee of the board of directors shall keep written minutes of its proceedings and circulate summaries of such written minutes to the board of directors before or at the next meeting of the board.</w:t>
      </w:r>
    </w:p>
    <w:p>
      <w:pPr>
        <w:spacing w:after="0" w:line="18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OFFICERS</w:t>
      </w:r>
    </w:p>
    <w:p>
      <w:pPr>
        <w:spacing w:after="0" w:line="211"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w:t>
      </w:r>
      <w:r>
        <w:rPr>
          <w:rFonts w:ascii="Arial" w:cs="Arial" w:eastAsia="Arial" w:hAnsi="Arial"/>
          <w:sz w:val="16"/>
          <w:szCs w:val="16"/>
          <w:color w:val="auto"/>
        </w:rPr>
        <w:t>. The board of directors at its first meeting after each annual meeting of stockholders shall choose a Chief Executive Officer, a Secretary and a Treasurer, none of whom need be a member of the board. The board of directors may also choose a Chairman from among the directors, one or more Executive Vice Presidents, one or more Vice Presidents, Assistant Secretaries and Assistant Treasurers. The board of directors may appoint such other officers and agents as it shall deem necessary, who shall hold their offices for such terms and shall exercise such powers and perform such duties as shall be determined from time to time by the board of directors. More than two offices may be held by the same person.</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Compensation</w:t>
      </w:r>
      <w:r>
        <w:rPr>
          <w:rFonts w:ascii="Arial" w:cs="Arial" w:eastAsia="Arial" w:hAnsi="Arial"/>
          <w:sz w:val="16"/>
          <w:szCs w:val="16"/>
          <w:color w:val="auto"/>
        </w:rPr>
        <w:t>. The salaries or other compensation of all officers of the corporation shall be fixed by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officer shall be prevented from receiving a salary or other compensation by reason of the fact that he is also a director.</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Term; Removal; Vacancy</w:t>
      </w:r>
      <w:r>
        <w:rPr>
          <w:rFonts w:ascii="Arial" w:cs="Arial" w:eastAsia="Arial" w:hAnsi="Arial"/>
          <w:sz w:val="18"/>
          <w:szCs w:val="18"/>
          <w:color w:val="auto"/>
        </w:rPr>
        <w:t>. The officers of the corporation shall hold office until their successors are chosen and qualify. Any officer may be removed at any time, with or without cause, by the affirmative vote of a majority of the whole board of directors. Any vacancy occurring in any office of the corporation shall be filled by the board of directors.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Chairman</w:t>
      </w:r>
      <w:r>
        <w:rPr>
          <w:rFonts w:ascii="Arial" w:cs="Arial" w:eastAsia="Arial" w:hAnsi="Arial"/>
          <w:sz w:val="18"/>
          <w:szCs w:val="18"/>
          <w:color w:val="auto"/>
        </w:rPr>
        <w:t>. The Chairman shall, if one be elected, preside at all meetings of the board of directors.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shall be the chief executive officer of the corporation, shall preside at all meetings of the stockholders and the board of directors in the absence of the Chairman, shall have general supervision over the business of the corporation and shall see that all directions and resolutions of the board of directors are carried into effect.</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in the absence or disability of the Chief Executive Officer, perform the duties and exercise the powers of the Chief Executive Officer and shall perform such other duties and have such other powers as the board of directors may from time to time prescribe.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143" w:name="page144"/>
    <w:bookmarkEnd w:id="143"/>
    <w:p>
      <w:pPr>
        <w:jc w:val="both"/>
        <w:ind w:firstLine="1297"/>
        <w:spacing w:after="0" w:line="25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Vice President</w:t>
      </w:r>
      <w:r>
        <w:rPr>
          <w:rFonts w:ascii="Arial" w:cs="Arial" w:eastAsia="Arial" w:hAnsi="Arial"/>
          <w:sz w:val="18"/>
          <w:szCs w:val="18"/>
          <w:color w:val="auto"/>
        </w:rPr>
        <w:t>. The Executive Vice Presidents shall, in the absence or disability of the President, perform the duties and exercise the powers of the President and shall perform such other duties and have such other powers as the board of directors may from time to time prescribe. If there shall be more than one Executive Vice President, the Executive Vice Presidents shall perform such duties and exercise such powers in the absence or disability of the President, in the order determined by the board of directors. The Vice Presidents shall, in the absence or disability of the President and of the Executive Vice Presidents, perform the duties and exercise the powers of the President and shall perform such other duties and have such other powers as the board of directors may from time to time prescribe. If there shall be more than one vice president, the vice presidents shall perform such duties and exercise such powers in the absence or disability of the President and of the Executive Vice President, in the order determined by the board of directors.</w:t>
      </w:r>
    </w:p>
    <w:p>
      <w:pPr>
        <w:spacing w:after="0" w:line="19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attend all meetings of the board of directors and all meetings of the stockholders and record all the proceedings of the meetings of the corporation and of the board of directors in a book to be kept for that purpose. He shall give, or cause to be given, notice of all meetings of the stockholders and special meetings of the board of directors, and shall perform such other duties as may be prescribed by the board of directors or President, under whose supervision he shall be. He shall have custody of the corporate seal of the corporation and he, or an assistant secretary, shall have the authority to affix the same to an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89"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Assistant Secretary</w:t>
      </w:r>
      <w:r>
        <w:rPr>
          <w:rFonts w:ascii="Arial" w:cs="Arial" w:eastAsia="Arial" w:hAnsi="Arial"/>
          <w:sz w:val="17"/>
          <w:szCs w:val="17"/>
          <w:color w:val="auto"/>
        </w:rPr>
        <w:t>. The Assistant Secretary, if there shall be one, or if there shall be more than one, the assistant secretaries in the order determined by the board of directors, shall, in the absence or disability of the Secretary, perform the duties and exercise the powers of the Secretary and shall perform such other duties and have such powers as the board of directors may from time to time prescribe.</w:t>
      </w:r>
    </w:p>
    <w:p>
      <w:pPr>
        <w:spacing w:after="0" w:line="16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or Chief Financial Officer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shall disburse the funds of the corporation as may be ordered by the board of directors, taking proper vouchers for such disbursements, and shall render to the Chairman, the President and the board of directors, at its regular meetings, or when the board of directors so requires, an account of all of his transactions as Treasurer and of the financial condition of the corporation.</w:t>
      </w:r>
    </w:p>
    <w:p>
      <w:pPr>
        <w:spacing w:after="0" w:line="193"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Assistant Treasurer</w:t>
      </w:r>
      <w:r>
        <w:rPr>
          <w:rFonts w:ascii="Arial" w:cs="Arial" w:eastAsia="Arial" w:hAnsi="Arial"/>
          <w:sz w:val="17"/>
          <w:szCs w:val="17"/>
          <w:color w:val="auto"/>
        </w:rPr>
        <w:t>. The Assistant Treasurer, if there shall be one, or, if there shall be more than one, the Assistant Treasurers in the order determined by the board of directors, shall, in the absence or disability of the Treasurer, perform the duties and exercise the powers of the Treasurer and shall perform such other duties and have such other powers as the board of directors may from time to time prescribe.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01" w:right="31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CAPITAL STOCK</w:t>
      </w:r>
    </w:p>
    <w:p>
      <w:pPr>
        <w:spacing w:after="0" w:line="21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Form</w:t>
      </w:r>
      <w:r>
        <w:rPr>
          <w:rFonts w:ascii="Arial" w:cs="Arial" w:eastAsia="Arial" w:hAnsi="Arial"/>
          <w:sz w:val="18"/>
          <w:szCs w:val="18"/>
          <w:color w:val="auto"/>
        </w:rPr>
        <w:t>. The shares of the capital stock of the corporation shall be represented by certificates in such form as shall be approved by the board of directors and shall be signed by the Chairman, the President, an Executive Vice President or a Vice President, and by the Treasurer or an assistant treasurer or the Secretary or an Assistant Secretary of the corporation, and may be sealed with the seal of the corporation or a facsimile thereof.</w:t>
      </w:r>
    </w:p>
    <w:p>
      <w:pPr>
        <w:spacing w:after="0" w:line="18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Lost and Destroyed Certificates</w:t>
      </w:r>
      <w:r>
        <w:rPr>
          <w:rFonts w:ascii="Arial" w:cs="Arial" w:eastAsia="Arial" w:hAnsi="Arial"/>
          <w:sz w:val="18"/>
          <w:szCs w:val="18"/>
          <w:color w:val="auto"/>
        </w:rPr>
        <w:t>. The board of directors may direct a new certificate to be issued in place of any certificate theretofore issued by the corporation alleged to have been lost or destroyed. When authorizing such issue of a new certificate, the board of directors, in its discretion and as a condition precedent to the issuance thereof, may prescribe such terms and conditions as it deems expedient, and may require such indemnities as it deems adequate, to protect the corporation from any claim that may be made against it with respect to any such certificate alleged to have been lost or destroyed.</w:t>
      </w:r>
    </w:p>
    <w:p>
      <w:pPr>
        <w:spacing w:after="0" w:line="18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Transfer of Shares</w:t>
      </w:r>
      <w:r>
        <w:rPr>
          <w:rFonts w:ascii="Arial" w:cs="Arial" w:eastAsia="Arial" w:hAnsi="Arial"/>
          <w:sz w:val="17"/>
          <w:szCs w:val="17"/>
          <w:color w:val="auto"/>
        </w:rPr>
        <w:t>. Upon surrender to the corporation or the transfer agent of the corporation of a certificate representing shares duly endorsed or accompanied by proper evidence of succession, assignment or authority to transfer, a new certificate shall be issued to the person entitled thereto, and the old certificate cancelled and the transaction recorded upon the books of the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SECTION 1. (a) The corporation shall indemnify, subject to the requirements of subsection (d) of this Section,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69" w:lineRule="exact"/>
        <w:rPr>
          <w:sz w:val="20"/>
          <w:szCs w:val="20"/>
          <w:color w:val="auto"/>
        </w:rPr>
      </w:pPr>
    </w:p>
    <w:p>
      <w:pPr>
        <w:jc w:val="both"/>
        <w:ind w:firstLine="1297"/>
        <w:spacing w:after="0" w:line="270" w:lineRule="auto"/>
        <w:tabs>
          <w:tab w:leader="none" w:pos="15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corporation shall indemnify, subject to the requirements of subsection (d) of this Section,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145" w:name="page146"/>
    <w:bookmarkEnd w:id="145"/>
    <w:p>
      <w:pPr>
        <w:jc w:val="both"/>
        <w:ind w:firstLine="1297"/>
        <w:spacing w:after="0" w:line="286" w:lineRule="auto"/>
        <w:tabs>
          <w:tab w:leader="none" w:pos="1545"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the extent that a director, officer, employee or agent of the corporation has been successful on the merits or otherwise in defense of any action, suit or proceeding referred to in subsections (a) and (b) of this Section, or in defense of any claim, issue or matter therein, the corporation shall indemnify him against expenses (including attorneys' fees) actually and reasonably incurred by him in connection therewith.</w:t>
      </w:r>
    </w:p>
    <w:p>
      <w:pPr>
        <w:spacing w:after="0" w:line="165" w:lineRule="exact"/>
        <w:rPr>
          <w:rFonts w:ascii="Arial" w:cs="Arial" w:eastAsia="Arial" w:hAnsi="Arial"/>
          <w:sz w:val="17"/>
          <w:szCs w:val="17"/>
          <w:color w:val="auto"/>
        </w:rPr>
      </w:pPr>
    </w:p>
    <w:p>
      <w:pPr>
        <w:jc w:val="both"/>
        <w:ind w:firstLine="1297"/>
        <w:spacing w:after="0" w:line="255" w:lineRule="auto"/>
        <w:tabs>
          <w:tab w:leader="none" w:pos="1554"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indemnification under subsections (a) and (b) 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subsections (a) and (b) of this Section.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w:t>
      </w:r>
    </w:p>
    <w:p>
      <w:pPr>
        <w:spacing w:after="0" w:line="193" w:lineRule="exact"/>
        <w:rPr>
          <w:rFonts w:ascii="Arial" w:cs="Arial" w:eastAsia="Arial" w:hAnsi="Arial"/>
          <w:sz w:val="18"/>
          <w:szCs w:val="18"/>
          <w:color w:val="auto"/>
        </w:rPr>
      </w:pPr>
    </w:p>
    <w:p>
      <w:pPr>
        <w:jc w:val="both"/>
        <w:ind w:firstLine="1297"/>
        <w:spacing w:after="0" w:line="302" w:lineRule="auto"/>
        <w:tabs>
          <w:tab w:leader="none" w:pos="1548" w:val="left"/>
        </w:tabs>
        <w:numPr>
          <w:ilvl w:val="0"/>
          <w:numId w:val="81"/>
        </w:numPr>
        <w:rPr>
          <w:rFonts w:ascii="Arial" w:cs="Arial" w:eastAsia="Arial" w:hAnsi="Arial"/>
          <w:sz w:val="16"/>
          <w:szCs w:val="16"/>
          <w:color w:val="auto"/>
        </w:rPr>
      </w:pPr>
      <w:r>
        <w:rPr>
          <w:rFonts w:ascii="Arial" w:cs="Arial" w:eastAsia="Arial" w:hAnsi="Arial"/>
          <w:sz w:val="16"/>
          <w:szCs w:val="16"/>
          <w:color w:val="auto"/>
        </w:rPr>
        <w:t>Expenses incurred by a director, officer, employee or agent in defending a civil or criminal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Section. Such expenses incurred by other employees and agents may be so paid upon such terms and conditions, if any, as the Board of Directors deems appropriate.</w:t>
      </w:r>
    </w:p>
    <w:p>
      <w:pPr>
        <w:spacing w:after="0" w:line="154" w:lineRule="exact"/>
        <w:rPr>
          <w:rFonts w:ascii="Arial" w:cs="Arial" w:eastAsia="Arial" w:hAnsi="Arial"/>
          <w:sz w:val="16"/>
          <w:szCs w:val="16"/>
          <w:color w:val="auto"/>
        </w:rPr>
      </w:pPr>
    </w:p>
    <w:p>
      <w:pPr>
        <w:jc w:val="both"/>
        <w:ind w:firstLine="1297"/>
        <w:spacing w:after="0" w:line="302" w:lineRule="auto"/>
        <w:tabs>
          <w:tab w:leader="none" w:pos="153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indemnification and advancement of expenses provided by, or granted pursuant to, the other subsections of this Section shall not limit the corporation from providing any other indemnification or advancement of expenses permitted by law nor shall they be deemed exclusive of any other rights to which a person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54" w:lineRule="exact"/>
        <w:rPr>
          <w:rFonts w:ascii="Arial" w:cs="Arial" w:eastAsia="Arial" w:hAnsi="Arial"/>
          <w:sz w:val="16"/>
          <w:szCs w:val="16"/>
          <w:color w:val="auto"/>
        </w:rPr>
      </w:pPr>
    </w:p>
    <w:p>
      <w:pPr>
        <w:jc w:val="both"/>
        <w:ind w:firstLine="1297"/>
        <w:spacing w:after="0" w:line="279" w:lineRule="auto"/>
        <w:tabs>
          <w:tab w:leader="none" w:pos="1557"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146" w:name="page147"/>
    <w:bookmarkEnd w:id="146"/>
    <w:p>
      <w:pPr>
        <w:jc w:val="both"/>
        <w:ind w:firstLine="1297"/>
        <w:spacing w:after="0" w:line="293" w:lineRule="auto"/>
        <w:tabs>
          <w:tab w:leader="none" w:pos="1557" w:val="left"/>
        </w:tabs>
        <w:numPr>
          <w:ilvl w:val="0"/>
          <w:numId w:val="82"/>
        </w:numPr>
        <w:rPr>
          <w:rFonts w:ascii="Arial" w:cs="Arial" w:eastAsia="Arial" w:hAnsi="Arial"/>
          <w:sz w:val="16"/>
          <w:szCs w:val="16"/>
          <w:color w:val="auto"/>
        </w:rPr>
      </w:pPr>
      <w:r>
        <w:rPr>
          <w:rFonts w:ascii="Arial" w:cs="Arial" w:eastAsia="Arial" w:hAnsi="Arial"/>
          <w:sz w:val="16"/>
          <w:szCs w:val="16"/>
          <w:color w:val="auto"/>
        </w:rPr>
        <w:t>For the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64" w:lineRule="exact"/>
        <w:rPr>
          <w:rFonts w:ascii="Arial" w:cs="Arial" w:eastAsia="Arial" w:hAnsi="Arial"/>
          <w:sz w:val="16"/>
          <w:szCs w:val="16"/>
          <w:color w:val="auto"/>
        </w:rPr>
      </w:pPr>
    </w:p>
    <w:p>
      <w:pPr>
        <w:jc w:val="both"/>
        <w:ind w:firstLine="1297"/>
        <w:spacing w:after="0" w:line="273" w:lineRule="auto"/>
        <w:tabs>
          <w:tab w:leader="none" w:pos="1517" w:val="left"/>
        </w:tabs>
        <w:numPr>
          <w:ilvl w:val="0"/>
          <w:numId w:val="82"/>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any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78" w:lineRule="exact"/>
        <w:rPr>
          <w:rFonts w:ascii="Arial" w:cs="Arial" w:eastAsia="Arial" w:hAnsi="Arial"/>
          <w:sz w:val="17"/>
          <w:szCs w:val="17"/>
          <w:color w:val="auto"/>
        </w:rPr>
      </w:pPr>
    </w:p>
    <w:p>
      <w:pPr>
        <w:jc w:val="both"/>
        <w:ind w:firstLine="1297"/>
        <w:spacing w:after="0" w:line="264" w:lineRule="auto"/>
        <w:tabs>
          <w:tab w:leader="none" w:pos="152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by the Board of Directors, continue as to a person who has ceased to be a director, officer, employee or agent of the corporation and shall inure to the benefit of the heirs executors and administrators of such a person.</w:t>
      </w:r>
    </w:p>
    <w:p>
      <w:pPr>
        <w:spacing w:after="0" w:line="181" w:lineRule="exact"/>
        <w:rPr>
          <w:rFonts w:ascii="Arial" w:cs="Arial" w:eastAsia="Arial" w:hAnsi="Arial"/>
          <w:sz w:val="18"/>
          <w:szCs w:val="18"/>
          <w:color w:val="auto"/>
        </w:rPr>
      </w:pPr>
    </w:p>
    <w:p>
      <w:pPr>
        <w:ind w:firstLine="1297"/>
        <w:spacing w:after="0" w:line="308" w:lineRule="auto"/>
        <w:tabs>
          <w:tab w:leader="none" w:pos="1567"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officers and directors of the Company, as individuals, shall not be liable until all funds of the Company have been distributed, with the exception of the proceeds contained in a trust account, that is subject to the trust agreement to be entered into by the Company.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21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Checks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Fiscal Year</w:t>
      </w:r>
      <w:r>
        <w:rPr>
          <w:rFonts w:ascii="Arial" w:cs="Arial" w:eastAsia="Arial" w:hAnsi="Arial"/>
          <w:sz w:val="17"/>
          <w:szCs w:val="17"/>
          <w:color w:val="auto"/>
        </w:rPr>
        <w:t>. The fiscal year of the corporation shall be determined, and may be changed, by resolution of the board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Seal</w:t>
      </w:r>
      <w:r>
        <w:rPr>
          <w:rFonts w:ascii="Arial" w:cs="Arial" w:eastAsia="Arial" w:hAnsi="Arial"/>
          <w:sz w:val="17"/>
          <w:szCs w:val="17"/>
          <w:color w:val="auto"/>
        </w:rPr>
        <w:t>. The corporate seal shall have inscribed thereon the name of the corporation, the year of its organization and the words “Corporate Seal, Delaware.” The seal may be used by causing it or a facsimile thereof to be impressed or affixed or in any manner reproduced.</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w:t>
      </w:r>
    </w:p>
    <w:p>
      <w:pPr>
        <w:spacing w:after="0" w:line="21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SECTION 1. These by-laws may be altered, amended, supplemented or repealed or new by-laws may be adopted (a) at any regular or special meeting of stockholders at which a quorum is present or represented, by the affirmative vote of the holders of a majority of the shares entitled to vote, provided notice of the proposed alteration, amendment or repeal be contained in the notice of such meeting, or (b) by a resolution adopted by a majority of the whole board of directors at any regular or special meeting of the board. The stockholders shall have authority to change or repeal any by-laws adopted by the directors.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9"/>
          <w:szCs w:val="19"/>
          <w:b w:val="1"/>
          <w:bCs w:val="1"/>
          <w:color w:val="auto"/>
        </w:rPr>
        <w:t>Exhibit 4.1</w:t>
      </w:r>
    </w:p>
    <w:p>
      <w:pPr>
        <w:sectPr>
          <w:pgSz w:w="11900" w:h="16838" w:orient="portrait"/>
          <w:cols w:equalWidth="0" w:num="1">
            <w:col w:w="11260"/>
          </w:cols>
          <w:pgMar w:left="320" w:top="355" w:right="319" w:bottom="1440" w:gutter="0" w:footer="0" w:header="0"/>
        </w:sectPr>
      </w:pPr>
    </w:p>
    <w:p>
      <w:pPr>
        <w:spacing w:after="0" w:line="27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NUMBER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U-__________</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424" w:lineRule="exact"/>
        <w:rPr>
          <w:sz w:val="20"/>
          <w:szCs w:val="20"/>
          <w:color w:val="auto"/>
        </w:rPr>
      </w:pPr>
    </w:p>
    <w:p>
      <w:pPr>
        <w:sectPr>
          <w:pgSz w:w="11900" w:h="16838" w:orient="portrait"/>
          <w:cols w:equalWidth="0" w:num="2">
            <w:col w:w="9140" w:space="720"/>
            <w:col w:w="1400"/>
          </w:cols>
          <w:pgMar w:left="320" w:top="355" w:right="319" w:bottom="1440" w:gutter="0" w:footer="0" w:header="0"/>
          <w:type w:val="continuous"/>
        </w:sectPr>
      </w:pPr>
    </w:p>
    <w:p>
      <w:pPr>
        <w:ind w:left="920"/>
        <w:spacing w:after="0"/>
        <w:tabs>
          <w:tab w:leader="none" w:pos="4340" w:val="left"/>
        </w:tabs>
        <w:rPr>
          <w:sz w:val="20"/>
          <w:szCs w:val="20"/>
          <w:color w:val="auto"/>
        </w:rPr>
      </w:pPr>
      <w:r>
        <w:rPr>
          <w:rFonts w:ascii="Arial" w:cs="Arial" w:eastAsia="Arial" w:hAnsi="Arial"/>
          <w:sz w:val="18"/>
          <w:szCs w:val="18"/>
          <w:color w:val="auto"/>
        </w:rPr>
        <w:t>SEE REVERSE FOR</w:t>
      </w:r>
      <w:r>
        <w:rPr>
          <w:sz w:val="20"/>
          <w:szCs w:val="20"/>
          <w:color w:val="auto"/>
        </w:rPr>
        <w:tab/>
      </w:r>
      <w:r>
        <w:rPr>
          <w:rFonts w:ascii="Arial" w:cs="Arial" w:eastAsia="Arial" w:hAnsi="Arial"/>
          <w:sz w:val="22"/>
          <w:szCs w:val="22"/>
          <w:b w:val="1"/>
          <w:bCs w:val="1"/>
          <w:color w:val="auto"/>
        </w:rPr>
        <w:t>M I ACQUISITIONS, INC.</w:t>
      </w:r>
    </w:p>
    <w:p>
      <w:pPr>
        <w:ind w:left="740"/>
        <w:spacing w:after="0"/>
        <w:rPr>
          <w:sz w:val="20"/>
          <w:szCs w:val="20"/>
          <w:color w:val="auto"/>
        </w:rPr>
      </w:pPr>
      <w:r>
        <w:rPr>
          <w:rFonts w:ascii="Arial" w:cs="Arial" w:eastAsia="Arial" w:hAnsi="Arial"/>
          <w:sz w:val="18"/>
          <w:szCs w:val="18"/>
          <w:color w:val="auto"/>
        </w:rPr>
        <w:t>CERTAIN DEFINITIONS</w:t>
      </w:r>
    </w:p>
    <w:p>
      <w:pPr>
        <w:spacing w:after="0" w:line="205" w:lineRule="exact"/>
        <w:rPr>
          <w:sz w:val="20"/>
          <w:szCs w:val="20"/>
          <w:color w:val="auto"/>
        </w:rPr>
      </w:pPr>
    </w:p>
    <w:p>
      <w:pPr>
        <w:ind w:left="9600"/>
        <w:spacing w:after="0"/>
        <w:rPr>
          <w:sz w:val="20"/>
          <w:szCs w:val="20"/>
          <w:color w:val="auto"/>
        </w:rPr>
      </w:pPr>
      <w:r>
        <w:rPr>
          <w:rFonts w:ascii="Arial" w:cs="Arial" w:eastAsia="Arial" w:hAnsi="Arial"/>
          <w:sz w:val="18"/>
          <w:szCs w:val="18"/>
          <w:b w:val="1"/>
          <w:bCs w:val="1"/>
          <w:color w:val="auto"/>
        </w:rPr>
        <w:t>CUSIP</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UNITS CONSISTING OF ONE SHARE OF COMMON STOCK AND</w:t>
      </w:r>
    </w:p>
    <w:p>
      <w:pPr>
        <w:spacing w:after="0" w:line="27" w:lineRule="exact"/>
        <w:rPr>
          <w:sz w:val="20"/>
          <w:szCs w:val="20"/>
          <w:color w:val="auto"/>
        </w:rPr>
      </w:pPr>
    </w:p>
    <w:p>
      <w:pPr>
        <w:ind w:right="1020" w:firstLine="1029"/>
        <w:spacing w:after="0" w:line="492" w:lineRule="auto"/>
        <w:rPr>
          <w:sz w:val="20"/>
          <w:szCs w:val="20"/>
          <w:color w:val="auto"/>
        </w:rPr>
      </w:pPr>
      <w:r>
        <w:rPr>
          <w:rFonts w:ascii="Arial" w:cs="Arial" w:eastAsia="Arial" w:hAnsi="Arial"/>
          <w:sz w:val="18"/>
          <w:szCs w:val="18"/>
          <w:b w:val="1"/>
          <w:bCs w:val="1"/>
          <w:color w:val="auto"/>
        </w:rPr>
        <w:t xml:space="preserve">ONE WARRANT ENTITLING ITS HOLDER TO PURCHASE ONE-HALF OF ONE SHARE OF COMMON STOCK </w:t>
      </w:r>
      <w:r>
        <w:rPr>
          <w:rFonts w:ascii="Arial" w:cs="Arial" w:eastAsia="Arial" w:hAnsi="Arial"/>
          <w:sz w:val="18"/>
          <w:szCs w:val="18"/>
          <w:color w:val="auto"/>
        </w:rPr>
        <w:t>THIS CERTIFIES THAT ________________________________________________________________________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is the owner of ________________________________________________________________________________ Units.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Each Unit (“Unit”) consists of one share of common stock, par value $.001 per share, of M I Acquisitions, Inc., a Delaware corporation (the “Company”) and one warrant. Each warrant entitles the holder to purchase one share of common stock of the Company at $12.00 per share (subject to adjustment), upon the later to occur of (i) 30 days following the Company’s completion of an initial merger, capital stock exchange, asset acquisition or other similar business combination with one or more businesses or entities (a “Business Combination”) or (ii) 12 months from the closing of the initial public offering. Each warrant expires five years after the completion of our initial Business Combination, at 5:00 p.m., New York City time, or earlier upon redemption.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common stock and warrant(s) comprising the Unit(s) represented by this certificate are not transferable separately until ninety (90) days after the date of the prospectus relating to the initial public offering of the Company, unless Chardan Capital Markets, LLC informs us of its decision to allow earlier separate trading, provided that we have filed with the SEC a Current Report on Form 8-K, which includes an audited balance sheet reflecting our receipt of the proceeds of the initial public offering.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terms of the warrants are governed by a warrant agreement (the “Warrant Agreement”), dated as of _______, 2016, between the Company and</w:t>
      </w:r>
    </w:p>
    <w:p>
      <w:pPr>
        <w:spacing w:after="0" w:line="3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Continental Stock Transfer &amp; Trust Company, as the warrant agent, and are subject to the terms and provisions contained therein, all of which terms and provisions the holder of this certificate consents to by acceptance hereof. Copies of the Warrant Agreement are on file at the office of the warrant agent at 17 Battery Place, New York, New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York 10004, and are available to any warrant holder on written request and without cost.</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certificate is not valid unless countersigned by the Transfer Agent and Registrar of the Company.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Witness the facsimile seal of the Company and the facsimile signatures of its duly authorized officers.</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Unit Certificate shall be governed and construed in accordance with the internal laws of the State of New York, without regard to conflicts of laws principles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55" w:lineRule="exact"/>
        <w:rPr>
          <w:sz w:val="20"/>
          <w:szCs w:val="20"/>
          <w:color w:val="auto"/>
        </w:rPr>
      </w:pPr>
    </w:p>
    <w:p>
      <w:pPr>
        <w:ind w:left="480"/>
        <w:spacing w:after="0"/>
        <w:tabs>
          <w:tab w:leader="none" w:pos="6200" w:val="left"/>
        </w:tabs>
        <w:rPr>
          <w:sz w:val="20"/>
          <w:szCs w:val="20"/>
          <w:color w:val="auto"/>
        </w:rPr>
      </w:pPr>
      <w:r>
        <w:rPr>
          <w:rFonts w:ascii="Arial" w:cs="Arial" w:eastAsia="Arial" w:hAnsi="Arial"/>
          <w:sz w:val="18"/>
          <w:szCs w:val="18"/>
          <w:color w:val="auto"/>
        </w:rPr>
        <w:t>Chairman</w:t>
      </w:r>
      <w:r>
        <w:rPr>
          <w:sz w:val="20"/>
          <w:szCs w:val="20"/>
          <w:color w:val="auto"/>
        </w:rPr>
        <w:tab/>
      </w: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-130175</wp:posOffset>
            </wp:positionV>
            <wp:extent cx="64319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426720</wp:posOffset>
            </wp:positionV>
            <wp:extent cx="716089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type w:val="continuous"/>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will furnish without charge to each stockholder who so requests, a statement of the powers, designations, preferences and relative, participating, optional or other special rights of each class of shares or series thereof of the Company and the qualifications, limitations, or restrictions of such preferences and/or rights.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ectPr>
          <w:pgSz w:w="11900" w:h="16838" w:orient="portrait"/>
          <w:cols w:equalWidth="0" w:num="1">
            <w:col w:w="11260"/>
          </w:cols>
          <w:pgMar w:left="320" w:top="905" w:right="319" w:bottom="1440" w:gutter="0" w:footer="0" w:header="0"/>
        </w:sectPr>
      </w:pP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TEN COM –</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TEN ENT –</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JT TEN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tenants in common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tenants by the entireties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 joint tenants with right of survivorship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not as tenants in common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UNIF GIFT MIN ACT - _____ Custodian ______</w:t>
      </w:r>
    </w:p>
    <w:p>
      <w:pPr>
        <w:spacing w:after="0" w:line="35" w:lineRule="exact"/>
        <w:rPr>
          <w:sz w:val="20"/>
          <w:szCs w:val="20"/>
          <w:color w:val="auto"/>
        </w:rPr>
      </w:pPr>
    </w:p>
    <w:p>
      <w:pPr>
        <w:ind w:left="1780"/>
        <w:spacing w:after="0"/>
        <w:tabs>
          <w:tab w:leader="none" w:pos="3060" w:val="left"/>
        </w:tabs>
        <w:rPr>
          <w:sz w:val="20"/>
          <w:szCs w:val="20"/>
          <w:color w:val="auto"/>
        </w:rPr>
      </w:pPr>
      <w:r>
        <w:rPr>
          <w:rFonts w:ascii="Arial" w:cs="Arial" w:eastAsia="Arial" w:hAnsi="Arial"/>
          <w:sz w:val="18"/>
          <w:szCs w:val="18"/>
          <w:color w:val="auto"/>
        </w:rPr>
        <w:t>(Cust)</w:t>
      </w:r>
      <w:r>
        <w:rPr>
          <w:sz w:val="20"/>
          <w:szCs w:val="20"/>
          <w:color w:val="auto"/>
        </w:rPr>
        <w:tab/>
      </w:r>
      <w:r>
        <w:rPr>
          <w:rFonts w:ascii="Arial" w:cs="Arial" w:eastAsia="Arial" w:hAnsi="Arial"/>
          <w:sz w:val="18"/>
          <w:szCs w:val="18"/>
          <w:color w:val="auto"/>
        </w:rPr>
        <w:t>(Minor)</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under Uniform Gifts to Minors</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Act ______________</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(State)</w:t>
      </w:r>
    </w:p>
    <w:p>
      <w:pPr>
        <w:spacing w:after="0" w:line="200" w:lineRule="exact"/>
        <w:rPr>
          <w:sz w:val="20"/>
          <w:szCs w:val="20"/>
          <w:color w:val="auto"/>
        </w:rPr>
      </w:pPr>
    </w:p>
    <w:p>
      <w:pPr>
        <w:sectPr>
          <w:pgSz w:w="11900" w:h="16838" w:orient="portrait"/>
          <w:cols w:equalWidth="0" w:num="3">
            <w:col w:w="1580" w:space="340"/>
            <w:col w:w="3780" w:space="720"/>
            <w:col w:w="4840"/>
          </w:cols>
          <w:pgMar w:left="320" w:top="905" w:right="3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 value received, ___________________________ hereby sell(s), assign(s) and transfer(s) unto</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PLEASE INSERT SOCIAL SECURITY OR OTHER</w:t>
      </w:r>
    </w:p>
    <w:p>
      <w:pPr>
        <w:ind w:left="320"/>
        <w:spacing w:after="0"/>
        <w:rPr>
          <w:sz w:val="20"/>
          <w:szCs w:val="20"/>
          <w:color w:val="auto"/>
        </w:rPr>
      </w:pPr>
      <w:r>
        <w:rPr>
          <w:rFonts w:ascii="Arial" w:cs="Arial" w:eastAsia="Arial" w:hAnsi="Arial"/>
          <w:sz w:val="14"/>
          <w:szCs w:val="14"/>
          <w:color w:val="auto"/>
        </w:rPr>
        <w:t>IDENTIFYING NUMBER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3584575" cy="291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584575" cy="291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656590</wp:posOffset>
            </wp:positionV>
            <wp:extent cx="716089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TYPEWRITE NAME AND ADDRESS, INCLUDING ZIP CODE,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71608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8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589280</wp:posOffset>
            </wp:positionV>
            <wp:extent cx="716089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760"/>
        <w:spacing w:after="0"/>
        <w:rPr>
          <w:sz w:val="20"/>
          <w:szCs w:val="20"/>
          <w:color w:val="auto"/>
        </w:rPr>
      </w:pPr>
      <w:r>
        <w:rPr>
          <w:rFonts w:ascii="Arial" w:cs="Arial" w:eastAsia="Arial" w:hAnsi="Arial"/>
          <w:sz w:val="18"/>
          <w:szCs w:val="18"/>
          <w:i w:val="1"/>
          <w:iCs w:val="1"/>
          <w:color w:val="auto"/>
        </w:rPr>
        <w:t>Units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represented by the within Certificate, and do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8008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00850" cy="8890"/>
                    </a:xfrm>
                    <a:prstGeom prst="rect">
                      <a:avLst/>
                    </a:prstGeom>
                    <a:noFill/>
                  </pic:spPr>
                </pic:pic>
              </a:graphicData>
            </a:graphic>
          </wp:anchor>
        </w:drawing>
      </w:r>
    </w:p>
    <w:p>
      <w:pPr>
        <w:spacing w:after="0" w:line="204" w:lineRule="exact"/>
        <w:rPr>
          <w:sz w:val="20"/>
          <w:szCs w:val="20"/>
          <w:color w:val="auto"/>
        </w:rPr>
      </w:pPr>
    </w:p>
    <w:p>
      <w:pPr>
        <w:ind w:left="10640"/>
        <w:spacing w:after="0"/>
        <w:rPr>
          <w:sz w:val="20"/>
          <w:szCs w:val="20"/>
          <w:color w:val="auto"/>
        </w:rPr>
      </w:pPr>
      <w:r>
        <w:rPr>
          <w:rFonts w:ascii="Arial" w:cs="Arial" w:eastAsia="Arial" w:hAnsi="Arial"/>
          <w:sz w:val="16"/>
          <w:szCs w:val="16"/>
          <w:i w:val="1"/>
          <w:iCs w:val="1"/>
          <w:color w:val="auto"/>
        </w:rPr>
        <w:t>Attorney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transfer the said Units on the books of the within named Company will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7322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Dated </w:t>
      </w:r>
      <w:r>
        <w:rPr>
          <w:rFonts w:ascii="Arial" w:cs="Arial" w:eastAsia="Arial" w:hAnsi="Arial"/>
          <w:sz w:val="18"/>
          <w:szCs w:val="18"/>
          <w:i w:val="1"/>
          <w:iCs w:val="1"/>
          <w:u w:val="single" w:color="auto"/>
          <w:color w:val="auto"/>
        </w:rPr>
        <w:t>_______________</w:t>
      </w:r>
    </w:p>
    <w:p>
      <w:pPr>
        <w:spacing w:after="0" w:line="200" w:lineRule="exact"/>
        <w:rPr>
          <w:sz w:val="20"/>
          <w:szCs w:val="20"/>
          <w:color w:val="auto"/>
        </w:rPr>
      </w:pPr>
    </w:p>
    <w:p>
      <w:pPr>
        <w:spacing w:after="0" w:line="251" w:lineRule="exact"/>
        <w:rPr>
          <w:sz w:val="20"/>
          <w:szCs w:val="20"/>
          <w:color w:val="auto"/>
        </w:rPr>
      </w:pPr>
    </w:p>
    <w:p>
      <w:pPr>
        <w:jc w:val="both"/>
        <w:ind w:left="5180" w:hanging="659"/>
        <w:spacing w:after="0" w:line="264" w:lineRule="auto"/>
        <w:tabs>
          <w:tab w:leader="none" w:pos="5160" w:val="left"/>
        </w:tabs>
        <w:rPr>
          <w:sz w:val="20"/>
          <w:szCs w:val="20"/>
          <w:color w:val="auto"/>
        </w:rPr>
      </w:pPr>
      <w:r>
        <w:rPr>
          <w:rFonts w:ascii="Arial" w:cs="Arial" w:eastAsia="Arial" w:hAnsi="Arial"/>
          <w:sz w:val="18"/>
          <w:szCs w:val="18"/>
          <w:b w:val="1"/>
          <w:bCs w:val="1"/>
          <w:color w:val="auto"/>
        </w:rPr>
        <w:t>Notice:</w:t>
      </w:r>
      <w:r>
        <w:rPr>
          <w:sz w:val="20"/>
          <w:szCs w:val="20"/>
          <w:color w:val="auto"/>
        </w:rPr>
        <w:tab/>
      </w:r>
      <w:r>
        <w:rPr>
          <w:rFonts w:ascii="Arial" w:cs="Arial" w:eastAsia="Arial" w:hAnsi="Arial"/>
          <w:sz w:val="18"/>
          <w:szCs w:val="18"/>
          <w:color w:val="auto"/>
        </w:rPr>
        <w:t>The signature to this assignment must correspond with the 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-429895</wp:posOffset>
            </wp:positionV>
            <wp:extent cx="42881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00" w:lineRule="exact"/>
        <w:rPr>
          <w:sz w:val="20"/>
          <w:szCs w:val="20"/>
          <w:color w:val="auto"/>
        </w:rPr>
      </w:pPr>
    </w:p>
    <w:p>
      <w:pPr>
        <w:spacing w:after="0" w:line="250" w:lineRule="exact"/>
        <w:rPr>
          <w:sz w:val="20"/>
          <w:szCs w:val="20"/>
          <w:color w:val="auto"/>
        </w:rPr>
      </w:pPr>
    </w:p>
    <w:p>
      <w:pPr>
        <w:ind w:right="4660"/>
        <w:spacing w:after="0" w:line="234" w:lineRule="auto"/>
        <w:rPr>
          <w:sz w:val="20"/>
          <w:szCs w:val="20"/>
          <w:color w:val="auto"/>
        </w:rPr>
      </w:pPr>
      <w:r>
        <w:rPr>
          <w:rFonts w:ascii="Arial" w:cs="Arial" w:eastAsia="Arial" w:hAnsi="Arial"/>
          <w:sz w:val="14"/>
          <w:szCs w:val="14"/>
          <w:color w:val="auto"/>
        </w:rPr>
        <w:t>THE SIGNATURE(S) SHOULD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-394970</wp:posOffset>
            </wp:positionV>
            <wp:extent cx="429641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16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holder of this certificate shall be entitled to receive funds with respect to the underlying shares of common stock from the trust fund only in the event of the Company’s liquidation upon failure to consummate a business combination or if the holder seeks to convert his or her respective shares of common stock underlying the unit upon consummation of such business combination or in connection with certain amendments to the Company’s Amended and Restated Certificate of Incorporation. In no other circumstances shall the holder have any right or interest of any kind in or to the trust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381635</wp:posOffset>
            </wp:positionV>
            <wp:extent cx="71608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type w:val="continuous"/>
        </w:sectPr>
      </w:pPr>
    </w:p>
    <w:bookmarkStart w:id="150" w:name="page151"/>
    <w:bookmarkEnd w:id="150"/>
    <w:p>
      <w:pPr>
        <w:jc w:val="right"/>
        <w:spacing w:after="0"/>
        <w:rPr>
          <w:sz w:val="20"/>
          <w:szCs w:val="20"/>
          <w:color w:val="auto"/>
        </w:rPr>
      </w:pPr>
      <w:r>
        <w:rPr>
          <w:rFonts w:ascii="Arial" w:cs="Arial" w:eastAsia="Arial" w:hAnsi="Arial"/>
          <w:sz w:val="16"/>
          <w:szCs w:val="16"/>
          <w:b w:val="1"/>
          <w:bCs w:val="1"/>
          <w:color w:val="auto"/>
        </w:rPr>
        <w:t>Exhibit 4.2</w:t>
      </w:r>
    </w:p>
    <w:p>
      <w:pPr>
        <w:sectPr>
          <w:pgSz w:w="11900" w:h="16838" w:orient="portrait"/>
          <w:cols w:equalWidth="0" w:num="1">
            <w:col w:w="11260"/>
          </w:cols>
          <w:pgMar w:left="320" w:top="337" w:right="319" w:bottom="1440" w:gutter="0" w:footer="0" w:header="0"/>
        </w:sectPr>
      </w:pPr>
    </w:p>
    <w:p>
      <w:pPr>
        <w:spacing w:after="0" w:line="239"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NUMBER</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SHARES</w:t>
      </w:r>
    </w:p>
    <w:p>
      <w:pPr>
        <w:spacing w:after="0" w:line="222" w:lineRule="exact"/>
        <w:rPr>
          <w:sz w:val="20"/>
          <w:szCs w:val="20"/>
          <w:color w:val="auto"/>
        </w:rPr>
      </w:pPr>
    </w:p>
    <w:p>
      <w:pPr>
        <w:sectPr>
          <w:pgSz w:w="11900" w:h="16838" w:orient="portrait"/>
          <w:cols w:equalWidth="0" w:num="2">
            <w:col w:w="9000" w:space="720"/>
            <w:col w:w="1540"/>
          </w:cols>
          <w:pgMar w:left="320" w:top="337" w:right="319" w:bottom="1440" w:gutter="0" w:footer="0" w:header="0"/>
          <w:type w:val="continuous"/>
        </w:sectPr>
      </w:pP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C ______</w:t>
      </w:r>
    </w:p>
    <w:p>
      <w:pPr>
        <w:sectPr>
          <w:pgSz w:w="11900" w:h="16838" w:orient="portrait"/>
          <w:cols w:equalWidth="0" w:num="1">
            <w:col w:w="11260"/>
          </w:cols>
          <w:pgMar w:left="320" w:top="337" w:right="319" w:bottom="1440" w:gutter="0" w:footer="0" w:header="0"/>
          <w:type w:val="continuous"/>
        </w:sectPr>
      </w:pPr>
    </w:p>
    <w:p>
      <w:pPr>
        <w:spacing w:after="0" w:line="239"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M I ACQUISITIONS, INC.</w:t>
      </w:r>
    </w:p>
    <w:p>
      <w:pPr>
        <w:spacing w:after="0" w:line="21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INCORPORATED UNDER THE LAWS OF THE STATE OF DELAWARE</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SEE REVERSE FOR</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CERTAIN DEFINITIONS</w:t>
      </w:r>
    </w:p>
    <w:p>
      <w:pPr>
        <w:spacing w:after="0" w:line="211" w:lineRule="exact"/>
        <w:rPr>
          <w:sz w:val="20"/>
          <w:szCs w:val="20"/>
          <w:color w:val="auto"/>
        </w:rPr>
      </w:pPr>
    </w:p>
    <w:p>
      <w:pPr>
        <w:ind w:left="10000"/>
        <w:spacing w:after="0"/>
        <w:rPr>
          <w:sz w:val="20"/>
          <w:szCs w:val="20"/>
          <w:color w:val="auto"/>
        </w:rPr>
      </w:pPr>
      <w:r>
        <w:rPr>
          <w:rFonts w:ascii="Arial" w:cs="Arial" w:eastAsia="Arial" w:hAnsi="Arial"/>
          <w:sz w:val="18"/>
          <w:szCs w:val="18"/>
          <w:color w:val="auto"/>
        </w:rPr>
        <w:t>CUSIP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This Certifies that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is the owner of</w:t>
      </w:r>
    </w:p>
    <w:p>
      <w:pPr>
        <w:spacing w:after="0" w:line="22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FULLY PAID AND NON-ASSESSABLE SHARES OF COMMON STOCK OF</w:t>
      </w:r>
    </w:p>
    <w:p>
      <w:pPr>
        <w:spacing w:after="0" w:line="216"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M I ACQUISITIONS, INC.</w:t>
      </w:r>
    </w:p>
    <w:p>
      <w:pPr>
        <w:spacing w:after="0" w:line="219" w:lineRule="exact"/>
        <w:rPr>
          <w:sz w:val="20"/>
          <w:szCs w:val="20"/>
          <w:color w:val="auto"/>
        </w:rPr>
      </w:pPr>
    </w:p>
    <w:p>
      <w:pPr>
        <w:jc w:val="center"/>
        <w:ind w:left="980" w:right="100"/>
        <w:spacing w:after="0" w:line="269" w:lineRule="auto"/>
        <w:rPr>
          <w:sz w:val="20"/>
          <w:szCs w:val="20"/>
          <w:color w:val="auto"/>
        </w:rPr>
      </w:pPr>
      <w:r>
        <w:rPr>
          <w:rFonts w:ascii="Arial" w:cs="Arial" w:eastAsia="Arial" w:hAnsi="Arial"/>
          <w:sz w:val="17"/>
          <w:szCs w:val="17"/>
          <w:i w:val="1"/>
          <w:iCs w:val="1"/>
          <w:color w:val="auto"/>
        </w:rPr>
        <w:t>transferable on the books of the Company in person or by duly authorized attorney upon surrender of this certificate properly endorsed. The Company will be forced to liquidate if it is unable to complete an initial business combination within the meaning as defined in and the time period as required by its Amended and Restated Certificate of Incorporation, as the same may be amended from time to time. This certificate is not valid unless countersigned by the Transfer Agent and registered by the Registrar.</w:t>
      </w:r>
    </w:p>
    <w:p>
      <w:pPr>
        <w:spacing w:after="0" w:line="2" w:lineRule="exact"/>
        <w:rPr>
          <w:sz w:val="20"/>
          <w:szCs w:val="20"/>
          <w:color w:val="auto"/>
        </w:rPr>
      </w:pPr>
    </w:p>
    <w:p>
      <w:pPr>
        <w:ind w:left="2320"/>
        <w:spacing w:after="0"/>
        <w:rPr>
          <w:sz w:val="20"/>
          <w:szCs w:val="20"/>
          <w:color w:val="auto"/>
        </w:rPr>
      </w:pPr>
      <w:r>
        <w:rPr>
          <w:rFonts w:ascii="Arial" w:cs="Arial" w:eastAsia="Arial" w:hAnsi="Arial"/>
          <w:sz w:val="18"/>
          <w:szCs w:val="18"/>
          <w:i w:val="1"/>
          <w:iCs w:val="1"/>
          <w:color w:val="auto"/>
        </w:rPr>
        <w:t>Witness the facsimile seal of the Company and the facsimile signatures of its duly authorized officers.</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Dated:</w:t>
      </w:r>
    </w:p>
    <w:p>
      <w:pPr>
        <w:spacing w:after="0" w:line="200" w:lineRule="exact"/>
        <w:rPr>
          <w:sz w:val="20"/>
          <w:szCs w:val="20"/>
          <w:color w:val="auto"/>
        </w:rPr>
      </w:pPr>
    </w:p>
    <w:p>
      <w:pPr>
        <w:spacing w:after="0" w:line="255" w:lineRule="exact"/>
        <w:rPr>
          <w:sz w:val="20"/>
          <w:szCs w:val="20"/>
          <w:color w:val="auto"/>
        </w:rPr>
      </w:pPr>
    </w:p>
    <w:p>
      <w:pPr>
        <w:spacing w:after="0"/>
        <w:tabs>
          <w:tab w:leader="none" w:pos="7320" w:val="left"/>
        </w:tabs>
        <w:rPr>
          <w:sz w:val="20"/>
          <w:szCs w:val="20"/>
          <w:color w:val="auto"/>
        </w:rPr>
      </w:pPr>
      <w:r>
        <w:rPr>
          <w:rFonts w:ascii="Arial" w:cs="Arial" w:eastAsia="Arial" w:hAnsi="Arial"/>
          <w:sz w:val="18"/>
          <w:szCs w:val="18"/>
          <w:color w:val="auto"/>
        </w:rPr>
        <w:t>CHAIRMAN</w:t>
      </w:r>
      <w:r>
        <w:rPr>
          <w:sz w:val="20"/>
          <w:szCs w:val="20"/>
          <w:color w:val="auto"/>
        </w:rPr>
        <w:tab/>
      </w: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4653915</wp:posOffset>
            </wp:positionH>
            <wp:positionV relativeFrom="paragraph">
              <wp:posOffset>-130175</wp:posOffset>
            </wp:positionV>
            <wp:extent cx="24955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-130175</wp:posOffset>
            </wp:positionV>
            <wp:extent cx="250444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044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443865</wp:posOffset>
            </wp:positionV>
            <wp:extent cx="716089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type w:val="continuous"/>
        </w:sectPr>
      </w:pPr>
    </w:p>
    <w:bookmarkStart w:id="151" w:name="page152"/>
    <w:bookmarkEnd w:id="151"/>
    <w:p>
      <w:pPr>
        <w:jc w:val="both"/>
        <w:ind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TEN COM –</w:t>
            </w:r>
          </w:p>
        </w:tc>
        <w:tc>
          <w:tcPr>
            <w:tcW w:w="3560" w:type="dxa"/>
            <w:vAlign w:val="bottom"/>
          </w:tcPr>
          <w:p>
            <w:pPr>
              <w:ind w:left="580"/>
              <w:spacing w:after="0"/>
              <w:rPr>
                <w:sz w:val="20"/>
                <w:szCs w:val="20"/>
                <w:color w:val="auto"/>
              </w:rPr>
            </w:pPr>
            <w:r>
              <w:rPr>
                <w:rFonts w:ascii="Arial" w:cs="Arial" w:eastAsia="Arial" w:hAnsi="Arial"/>
                <w:sz w:val="18"/>
                <w:szCs w:val="18"/>
                <w:color w:val="auto"/>
              </w:rPr>
              <w:t>as tenants in common</w:t>
            </w:r>
          </w:p>
        </w:tc>
        <w:tc>
          <w:tcPr>
            <w:tcW w:w="2260" w:type="dxa"/>
            <w:vAlign w:val="bottom"/>
          </w:tcPr>
          <w:p>
            <w:pPr>
              <w:spacing w:after="0"/>
              <w:rPr>
                <w:sz w:val="20"/>
                <w:szCs w:val="20"/>
                <w:color w:val="auto"/>
              </w:rPr>
            </w:pPr>
            <w:r>
              <w:rPr>
                <w:rFonts w:ascii="Arial" w:cs="Arial" w:eastAsia="Arial" w:hAnsi="Arial"/>
                <w:sz w:val="18"/>
                <w:szCs w:val="18"/>
                <w:color w:val="auto"/>
              </w:rPr>
              <w:t>UNIF GIFT MIN ACT -</w:t>
            </w:r>
          </w:p>
        </w:tc>
        <w:tc>
          <w:tcPr>
            <w:tcW w:w="2760" w:type="dxa"/>
            <w:vAlign w:val="bottom"/>
            <w:gridSpan w:val="2"/>
          </w:tcPr>
          <w:p>
            <w:pPr>
              <w:ind w:left="480"/>
              <w:spacing w:after="0"/>
              <w:rPr>
                <w:sz w:val="20"/>
                <w:szCs w:val="20"/>
                <w:color w:val="auto"/>
              </w:rPr>
            </w:pPr>
            <w:r>
              <w:rPr>
                <w:rFonts w:ascii="Arial" w:cs="Arial" w:eastAsia="Arial" w:hAnsi="Arial"/>
                <w:sz w:val="18"/>
                <w:szCs w:val="18"/>
                <w:color w:val="auto"/>
              </w:rPr>
              <w:t>_____ Custodian ______</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TEN ENT –</w:t>
            </w:r>
          </w:p>
        </w:tc>
        <w:tc>
          <w:tcPr>
            <w:tcW w:w="3560" w:type="dxa"/>
            <w:vAlign w:val="bottom"/>
          </w:tcPr>
          <w:p>
            <w:pPr>
              <w:ind w:left="580"/>
              <w:spacing w:after="0"/>
              <w:rPr>
                <w:sz w:val="20"/>
                <w:szCs w:val="20"/>
                <w:color w:val="auto"/>
              </w:rPr>
            </w:pPr>
            <w:r>
              <w:rPr>
                <w:rFonts w:ascii="Arial" w:cs="Arial" w:eastAsia="Arial" w:hAnsi="Arial"/>
                <w:sz w:val="18"/>
                <w:szCs w:val="18"/>
                <w:color w:val="auto"/>
              </w:rPr>
              <w:t>as tenants by the entireties</w:t>
            </w:r>
          </w:p>
        </w:tc>
        <w:tc>
          <w:tcPr>
            <w:tcW w:w="2260" w:type="dxa"/>
            <w:vAlign w:val="bottom"/>
          </w:tcPr>
          <w:p>
            <w:pPr>
              <w:spacing w:after="0"/>
              <w:rPr>
                <w:sz w:val="18"/>
                <w:szCs w:val="18"/>
                <w:color w:val="auto"/>
              </w:rPr>
            </w:pPr>
          </w:p>
        </w:tc>
        <w:tc>
          <w:tcPr>
            <w:tcW w:w="1580" w:type="dxa"/>
            <w:vAlign w:val="bottom"/>
          </w:tcPr>
          <w:p>
            <w:pPr>
              <w:ind w:left="1080"/>
              <w:spacing w:after="0"/>
              <w:rPr>
                <w:sz w:val="20"/>
                <w:szCs w:val="20"/>
                <w:color w:val="auto"/>
              </w:rPr>
            </w:pPr>
            <w:r>
              <w:rPr>
                <w:rFonts w:ascii="Arial" w:cs="Arial" w:eastAsia="Arial" w:hAnsi="Arial"/>
                <w:sz w:val="18"/>
                <w:szCs w:val="18"/>
                <w:color w:val="auto"/>
                <w:w w:val="97"/>
              </w:rPr>
              <w:t>(Cust)</w:t>
            </w:r>
          </w:p>
        </w:tc>
        <w:tc>
          <w:tcPr>
            <w:tcW w:w="1180" w:type="dxa"/>
            <w:vAlign w:val="bottom"/>
          </w:tcPr>
          <w:p>
            <w:pPr>
              <w:ind w:left="540"/>
              <w:spacing w:after="0"/>
              <w:rPr>
                <w:sz w:val="20"/>
                <w:szCs w:val="20"/>
                <w:color w:val="auto"/>
              </w:rPr>
            </w:pPr>
            <w:r>
              <w:rPr>
                <w:rFonts w:ascii="Arial" w:cs="Arial" w:eastAsia="Arial" w:hAnsi="Arial"/>
                <w:sz w:val="18"/>
                <w:szCs w:val="18"/>
                <w:color w:val="auto"/>
              </w:rPr>
              <w:t>(Minor)</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JT TEN –</w:t>
            </w:r>
          </w:p>
        </w:tc>
        <w:tc>
          <w:tcPr>
            <w:tcW w:w="3560" w:type="dxa"/>
            <w:vAlign w:val="bottom"/>
          </w:tcPr>
          <w:p>
            <w:pPr>
              <w:ind w:left="580"/>
              <w:spacing w:after="0"/>
              <w:rPr>
                <w:sz w:val="20"/>
                <w:szCs w:val="20"/>
                <w:color w:val="auto"/>
              </w:rPr>
            </w:pPr>
            <w:r>
              <w:rPr>
                <w:rFonts w:ascii="Arial" w:cs="Arial" w:eastAsia="Arial" w:hAnsi="Arial"/>
                <w:sz w:val="18"/>
                <w:szCs w:val="18"/>
                <w:color w:val="auto"/>
                <w:w w:val="92"/>
              </w:rPr>
              <w:t>as joint tenants with right of survivorship</w:t>
            </w:r>
          </w:p>
        </w:tc>
        <w:tc>
          <w:tcPr>
            <w:tcW w:w="2260" w:type="dxa"/>
            <w:vAlign w:val="bottom"/>
          </w:tcPr>
          <w:p>
            <w:pPr>
              <w:spacing w:after="0"/>
              <w:rPr>
                <w:sz w:val="18"/>
                <w:szCs w:val="18"/>
                <w:color w:val="auto"/>
              </w:rPr>
            </w:pPr>
          </w:p>
        </w:tc>
        <w:tc>
          <w:tcPr>
            <w:tcW w:w="2760" w:type="dxa"/>
            <w:vAlign w:val="bottom"/>
            <w:gridSpan w:val="2"/>
          </w:tcPr>
          <w:p>
            <w:pPr>
              <w:ind w:left="540"/>
              <w:spacing w:after="0"/>
              <w:rPr>
                <w:sz w:val="20"/>
                <w:szCs w:val="20"/>
                <w:color w:val="auto"/>
              </w:rPr>
            </w:pPr>
            <w:r>
              <w:rPr>
                <w:rFonts w:ascii="Arial" w:cs="Arial" w:eastAsia="Arial" w:hAnsi="Arial"/>
                <w:sz w:val="18"/>
                <w:szCs w:val="18"/>
                <w:color w:val="auto"/>
                <w:w w:val="93"/>
              </w:rPr>
              <w:t>under Uniform Gifts to Minors</w:t>
            </w:r>
          </w:p>
        </w:tc>
      </w:tr>
      <w:tr>
        <w:trPr>
          <w:trHeight w:val="216"/>
        </w:trPr>
        <w:tc>
          <w:tcPr>
            <w:tcW w:w="1520" w:type="dxa"/>
            <w:vAlign w:val="bottom"/>
          </w:tcPr>
          <w:p>
            <w:pPr>
              <w:spacing w:after="0"/>
              <w:rPr>
                <w:sz w:val="18"/>
                <w:szCs w:val="18"/>
                <w:color w:val="auto"/>
              </w:rPr>
            </w:pPr>
          </w:p>
        </w:tc>
        <w:tc>
          <w:tcPr>
            <w:tcW w:w="3560" w:type="dxa"/>
            <w:vAlign w:val="bottom"/>
          </w:tcPr>
          <w:p>
            <w:pPr>
              <w:ind w:left="580"/>
              <w:spacing w:after="0"/>
              <w:rPr>
                <w:sz w:val="20"/>
                <w:szCs w:val="20"/>
                <w:color w:val="auto"/>
              </w:rPr>
            </w:pPr>
            <w:r>
              <w:rPr>
                <w:rFonts w:ascii="Arial" w:cs="Arial" w:eastAsia="Arial" w:hAnsi="Arial"/>
                <w:sz w:val="18"/>
                <w:szCs w:val="18"/>
                <w:color w:val="auto"/>
              </w:rPr>
              <w:t>and not as tenants in common</w:t>
            </w:r>
          </w:p>
        </w:tc>
        <w:tc>
          <w:tcPr>
            <w:tcW w:w="2260" w:type="dxa"/>
            <w:vAlign w:val="bottom"/>
          </w:tcPr>
          <w:p>
            <w:pPr>
              <w:spacing w:after="0"/>
              <w:rPr>
                <w:sz w:val="18"/>
                <w:szCs w:val="18"/>
                <w:color w:val="auto"/>
              </w:rPr>
            </w:pPr>
          </w:p>
        </w:tc>
        <w:tc>
          <w:tcPr>
            <w:tcW w:w="2760" w:type="dxa"/>
            <w:vAlign w:val="bottom"/>
            <w:gridSpan w:val="2"/>
          </w:tcPr>
          <w:p>
            <w:pPr>
              <w:ind w:left="480"/>
              <w:spacing w:after="0"/>
              <w:rPr>
                <w:sz w:val="20"/>
                <w:szCs w:val="20"/>
                <w:color w:val="auto"/>
              </w:rPr>
            </w:pPr>
            <w:r>
              <w:rPr>
                <w:rFonts w:ascii="Arial" w:cs="Arial" w:eastAsia="Arial" w:hAnsi="Arial"/>
                <w:sz w:val="18"/>
                <w:szCs w:val="18"/>
                <w:color w:val="auto"/>
              </w:rPr>
              <w:t>Act ______________</w:t>
            </w:r>
          </w:p>
        </w:tc>
      </w:tr>
      <w:tr>
        <w:trPr>
          <w:trHeight w:val="230"/>
        </w:trPr>
        <w:tc>
          <w:tcPr>
            <w:tcW w:w="15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(State)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will furnish without charge to each stockholder who so requests the powers, designations, preferences and relative, participating, optional or other special rights of each class of shares or series thereof of the Company and the qualifications, limitations, or restrictions of such preferences and/or rights. This certificate and the shares represented thereby are issued and shall be held subject to all the provisions of the Company’s Amended and Restated Certificate of Incorporation and all amendments thereto and resolutions of the Board of Directors providing for the issue of preferred stock (copies of which may be obtained from the secretary of the Company), to all of which the holder of this certificate by acceptance hereof assents.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 value received, ___________________________ hereby sell(s), assign(s) and transfer(s) unto</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PLEASE INSERT SOCIAL SECURITY OR OTHER</w:t>
      </w:r>
    </w:p>
    <w:p>
      <w:pPr>
        <w:ind w:left="180"/>
        <w:spacing w:after="0"/>
        <w:rPr>
          <w:sz w:val="20"/>
          <w:szCs w:val="20"/>
          <w:color w:val="auto"/>
        </w:rPr>
      </w:pPr>
      <w:r>
        <w:rPr>
          <w:rFonts w:ascii="Arial" w:cs="Arial" w:eastAsia="Arial" w:hAnsi="Arial"/>
          <w:sz w:val="14"/>
          <w:szCs w:val="14"/>
          <w:color w:val="auto"/>
        </w:rPr>
        <w:t>IDENTIFYING NUMBER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2658745" cy="291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5874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TYPEWRITE NAME AND ADDRESS, INCLUDING ZIP CODE,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572135</wp:posOffset>
            </wp:positionV>
            <wp:extent cx="715200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20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289560</wp:posOffset>
            </wp:positionV>
            <wp:extent cx="715200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20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-130175</wp:posOffset>
            </wp:positionV>
            <wp:extent cx="71520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800"/>
        <w:spacing w:after="0"/>
        <w:rPr>
          <w:sz w:val="20"/>
          <w:szCs w:val="20"/>
          <w:color w:val="auto"/>
        </w:rPr>
      </w:pPr>
      <w:r>
        <w:rPr>
          <w:rFonts w:ascii="Arial" w:cs="Arial" w:eastAsia="Arial" w:hAnsi="Arial"/>
          <w:sz w:val="15"/>
          <w:szCs w:val="15"/>
          <w:i w:val="1"/>
          <w:iCs w:val="1"/>
          <w:color w:val="auto"/>
        </w:rPr>
        <w:t>shares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 common stock represented by the within Certificate, and do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80085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00850" cy="8890"/>
                    </a:xfrm>
                    <a:prstGeom prst="rect">
                      <a:avLst/>
                    </a:prstGeom>
                    <a:noFill/>
                  </pic:spPr>
                </pic:pic>
              </a:graphicData>
            </a:graphic>
          </wp:anchor>
        </w:drawing>
      </w:r>
    </w:p>
    <w:p>
      <w:pPr>
        <w:spacing w:after="0" w:line="204" w:lineRule="exact"/>
        <w:rPr>
          <w:sz w:val="20"/>
          <w:szCs w:val="20"/>
          <w:color w:val="auto"/>
        </w:rPr>
      </w:pPr>
    </w:p>
    <w:p>
      <w:pPr>
        <w:ind w:left="10640"/>
        <w:spacing w:after="0"/>
        <w:rPr>
          <w:sz w:val="20"/>
          <w:szCs w:val="20"/>
          <w:color w:val="auto"/>
        </w:rPr>
      </w:pPr>
      <w:r>
        <w:rPr>
          <w:rFonts w:ascii="Arial" w:cs="Arial" w:eastAsia="Arial" w:hAnsi="Arial"/>
          <w:sz w:val="16"/>
          <w:szCs w:val="16"/>
          <w:i w:val="1"/>
          <w:iCs w:val="1"/>
          <w:color w:val="auto"/>
        </w:rPr>
        <w:t>Attorney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transfer the said stock on the books of the within named Company will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6548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14605</wp:posOffset>
            </wp:positionV>
            <wp:extent cx="15951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560" w:hanging="659"/>
        <w:spacing w:after="0" w:line="342" w:lineRule="auto"/>
        <w:tabs>
          <w:tab w:leader="none" w:pos="4540" w:val="left"/>
        </w:tabs>
        <w:rPr>
          <w:sz w:val="20"/>
          <w:szCs w:val="20"/>
          <w:color w:val="auto"/>
        </w:rPr>
      </w:pPr>
      <w:r>
        <w:rPr>
          <w:rFonts w:ascii="Arial" w:cs="Arial" w:eastAsia="Arial" w:hAnsi="Arial"/>
          <w:sz w:val="16"/>
          <w:szCs w:val="16"/>
          <w:b w:val="1"/>
          <w:bCs w:val="1"/>
          <w:color w:val="auto"/>
        </w:rPr>
        <w:t>Notice:</w:t>
      </w:r>
      <w:r>
        <w:rPr>
          <w:sz w:val="20"/>
          <w:szCs w:val="20"/>
          <w:color w:val="auto"/>
        </w:rPr>
        <w:tab/>
      </w:r>
      <w:r>
        <w:rPr>
          <w:rFonts w:ascii="Arial" w:cs="Arial" w:eastAsia="Arial" w:hAnsi="Arial"/>
          <w:sz w:val="16"/>
          <w:szCs w:val="16"/>
          <w:color w:val="auto"/>
        </w:rPr>
        <w:t>The signature to this assignment must correspond with the 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2475865</wp:posOffset>
            </wp:positionH>
            <wp:positionV relativeFrom="paragraph">
              <wp:posOffset>-329565</wp:posOffset>
            </wp:positionV>
            <wp:extent cx="46736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383" w:lineRule="exact"/>
        <w:rPr>
          <w:sz w:val="20"/>
          <w:szCs w:val="20"/>
          <w:color w:val="auto"/>
        </w:rPr>
      </w:pPr>
    </w:p>
    <w:p>
      <w:pPr>
        <w:ind w:right="4660"/>
        <w:spacing w:after="0" w:line="234" w:lineRule="auto"/>
        <w:rPr>
          <w:sz w:val="20"/>
          <w:szCs w:val="20"/>
          <w:color w:val="auto"/>
        </w:rPr>
      </w:pPr>
      <w:r>
        <w:rPr>
          <w:rFonts w:ascii="Arial" w:cs="Arial" w:eastAsia="Arial" w:hAnsi="Arial"/>
          <w:sz w:val="14"/>
          <w:szCs w:val="14"/>
          <w:color w:val="auto"/>
        </w:rPr>
        <w:t>THE SIGNATURE(S) SHOULD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-394970</wp:posOffset>
            </wp:positionV>
            <wp:extent cx="429641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holder of this certificate shall be entitled to receive funds from the trust account only in the event of the Company’s liquidation upon failure to consummate a business combination within the required time period set forth in the Company’s Amended and Restated Certificate of Incorporation as the same may be amended from time to time, or if the holder seeks to convert his or her shares of common stock upon consummation of a business combination or in connection with certain amendments to the Company’s Amended and Restated Certificate of Incorporation. In no other circumstances shall the holder have any right or interest of any kind in or to the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420370</wp:posOffset>
            </wp:positionV>
            <wp:extent cx="71608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52" w:name="page153"/>
    <w:bookmarkEnd w:id="152"/>
    <w:p>
      <w:pPr>
        <w:ind w:left="10420"/>
        <w:spacing w:after="0"/>
        <w:rPr>
          <w:sz w:val="20"/>
          <w:szCs w:val="20"/>
          <w:color w:val="auto"/>
        </w:rPr>
      </w:pPr>
      <w:r>
        <w:rPr>
          <w:rFonts w:ascii="Arial" w:cs="Arial" w:eastAsia="Arial" w:hAnsi="Arial"/>
          <w:sz w:val="16"/>
          <w:szCs w:val="16"/>
          <w:b w:val="1"/>
          <w:bCs w:val="1"/>
          <w:color w:val="auto"/>
        </w:rPr>
        <w:t>Exhibit 4.3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SPECIMEN WARRANT CERTIFICATE</w:t>
      </w:r>
    </w:p>
    <w:p>
      <w:pPr>
        <w:sectPr>
          <w:pgSz w:w="11900" w:h="16838" w:orient="portrait"/>
          <w:cols w:equalWidth="0" w:num="1">
            <w:col w:w="11260"/>
          </w:cols>
          <w:pgMar w:left="320" w:top="337" w:right="31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 WARRANTS</w:t>
      </w:r>
    </w:p>
    <w:p>
      <w:pPr>
        <w:spacing w:after="0" w:line="34" w:lineRule="exact"/>
        <w:rPr>
          <w:sz w:val="20"/>
          <w:szCs w:val="20"/>
          <w:color w:val="auto"/>
        </w:rPr>
      </w:pPr>
    </w:p>
    <w:p>
      <w:pPr>
        <w:sectPr>
          <w:pgSz w:w="11900" w:h="16838" w:orient="portrait"/>
          <w:cols w:equalWidth="0" w:num="3">
            <w:col w:w="9200" w:space="720"/>
            <w:col w:w="60" w:space="180"/>
            <w:col w:w="1100"/>
          </w:cols>
          <w:pgMar w:left="320" w:top="337" w:right="319" w:bottom="1440" w:gutter="0" w:footer="0" w:header="0"/>
          <w:type w:val="continuous"/>
        </w:sectPr>
      </w:pPr>
    </w:p>
    <w:p>
      <w:pPr>
        <w:spacing w:after="0"/>
        <w:rPr>
          <w:sz w:val="20"/>
          <w:szCs w:val="20"/>
          <w:color w:val="auto"/>
        </w:rPr>
      </w:pPr>
      <w:r>
        <w:rPr>
          <w:rFonts w:ascii="Arial" w:cs="Arial" w:eastAsia="Arial" w:hAnsi="Arial"/>
          <w:sz w:val="17"/>
          <w:szCs w:val="17"/>
          <w:color w:val="auto"/>
        </w:rPr>
        <w:t>WA-</w:t>
      </w:r>
    </w:p>
    <w:p>
      <w:pPr>
        <w:sectPr>
          <w:pgSz w:w="11900" w:h="16838" w:orient="portrait"/>
          <w:cols w:equalWidth="0" w:num="1">
            <w:col w:w="11260"/>
          </w:cols>
          <w:pgMar w:left="320" w:top="337" w:right="319" w:bottom="1440" w:gutter="0" w:footer="0" w:header="0"/>
          <w:type w:val="continuous"/>
        </w:sectPr>
      </w:pPr>
    </w:p>
    <w:p>
      <w:pPr>
        <w:spacing w:after="0" w:line="222"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(THIS WARRANT WILL BE VOID IF NOT EXERCISED PRIOR TO 5:00 P.M. NEW YORK CITY TIME, FIVE YEARS FROM THE CLOSING DATE OF THE COMPANY’S INITIAL PUBLIC OFFERING)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29" w:lineRule="exact"/>
        <w:rPr>
          <w:sz w:val="20"/>
          <w:szCs w:val="20"/>
          <w:color w:val="auto"/>
        </w:rPr>
      </w:pPr>
    </w:p>
    <w:p>
      <w:pPr>
        <w:ind w:left="9820"/>
        <w:spacing w:after="0"/>
        <w:rPr>
          <w:sz w:val="20"/>
          <w:szCs w:val="20"/>
          <w:color w:val="auto"/>
        </w:rPr>
      </w:pPr>
      <w:r>
        <w:rPr>
          <w:rFonts w:ascii="Arial" w:cs="Arial" w:eastAsia="Arial" w:hAnsi="Arial"/>
          <w:sz w:val="16"/>
          <w:szCs w:val="16"/>
          <w:color w:val="auto"/>
        </w:rPr>
        <w:t>CUSIP __________</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w:t>
      </w:r>
    </w:p>
    <w:p>
      <w:pPr>
        <w:spacing w:after="0" w:line="225" w:lineRule="exact"/>
        <w:rPr>
          <w:sz w:val="20"/>
          <w:szCs w:val="20"/>
          <w:color w:val="auto"/>
        </w:rPr>
      </w:pPr>
    </w:p>
    <w:p>
      <w:pPr>
        <w:spacing w:after="0"/>
        <w:tabs>
          <w:tab w:leader="none" w:pos="5960" w:val="left"/>
        </w:tabs>
        <w:rPr>
          <w:sz w:val="20"/>
          <w:szCs w:val="20"/>
          <w:color w:val="auto"/>
        </w:rPr>
      </w:pPr>
      <w:r>
        <w:rPr>
          <w:rFonts w:ascii="Arial" w:cs="Arial" w:eastAsia="Arial" w:hAnsi="Arial"/>
          <w:sz w:val="18"/>
          <w:szCs w:val="18"/>
          <w:color w:val="auto"/>
        </w:rPr>
        <w:t>THIS WARRANT CERTIFIES THAT, for value received</w:t>
      </w:r>
      <w:r>
        <w:rPr>
          <w:sz w:val="20"/>
          <w:szCs w:val="20"/>
          <w:color w:val="auto"/>
        </w:rPr>
        <w:tab/>
      </w:r>
      <w:r>
        <w:rPr>
          <w:rFonts w:ascii="Arial" w:cs="Arial" w:eastAsia="Arial" w:hAnsi="Arial"/>
          <w:sz w:val="16"/>
          <w:szCs w:val="16"/>
          <w:color w:val="auto"/>
        </w:rPr>
        <w:t>, or registered agents, is the registered holder of a Warrant or Warrants</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expiring on a date which is five (5) years from the closing date (the “Warrant”) of the Company’s initial public offering (the “Offering”), to purchase one fully paid and non-assessable share (the “Warrant Shares”), of common stock, par value $0.001 per share (the “Common Stock”), of M I ACQUISITIONS, INC., a Delaware corporation (the “Company”), for each Warrant evidenced by this Warrant Certificate. This Warrant Certificate is subject to and shall be interpreted under the terms and conditions of the Warrant Agreement (as defined below).</w:t>
      </w:r>
    </w:p>
    <w:p>
      <w:pPr>
        <w:spacing w:after="0" w:line="190" w:lineRule="exact"/>
        <w:rPr>
          <w:sz w:val="20"/>
          <w:szCs w:val="20"/>
          <w:color w:val="auto"/>
        </w:rPr>
      </w:pPr>
    </w:p>
    <w:p>
      <w:pPr>
        <w:ind w:right="80" w:firstLine="441"/>
        <w:spacing w:after="0" w:line="286" w:lineRule="auto"/>
        <w:rPr>
          <w:sz w:val="20"/>
          <w:szCs w:val="20"/>
          <w:color w:val="auto"/>
        </w:rPr>
      </w:pPr>
      <w:r>
        <w:rPr>
          <w:rFonts w:ascii="Arial" w:cs="Arial" w:eastAsia="Arial" w:hAnsi="Arial"/>
          <w:sz w:val="16"/>
          <w:szCs w:val="16"/>
          <w:color w:val="auto"/>
        </w:rPr>
        <w:t>The Warrant entitles the holder thereof to purchase from the Company, from time to time, in whole or in part, commencing on the later to occur of (i) 30 days following the completion of the Company’s initial business combination and (ii) twelve (12) months following the closing of the Public Offering, such number of Warrant Shares at the price of $12.00 per share (the “Warrant Price”), upon surrender of this Warrant Certificate and payment of the Warrant Price at the office or agency of Continental Stock Transfer &amp; Trust Company (the “Warrant Agent”), such payment to be made subject to the</w:t>
      </w:r>
    </w:p>
    <w:p>
      <w:pPr>
        <w:spacing w:after="0" w:line="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conditions set forth herein and in the Warrant Agreement, dated [ ], 2016, between the Company and the Warrant Agent (the “Warrant Agreement”). In no event shall the registered holder(s) of this Warrant be entitled to receive a net-cash settlement in lieu of physical settlement in Warrant Shares of the Company. The Warrant Agreement provides that, upon the occurrence of certain events, the Warrant Price and the number of Warrant Shares purchasable hereunder, set forth on the face hereof, may be adjusted, subject to certain conditions. The term Warrant Price as used in this Warrant Certificate refers to the price per Warrant Share at which Warrant Shares may be purchased at the time the Warrant is exercised.</w:t>
      </w:r>
    </w:p>
    <w:p>
      <w:pPr>
        <w:spacing w:after="0" w:line="179" w:lineRule="exact"/>
        <w:rPr>
          <w:sz w:val="20"/>
          <w:szCs w:val="20"/>
          <w:color w:val="auto"/>
        </w:rPr>
      </w:pPr>
    </w:p>
    <w:p>
      <w:pPr>
        <w:jc w:val="both"/>
        <w:ind w:right="80" w:firstLine="441"/>
        <w:spacing w:after="0" w:line="277" w:lineRule="auto"/>
        <w:rPr>
          <w:sz w:val="20"/>
          <w:szCs w:val="20"/>
          <w:color w:val="auto"/>
        </w:rPr>
      </w:pPr>
      <w:r>
        <w:rPr>
          <w:rFonts w:ascii="Arial" w:cs="Arial" w:eastAsia="Arial" w:hAnsi="Arial"/>
          <w:sz w:val="18"/>
          <w:szCs w:val="18"/>
          <w:color w:val="auto"/>
        </w:rPr>
        <w:t>This Warrant will expire on the date first referenced above if it is not exercised prior to such date by the registered holder pursuant to the terms of the Warrant Agreement or if it is not redeemed by the Company prior to such date.</w:t>
      </w:r>
    </w:p>
    <w:p>
      <w:pPr>
        <w:spacing w:after="0" w:line="170"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No fraction of a Share will be issued upon any exercise of a Warrant. If, upon exercise of a Warrant, a holder would be entitled to receive a fractional interest in a Share, the Company will, upon exercise, issue or cause to be issued only the largest whole number of Warrant Shares issuable on such exercise (and such fraction of a Share will be disregarded).</w:t>
      </w:r>
    </w:p>
    <w:p>
      <w:pPr>
        <w:spacing w:after="0" w:line="181" w:lineRule="exact"/>
        <w:rPr>
          <w:sz w:val="20"/>
          <w:szCs w:val="20"/>
          <w:color w:val="auto"/>
        </w:rPr>
      </w:pPr>
    </w:p>
    <w:p>
      <w:pPr>
        <w:ind w:right="440" w:firstLine="441"/>
        <w:spacing w:after="0" w:line="342" w:lineRule="auto"/>
        <w:rPr>
          <w:sz w:val="20"/>
          <w:szCs w:val="20"/>
          <w:color w:val="auto"/>
        </w:rPr>
      </w:pPr>
      <w:r>
        <w:rPr>
          <w:rFonts w:ascii="Arial" w:cs="Arial" w:eastAsia="Arial" w:hAnsi="Arial"/>
          <w:sz w:val="16"/>
          <w:szCs w:val="16"/>
          <w:color w:val="auto"/>
        </w:rPr>
        <w:t>Upon any exercise of the Warrant for less than the total number of full Warrant Shares provided for herein, there shall be issued to the registered holder(s) hereof or its assignee(s) a new Warrant Certificate covering the number of Warrant Shares for which the Warrant has not been exercised.</w:t>
      </w:r>
    </w:p>
    <w:p>
      <w:pPr>
        <w:spacing w:after="0" w:line="124" w:lineRule="exact"/>
        <w:rPr>
          <w:sz w:val="20"/>
          <w:szCs w:val="20"/>
          <w:color w:val="auto"/>
        </w:rPr>
      </w:pPr>
    </w:p>
    <w:p>
      <w:pPr>
        <w:ind w:right="200" w:firstLine="441"/>
        <w:spacing w:after="0" w:line="312" w:lineRule="auto"/>
        <w:rPr>
          <w:sz w:val="20"/>
          <w:szCs w:val="20"/>
          <w:color w:val="auto"/>
        </w:rPr>
      </w:pPr>
      <w:r>
        <w:rPr>
          <w:rFonts w:ascii="Arial" w:cs="Arial" w:eastAsia="Arial" w:hAnsi="Arial"/>
          <w:sz w:val="16"/>
          <w:szCs w:val="16"/>
          <w:color w:val="auto"/>
        </w:rPr>
        <w:t>Warrant Certificates, when surrendered at the office or agency of the Warrant Agent by the registered holder(s) hereof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393700</wp:posOffset>
            </wp:positionV>
            <wp:extent cx="716089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type w:val="continuous"/>
        </w:sectPr>
      </w:pPr>
    </w:p>
    <w:bookmarkStart w:id="153" w:name="page154"/>
    <w:bookmarkEnd w:id="153"/>
    <w:p>
      <w:pPr>
        <w:jc w:val="both"/>
        <w:ind w:firstLine="441"/>
        <w:spacing w:after="0" w:line="312" w:lineRule="auto"/>
        <w:rPr>
          <w:sz w:val="20"/>
          <w:szCs w:val="20"/>
          <w:color w:val="auto"/>
        </w:rPr>
      </w:pPr>
      <w:r>
        <w:rPr>
          <w:rFonts w:ascii="Arial" w:cs="Arial" w:eastAsia="Arial" w:hAnsi="Arial"/>
          <w:sz w:val="16"/>
          <w:szCs w:val="16"/>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applicable tax or other governmental charge.</w:t>
      </w:r>
    </w:p>
    <w:p>
      <w:pPr>
        <w:spacing w:after="0" w:line="147" w:lineRule="exact"/>
        <w:rPr>
          <w:sz w:val="20"/>
          <w:szCs w:val="20"/>
          <w:color w:val="auto"/>
        </w:rPr>
      </w:pPr>
    </w:p>
    <w:p>
      <w:pPr>
        <w:ind w:right="440" w:firstLine="441"/>
        <w:spacing w:after="0" w:line="312" w:lineRule="auto"/>
        <w:rPr>
          <w:sz w:val="20"/>
          <w:szCs w:val="20"/>
          <w:color w:val="auto"/>
        </w:rPr>
      </w:pPr>
      <w:r>
        <w:rPr>
          <w:rFonts w:ascii="Arial" w:cs="Arial" w:eastAsia="Arial" w:hAnsi="Arial"/>
          <w:sz w:val="16"/>
          <w:szCs w:val="16"/>
          <w:color w:val="auto"/>
        </w:rPr>
        <w:t>The Company and the Warrant Agent may deem and treat the registered holder(s) as the absolute owner(s) of this Warrant Certificate (notwithstanding any notation of ownership or other writing hereon made by anyone) for the purpose of any exercise hereof, of any distribution to the registered holder(s), and for all other purposes, and neither the Company nor the Warrant Agent shall be affected by any notice to the contrary.</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Warrant does not entitle the registered holder(s) to any of the rights of a stockholder of the Company.</w:t>
      </w:r>
    </w:p>
    <w:p>
      <w:pPr>
        <w:spacing w:after="0" w:line="22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After the Warrant becomes exercisable and prior to its expiration date, the Company reserves the right to call the Warrant at any time, with a notice of call in writing to the holder(s) of record of the Warrant, giving 30 days’ notice of such call if the last reported sale price of the Warrant Shares has been equal to or greater than $16.00 per share of the Warrant Price for any 20 trading days within a 30 consecutive trading day period ending on the third business day prior to the date on which notice of such call is given, provided that (i) a registration statement under the Act with respect to the shares of Common Stock issuable upon exercise must be effective and a current prospectus must be available for use by the registered holders hereof or (ii) the Warrants may be exercised on cashless basis as set forth in the Warrant Agreement and such cashless exercise is exempt from registration under the Securities Act of 1933, as amended. The call price is $0.01 per Warrant Share.</w:t>
      </w:r>
    </w:p>
    <w:p>
      <w:pPr>
        <w:spacing w:after="0" w:line="178"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If the foregoing conditions are satisfied and the Company calls the Warrant for redemption, each holder will then be entitled to exercise his, her or its Warrant prior to the date scheduled for redemption; provided that the Company may require the Registered Holder who desires to exercise the Warrant, to elect cashless exercise as set forth in the Warrant Agreement, and such Registered Holder must exercise the Warrants on a cashless basis if the Company so requires. Any Warrant either not exercised or tendered back to the Company by the end of the date specified in the notice of call shall be canceled on the books of the Company and have no further value except for the $0.01 call price.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COUNTERSIGNED: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WARRANT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[REVERSE OF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6089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6089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color w:val="auto"/>
        </w:rPr>
        <w:t>SUBSCRIPTION 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by the Registered Holder(s) in Order to Exercise Warrants</w:t>
      </w:r>
    </w:p>
    <w:p>
      <w:pPr>
        <w:spacing w:after="0" w:line="225" w:lineRule="exact"/>
        <w:rPr>
          <w:sz w:val="20"/>
          <w:szCs w:val="20"/>
          <w:color w:val="auto"/>
        </w:rPr>
      </w:pPr>
    </w:p>
    <w:p>
      <w:pPr>
        <w:ind w:right="220" w:firstLine="441"/>
        <w:spacing w:after="0" w:line="286" w:lineRule="auto"/>
        <w:rPr>
          <w:sz w:val="20"/>
          <w:szCs w:val="20"/>
          <w:color w:val="auto"/>
        </w:rPr>
      </w:pPr>
      <w:r>
        <w:rPr>
          <w:rFonts w:ascii="Arial" w:cs="Arial" w:eastAsia="Arial" w:hAnsi="Arial"/>
          <w:sz w:val="17"/>
          <w:szCs w:val="17"/>
          <w:color w:val="auto"/>
        </w:rPr>
        <w:t>The undersigned hereby irrevocably elects to exercise the right, represented by this Warrant Certificate, to receive shares of Common Stock in accordance with the terms of this Warrant Certificate and pursuant to the method selected below. Capitalized terms used herein and not otherwise defined have the respective meanings set forth in the Warrant Certificate. PLEASE CHECK ONE METHOD OF PAYMENT:</w:t>
      </w:r>
    </w:p>
    <w:p>
      <w:pPr>
        <w:spacing w:after="0" w:line="365" w:lineRule="exact"/>
        <w:rPr>
          <w:sz w:val="20"/>
          <w:szCs w:val="20"/>
          <w:color w:val="auto"/>
        </w:rPr>
      </w:pPr>
    </w:p>
    <w:tbl>
      <w:tblPr>
        <w:tblLayout w:type="fixed"/>
        <w:tblInd w:w="3720" w:type="dxa"/>
        <w:tblCellMar>
          <w:top w:w="0" w:type="dxa"/>
          <w:left w:w="0" w:type="dxa"/>
          <w:bottom w:w="0" w:type="dxa"/>
          <w:right w:w="0" w:type="dxa"/>
        </w:tblCellMar>
      </w:tblPr>
      <w:tr>
        <w:trPr>
          <w:trHeight w:val="207"/>
        </w:trPr>
        <w:tc>
          <w:tcPr>
            <w:tcW w:w="2960" w:type="dxa"/>
            <w:vAlign w:val="bottom"/>
            <w:gridSpan w:val="4"/>
          </w:tcPr>
          <w:p>
            <w:pPr>
              <w:spacing w:after="0"/>
              <w:rPr>
                <w:sz w:val="20"/>
                <w:szCs w:val="20"/>
                <w:color w:val="auto"/>
              </w:rPr>
            </w:pPr>
            <w:r>
              <w:rPr>
                <w:rFonts w:ascii="Arial" w:cs="Arial" w:eastAsia="Arial" w:hAnsi="Arial"/>
                <w:sz w:val="18"/>
                <w:szCs w:val="18"/>
                <w:color w:val="auto"/>
              </w:rPr>
              <w:t>a “Cash Exercise” with respect to</w:t>
            </w:r>
          </w:p>
        </w:tc>
        <w:tc>
          <w:tcPr>
            <w:tcW w:w="2480" w:type="dxa"/>
            <w:vAlign w:val="bottom"/>
          </w:tcPr>
          <w:p>
            <w:pPr>
              <w:ind w:left="280"/>
              <w:spacing w:after="0"/>
              <w:rPr>
                <w:sz w:val="20"/>
                <w:szCs w:val="20"/>
                <w:color w:val="auto"/>
              </w:rPr>
            </w:pPr>
            <w:r>
              <w:rPr>
                <w:rFonts w:ascii="Arial" w:cs="Arial" w:eastAsia="Arial" w:hAnsi="Arial"/>
                <w:sz w:val="18"/>
                <w:szCs w:val="18"/>
                <w:color w:val="auto"/>
              </w:rPr>
              <w:t>Warrant Shares; and/or</w:t>
            </w: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12"/>
        </w:trPr>
        <w:tc>
          <w:tcPr>
            <w:tcW w:w="2960" w:type="dxa"/>
            <w:vAlign w:val="bottom"/>
            <w:gridSpan w:val="4"/>
          </w:tcPr>
          <w:p>
            <w:pPr>
              <w:spacing w:after="0"/>
              <w:rPr>
                <w:sz w:val="20"/>
                <w:szCs w:val="20"/>
                <w:color w:val="auto"/>
              </w:rPr>
            </w:pPr>
            <w:r>
              <w:rPr>
                <w:rFonts w:ascii="Arial" w:cs="Arial" w:eastAsia="Arial" w:hAnsi="Arial"/>
                <w:sz w:val="18"/>
                <w:szCs w:val="18"/>
                <w:color w:val="auto"/>
                <w:w w:val="99"/>
              </w:rPr>
              <w:t>a “Cashless Exercise” with respect to</w:t>
            </w:r>
          </w:p>
        </w:tc>
        <w:tc>
          <w:tcPr>
            <w:tcW w:w="2480" w:type="dxa"/>
            <w:vAlign w:val="bottom"/>
          </w:tcPr>
          <w:p>
            <w:pPr>
              <w:ind w:left="540"/>
              <w:spacing w:after="0"/>
              <w:rPr>
                <w:sz w:val="20"/>
                <w:szCs w:val="20"/>
                <w:color w:val="auto"/>
              </w:rPr>
            </w:pPr>
            <w:r>
              <w:rPr>
                <w:rFonts w:ascii="Arial" w:cs="Arial" w:eastAsia="Arial" w:hAnsi="Arial"/>
                <w:sz w:val="18"/>
                <w:szCs w:val="18"/>
                <w:color w:val="auto"/>
                <w:w w:val="85"/>
              </w:rPr>
              <w:t>Warrant Shares because on</w:t>
            </w: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-385445</wp:posOffset>
            </wp:positionV>
            <wp:extent cx="128651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86510" cy="8890"/>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-111125</wp:posOffset>
            </wp:positionV>
            <wp:extent cx="128651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ind w:left="3720"/>
        <w:spacing w:after="0"/>
        <w:rPr>
          <w:sz w:val="20"/>
          <w:szCs w:val="20"/>
          <w:color w:val="auto"/>
        </w:rPr>
      </w:pPr>
      <w:r>
        <w:rPr>
          <w:rFonts w:ascii="Arial" w:cs="Arial" w:eastAsia="Arial" w:hAnsi="Arial"/>
          <w:sz w:val="18"/>
          <w:szCs w:val="18"/>
          <w:color w:val="auto"/>
        </w:rPr>
        <w:t>the date of this exercise, there is no effective registration statement</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registering the Warrant Shares, or the prospectus contained therein is not available for the resale of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20" w:type="dxa"/>
            <w:vAlign w:val="bottom"/>
            <w:gridSpan w:val="3"/>
          </w:tcPr>
          <w:p>
            <w:pPr>
              <w:ind w:left="3720"/>
              <w:spacing w:after="0"/>
              <w:rPr>
                <w:sz w:val="20"/>
                <w:szCs w:val="20"/>
                <w:color w:val="auto"/>
              </w:rPr>
            </w:pPr>
            <w:r>
              <w:rPr>
                <w:rFonts w:ascii="Arial" w:cs="Arial" w:eastAsia="Arial" w:hAnsi="Arial"/>
                <w:sz w:val="18"/>
                <w:szCs w:val="18"/>
                <w:color w:val="auto"/>
                <w:w w:val="96"/>
              </w:rPr>
              <w:t>Warrant Shares, in which event the Company shall deliver to the registered holder(s)</w:t>
            </w:r>
          </w:p>
        </w:tc>
        <w:tc>
          <w:tcPr>
            <w:tcW w:w="1040" w:type="dxa"/>
            <w:vAlign w:val="bottom"/>
          </w:tcPr>
          <w:p>
            <w:pPr>
              <w:ind w:left="400"/>
              <w:spacing w:after="0"/>
              <w:rPr>
                <w:sz w:val="20"/>
                <w:szCs w:val="20"/>
                <w:color w:val="auto"/>
              </w:rPr>
            </w:pPr>
            <w:r>
              <w:rPr>
                <w:rFonts w:ascii="Arial" w:cs="Arial" w:eastAsia="Arial" w:hAnsi="Arial"/>
                <w:sz w:val="18"/>
                <w:szCs w:val="18"/>
                <w:color w:val="auto"/>
              </w:rPr>
              <w:t>shares</w:t>
            </w:r>
          </w:p>
        </w:tc>
      </w:tr>
      <w:tr>
        <w:trPr>
          <w:trHeight w:val="190"/>
        </w:trPr>
        <w:tc>
          <w:tcPr>
            <w:tcW w:w="10220" w:type="dxa"/>
            <w:vAlign w:val="bottom"/>
            <w:gridSpan w:val="3"/>
          </w:tcPr>
          <w:p>
            <w:pPr>
              <w:ind w:left="3720"/>
              <w:spacing w:after="0" w:line="190" w:lineRule="exact"/>
              <w:rPr>
                <w:sz w:val="20"/>
                <w:szCs w:val="20"/>
                <w:color w:val="auto"/>
              </w:rPr>
            </w:pPr>
            <w:r>
              <w:rPr>
                <w:rFonts w:ascii="Arial" w:cs="Arial" w:eastAsia="Arial" w:hAnsi="Arial"/>
                <w:sz w:val="18"/>
                <w:szCs w:val="18"/>
                <w:color w:val="auto"/>
              </w:rPr>
              <w:t>of Common Stock pursuant to Section 3.3.2 of the Warrant Agreement.</w:t>
            </w:r>
          </w:p>
        </w:tc>
        <w:tc>
          <w:tcPr>
            <w:tcW w:w="1040" w:type="dxa"/>
            <w:vAlign w:val="bottom"/>
          </w:tcPr>
          <w:p>
            <w:pPr>
              <w:spacing w:after="0"/>
              <w:rPr>
                <w:sz w:val="16"/>
                <w:szCs w:val="16"/>
                <w:color w:val="auto"/>
              </w:rPr>
            </w:pPr>
          </w:p>
        </w:tc>
      </w:tr>
      <w:tr>
        <w:trPr>
          <w:trHeight w:val="20"/>
        </w:trPr>
        <w:tc>
          <w:tcPr>
            <w:tcW w:w="59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53"/>
        </w:trPr>
        <w:tc>
          <w:tcPr>
            <w:tcW w:w="10220" w:type="dxa"/>
            <w:vAlign w:val="bottom"/>
            <w:gridSpan w:val="3"/>
          </w:tcPr>
          <w:p>
            <w:pPr>
              <w:ind w:left="440"/>
              <w:spacing w:after="0"/>
              <w:rPr>
                <w:sz w:val="20"/>
                <w:szCs w:val="20"/>
                <w:color w:val="auto"/>
              </w:rPr>
            </w:pPr>
            <w:r>
              <w:rPr>
                <w:rFonts w:ascii="Arial" w:cs="Arial" w:eastAsia="Arial" w:hAnsi="Arial"/>
                <w:sz w:val="18"/>
                <w:szCs w:val="18"/>
                <w:color w:val="auto"/>
              </w:rPr>
              <w:t>The undersigned requests that a certificate for such shares be registered in the name(s) of</w:t>
            </w:r>
          </w:p>
        </w:tc>
        <w:tc>
          <w:tcPr>
            <w:tcW w:w="1040" w:type="dxa"/>
            <w:vAlign w:val="bottom"/>
          </w:tcPr>
          <w:p>
            <w:pPr>
              <w:spacing w:after="0"/>
              <w:rPr>
                <w:sz w:val="24"/>
                <w:szCs w:val="24"/>
                <w:color w:val="auto"/>
              </w:rPr>
            </w:pPr>
          </w:p>
        </w:tc>
      </w:tr>
      <w:tr>
        <w:trPr>
          <w:trHeight w:val="446"/>
        </w:trPr>
        <w:tc>
          <w:tcPr>
            <w:tcW w:w="59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50"/>
        </w:trPr>
        <w:tc>
          <w:tcPr>
            <w:tcW w:w="10220" w:type="dxa"/>
            <w:vAlign w:val="bottom"/>
            <w:gridSpan w:val="3"/>
          </w:tcPr>
          <w:p>
            <w:pPr>
              <w:spacing w:after="0"/>
              <w:rPr>
                <w:sz w:val="20"/>
                <w:szCs w:val="20"/>
                <w:color w:val="auto"/>
              </w:rPr>
            </w:pPr>
            <w:r>
              <w:rPr>
                <w:rFonts w:ascii="Arial" w:cs="Arial" w:eastAsia="Arial" w:hAnsi="Arial"/>
                <w:sz w:val="18"/>
                <w:szCs w:val="18"/>
                <w:color w:val="auto"/>
              </w:rPr>
              <w:t>(PLEASE TYPE OR PRINT NAME(S) AND ADDRESS)</w:t>
            </w:r>
          </w:p>
        </w:tc>
        <w:tc>
          <w:tcPr>
            <w:tcW w:w="1040" w:type="dxa"/>
            <w:vAlign w:val="bottom"/>
          </w:tcPr>
          <w:p>
            <w:pPr>
              <w:spacing w:after="0"/>
              <w:rPr>
                <w:sz w:val="21"/>
                <w:szCs w:val="21"/>
                <w:color w:val="auto"/>
              </w:rPr>
            </w:pPr>
          </w:p>
        </w:tc>
      </w:tr>
      <w:tr>
        <w:trPr>
          <w:trHeight w:val="446"/>
        </w:trPr>
        <w:tc>
          <w:tcPr>
            <w:tcW w:w="59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480"/>
        </w:trPr>
        <w:tc>
          <w:tcPr>
            <w:tcW w:w="59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480"/>
        </w:trPr>
        <w:tc>
          <w:tcPr>
            <w:tcW w:w="59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be delivered to</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(PLEASE PRINT OR TYPE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1000760</wp:posOffset>
            </wp:positionH>
            <wp:positionV relativeFrom="paragraph">
              <wp:posOffset>-130810</wp:posOffset>
            </wp:positionV>
            <wp:extent cx="614870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14870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and, if such number of Warrants shall not be all the Warrants evidenced by this Warrant Certificate, that a new Warrant Certificate for the balance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Warrants be registered in the name of, and delivered to, the registered holder(s) at the address(es) stated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297815</wp:posOffset>
            </wp:positionV>
            <wp:extent cx="3576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297815</wp:posOffset>
            </wp:positionV>
            <wp:extent cx="3576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297815</wp:posOffset>
            </wp:positionV>
            <wp:extent cx="3576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5763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615315</wp:posOffset>
            </wp:positionV>
            <wp:extent cx="3576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(TAX IDENTIFICATION NUMBER(S))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55" w:name="page156"/>
    <w:bookmarkEnd w:id="155"/>
    <w:p>
      <w:pPr>
        <w:jc w:val="center"/>
        <w:ind w:right="-39"/>
        <w:spacing w:after="0"/>
        <w:rPr>
          <w:sz w:val="20"/>
          <w:szCs w:val="20"/>
          <w:color w:val="auto"/>
        </w:rPr>
      </w:pPr>
      <w:r>
        <w:rPr>
          <w:rFonts w:ascii="Arial" w:cs="Arial" w:eastAsia="Arial" w:hAnsi="Arial"/>
          <w:sz w:val="18"/>
          <w:szCs w:val="18"/>
          <w:color w:val="auto"/>
        </w:rPr>
        <w:t>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6089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5"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To Be Executed by the Registered Holder in Order to Assign Warrants</w:t>
      </w:r>
    </w:p>
    <w:p>
      <w:pPr>
        <w:spacing w:after="0" w:line="248" w:lineRule="exact"/>
        <w:rPr>
          <w:sz w:val="20"/>
          <w:szCs w:val="20"/>
          <w:color w:val="auto"/>
        </w:rPr>
      </w:pPr>
    </w:p>
    <w:p>
      <w:pPr>
        <w:spacing w:after="0"/>
        <w:tabs>
          <w:tab w:leader="none" w:pos="316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6"/>
          <w:szCs w:val="16"/>
          <w:color w:val="auto"/>
        </w:rPr>
        <w:t>hereby sell(s), assign(s), and transfer(s) unto</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(PLEASE TYPE OR PRINT NAME(S) 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306705</wp:posOffset>
            </wp:positionV>
            <wp:extent cx="37217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721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623570</wp:posOffset>
            </wp:positionV>
            <wp:extent cx="37217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721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-130175</wp:posOffset>
            </wp:positionV>
            <wp:extent cx="37217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7217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and to be delivered to</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(PLEASE PRINT OR TYPE NAME(S) 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47250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250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443230</wp:posOffset>
            </wp:positionV>
            <wp:extent cx="47250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25035" cy="8890"/>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-130810</wp:posOffset>
            </wp:positionV>
            <wp:extent cx="3576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ectPr>
          <w:pgSz w:w="11900" w:h="16838" w:orient="portrait"/>
          <w:cols w:equalWidth="0" w:num="1">
            <w:col w:w="11220"/>
          </w:cols>
          <w:pgMar w:left="320" w:top="922" w:right="359" w:bottom="1440" w:gutter="0" w:footer="0" w:header="0"/>
        </w:sectPr>
      </w:pP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of the Warrants represented by this Warrant Certificate, and hereby irrevocably constitute and appoint Certificate on the books of the Company, with full power of substitution in the premises.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Attorney to transfer this Warrant</w:t>
      </w:r>
    </w:p>
    <w:p>
      <w:pPr>
        <w:spacing w:after="0" w:line="464" w:lineRule="exact"/>
        <w:rPr>
          <w:sz w:val="20"/>
          <w:szCs w:val="20"/>
          <w:color w:val="auto"/>
        </w:rPr>
      </w:pPr>
    </w:p>
    <w:p>
      <w:pPr>
        <w:sectPr>
          <w:pgSz w:w="11900" w:h="16838" w:orient="portrait"/>
          <w:cols w:equalWidth="0" w:num="2">
            <w:col w:w="7580" w:space="720"/>
            <w:col w:w="2920"/>
          </w:cols>
          <w:pgMar w:left="320" w:top="922" w:right="359" w:bottom="1440" w:gutter="0" w:footer="0" w:header="0"/>
          <w:type w:val="continuous"/>
        </w:sect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321310</wp:posOffset>
            </wp:positionV>
            <wp:extent cx="28555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NOTICE: THE SIGNATURE(S) TO THIS ASSIGNMENT MUST CORRESPOND WITH THE NAME AS WRITTEN UPON THE FACE OF THE CERTIFICATE IN EVERY PARTICULAR, WITHOUT ALTERATION OR ENLARGEMENT OR ANY CHANGE WHATEVER.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-10160</wp:posOffset>
            </wp:positionV>
            <wp:extent cx="26841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6089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type w:val="continuous"/>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Warrant Agreement (“</w:t>
      </w:r>
      <w:r>
        <w:rPr>
          <w:rFonts w:ascii="Arial" w:cs="Arial" w:eastAsia="Arial" w:hAnsi="Arial"/>
          <w:sz w:val="16"/>
          <w:szCs w:val="16"/>
          <w:b w:val="1"/>
          <w:bCs w:val="1"/>
          <w:color w:val="auto"/>
        </w:rPr>
        <w:t>Warrant Agreement</w:t>
      </w:r>
      <w:r>
        <w:rPr>
          <w:rFonts w:ascii="Arial" w:cs="Arial" w:eastAsia="Arial" w:hAnsi="Arial"/>
          <w:sz w:val="16"/>
          <w:szCs w:val="16"/>
          <w:color w:val="auto"/>
        </w:rPr>
        <w:t>”) is made as of __________, 2016, by and between M I Acquisitions, Inc., a Delaware corporation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color w:val="auto"/>
        </w:rPr>
        <w:t>Warrant Agent</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WHEREAS, the Company is engaged in a public offering (the “</w:t>
      </w:r>
      <w:r>
        <w:rPr>
          <w:rFonts w:ascii="Arial" w:cs="Arial" w:eastAsia="Arial" w:hAnsi="Arial"/>
          <w:sz w:val="17"/>
          <w:szCs w:val="17"/>
          <w:b w:val="1"/>
          <w:bCs w:val="1"/>
          <w:color w:val="auto"/>
        </w:rPr>
        <w:t>Public Offering</w:t>
      </w:r>
      <w:r>
        <w:rPr>
          <w:rFonts w:ascii="Arial" w:cs="Arial" w:eastAsia="Arial" w:hAnsi="Arial"/>
          <w:sz w:val="17"/>
          <w:szCs w:val="17"/>
          <w:color w:val="auto"/>
        </w:rPr>
        <w:t>”) of 5,000,000 units (the “</w:t>
      </w:r>
      <w:r>
        <w:rPr>
          <w:rFonts w:ascii="Arial" w:cs="Arial" w:eastAsia="Arial" w:hAnsi="Arial"/>
          <w:sz w:val="17"/>
          <w:szCs w:val="17"/>
          <w:b w:val="1"/>
          <w:bCs w:val="1"/>
          <w:color w:val="auto"/>
        </w:rPr>
        <w:t>Units</w:t>
      </w:r>
      <w:r>
        <w:rPr>
          <w:rFonts w:ascii="Arial" w:cs="Arial" w:eastAsia="Arial" w:hAnsi="Arial"/>
          <w:sz w:val="17"/>
          <w:szCs w:val="17"/>
          <w:color w:val="auto"/>
        </w:rPr>
        <w:t>”) of the Company (including up to</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750,000 additional Units, if the underwriters’ over-allotment option is exercised in full), each Unit consisting of one share of common stock,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one warrant (the “</w:t>
      </w:r>
      <w:r>
        <w:rPr>
          <w:rFonts w:ascii="Arial" w:cs="Arial" w:eastAsia="Arial" w:hAnsi="Arial"/>
          <w:sz w:val="16"/>
          <w:szCs w:val="16"/>
          <w:b w:val="1"/>
          <w:bCs w:val="1"/>
          <w:color w:val="auto"/>
        </w:rPr>
        <w:t>Public Warrant</w:t>
      </w:r>
      <w:r>
        <w:rPr>
          <w:rFonts w:ascii="Arial" w:cs="Arial" w:eastAsia="Arial" w:hAnsi="Arial"/>
          <w:sz w:val="16"/>
          <w:szCs w:val="16"/>
          <w:color w:val="auto"/>
        </w:rPr>
        <w:t>” or “</w:t>
      </w:r>
      <w:r>
        <w:rPr>
          <w:rFonts w:ascii="Arial" w:cs="Arial" w:eastAsia="Arial" w:hAnsi="Arial"/>
          <w:sz w:val="16"/>
          <w:szCs w:val="16"/>
          <w:b w:val="1"/>
          <w:bCs w:val="1"/>
          <w:color w:val="auto"/>
        </w:rPr>
        <w:t>Public Warrants)</w:t>
      </w:r>
      <w:r>
        <w:rPr>
          <w:rFonts w:ascii="Arial" w:cs="Arial" w:eastAsia="Arial" w:hAnsi="Arial"/>
          <w:sz w:val="16"/>
          <w:szCs w:val="16"/>
          <w:color w:val="auto"/>
        </w:rPr>
        <w:t xml:space="preserve"> entitling its holder to purchase one-half of one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Common Stock (the “</w:t>
      </w:r>
      <w:r>
        <w:rPr>
          <w:rFonts w:ascii="Arial" w:cs="Arial" w:eastAsia="Arial" w:hAnsi="Arial"/>
          <w:sz w:val="18"/>
          <w:szCs w:val="18"/>
          <w:b w:val="1"/>
          <w:bCs w:val="1"/>
          <w:color w:val="auto"/>
        </w:rPr>
        <w:t>Warrant Shares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WHEREAS, the Company has received binding commitments from M SPAC LLC, M SPAC Holdings I LLC and M SPAC Holdings II LLC to purchase up to an aggregate of 250,000 Units (or 447,500 Units, if the underwriters’ over-allotment option is exercised in full) pursuant to a Subscription Agreement dated _____________, 2016 (the “</w:t>
      </w:r>
      <w:r>
        <w:rPr>
          <w:rFonts w:ascii="Arial" w:cs="Arial" w:eastAsia="Arial" w:hAnsi="Arial"/>
          <w:sz w:val="16"/>
          <w:szCs w:val="16"/>
          <w:b w:val="1"/>
          <w:bCs w:val="1"/>
          <w:color w:val="auto"/>
        </w:rPr>
        <w:t>Subscription Agreement</w:t>
      </w:r>
      <w:r>
        <w:rPr>
          <w:rFonts w:ascii="Arial" w:cs="Arial" w:eastAsia="Arial" w:hAnsi="Arial"/>
          <w:sz w:val="16"/>
          <w:szCs w:val="16"/>
          <w:color w:val="auto"/>
        </w:rPr>
        <w:t>”), and, in connection therewith, will issue and deliver up to an aggregate of 402,500 warrants</w:t>
      </w:r>
    </w:p>
    <w:p>
      <w:pPr>
        <w:jc w:val="both"/>
        <w:spacing w:after="0" w:line="261" w:lineRule="auto"/>
        <w:rPr>
          <w:sz w:val="20"/>
          <w:szCs w:val="20"/>
          <w:color w:val="auto"/>
        </w:rPr>
      </w:pPr>
      <w:r>
        <w:rPr>
          <w:rFonts w:ascii="Arial" w:cs="Arial" w:eastAsia="Arial" w:hAnsi="Arial"/>
          <w:sz w:val="18"/>
          <w:szCs w:val="18"/>
          <w:color w:val="auto"/>
        </w:rPr>
        <w:t>(or 447,500 warrants, if the underwriters’ over-allotment option is exercised in full) underlying such units (the “</w:t>
      </w:r>
      <w:r>
        <w:rPr>
          <w:rFonts w:ascii="Arial" w:cs="Arial" w:eastAsia="Arial" w:hAnsi="Arial"/>
          <w:sz w:val="18"/>
          <w:szCs w:val="18"/>
          <w:b w:val="1"/>
          <w:bCs w:val="1"/>
          <w:color w:val="auto"/>
        </w:rPr>
        <w:t>Private Warrants</w:t>
      </w:r>
      <w:r>
        <w:rPr>
          <w:rFonts w:ascii="Arial" w:cs="Arial" w:eastAsia="Arial" w:hAnsi="Arial"/>
          <w:sz w:val="18"/>
          <w:szCs w:val="18"/>
          <w:color w:val="auto"/>
        </w:rPr>
        <w:t>”, and together with the Public Warrants, the “</w:t>
      </w:r>
      <w:r>
        <w:rPr>
          <w:rFonts w:ascii="Arial" w:cs="Arial" w:eastAsia="Arial" w:hAnsi="Arial"/>
          <w:sz w:val="18"/>
          <w:szCs w:val="18"/>
          <w:b w:val="1"/>
          <w:bCs w:val="1"/>
          <w:color w:val="auto"/>
        </w:rPr>
        <w:t>Warrants</w:t>
      </w:r>
      <w:r>
        <w:rPr>
          <w:rFonts w:ascii="Arial" w:cs="Arial" w:eastAsia="Arial" w:hAnsi="Arial"/>
          <w:sz w:val="18"/>
          <w:szCs w:val="18"/>
          <w:color w:val="auto"/>
        </w:rPr>
        <w:t>”)); and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WHEREAS, the Company has filed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a Registration Statement on Form S-1, No. 333-</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____________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registration,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of, among other securities,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Public Warrants; and</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 and</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 and</w:t>
      </w:r>
    </w:p>
    <w:p>
      <w:pPr>
        <w:spacing w:after="0" w:line="1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Warrant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jc w:val="both"/>
        <w:ind w:right="500"/>
        <w:spacing w:after="0" w:line="264" w:lineRule="auto"/>
        <w:tabs>
          <w:tab w:leader="none" w:pos="67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Appointment of Warrant Agent</w:t>
      </w:r>
      <w:r>
        <w:rPr>
          <w:rFonts w:ascii="Arial" w:cs="Arial" w:eastAsia="Arial" w:hAnsi="Arial"/>
          <w:sz w:val="18"/>
          <w:szCs w:val="18"/>
          <w:color w:val="auto"/>
        </w:rPr>
        <w:t>. The Company hereby appoints the Warrant Agent to act as agent for the Company for the Warrants, and the Warrant Agent hereby accepts such appointment and agrees to perform the same in accordance with the terms and conditions set forth in this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415925</wp:posOffset>
            </wp:positionV>
            <wp:extent cx="716089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57" w:name="page158"/>
    <w:bookmarkEnd w:id="157"/>
    <w:p>
      <w:pPr>
        <w:ind w:left="680" w:hanging="680"/>
        <w:spacing w:after="0"/>
        <w:tabs>
          <w:tab w:leader="none" w:pos="6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Each Warrant shall be: (a) issued in registered form only, (b) in substantially the form of Exhibit A hereto, the provisions of which are incorporated herein and (c) signed by, or bear the facsimile signature of, the Chairman of the Board, the Chief Executive Officer or the Chief Financial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Unless and until countersigned by the Warrant Agent pursuant to this Warrant Agreement, a Warrant shall be invalid and of no effect and may not be exercised by the holder thereof.</w:t>
      </w:r>
    </w:p>
    <w:p>
      <w:pPr>
        <w:spacing w:after="0" w:line="17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Registration</w:t>
      </w:r>
      <w:r>
        <w:rPr>
          <w:rFonts w:ascii="Arial" w:cs="Arial" w:eastAsia="Arial" w:hAnsi="Arial"/>
          <w:sz w:val="16"/>
          <w:szCs w:val="16"/>
          <w:color w:val="auto"/>
        </w:rPr>
        <w:t>.</w:t>
      </w:r>
    </w:p>
    <w:p>
      <w:pPr>
        <w:spacing w:after="0" w:line="221" w:lineRule="exact"/>
        <w:rPr>
          <w:sz w:val="20"/>
          <w:szCs w:val="20"/>
          <w:color w:val="auto"/>
        </w:rPr>
      </w:pPr>
    </w:p>
    <w:p>
      <w:pPr>
        <w:ind w:right="40" w:firstLine="1297"/>
        <w:spacing w:after="0" w:line="31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Warrant Register</w:t>
      </w:r>
      <w:r>
        <w:rPr>
          <w:rFonts w:ascii="Arial" w:cs="Arial" w:eastAsia="Arial" w:hAnsi="Arial"/>
          <w:sz w:val="16"/>
          <w:szCs w:val="16"/>
          <w:color w:val="auto"/>
        </w:rPr>
        <w:t>. The Warrant Agent shall maintain books (the “</w:t>
      </w:r>
      <w:r>
        <w:rPr>
          <w:rFonts w:ascii="Arial" w:cs="Arial" w:eastAsia="Arial" w:hAnsi="Arial"/>
          <w:sz w:val="16"/>
          <w:szCs w:val="16"/>
          <w:b w:val="1"/>
          <w:bCs w:val="1"/>
          <w:color w:val="auto"/>
        </w:rPr>
        <w:t>Warrant Register</w:t>
      </w:r>
      <w:r>
        <w:rPr>
          <w:rFonts w:ascii="Arial" w:cs="Arial" w:eastAsia="Arial" w:hAnsi="Arial"/>
          <w:sz w:val="16"/>
          <w:szCs w:val="16"/>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46"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shall be registered upon the Warrant Register (“</w:t>
      </w:r>
      <w:r>
        <w:rPr>
          <w:rFonts w:ascii="Arial" w:cs="Arial" w:eastAsia="Arial" w:hAnsi="Arial"/>
          <w:sz w:val="18"/>
          <w:szCs w:val="18"/>
          <w:b w:val="1"/>
          <w:bCs w:val="1"/>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Detachability of Warrants</w:t>
      </w:r>
      <w:r>
        <w:rPr>
          <w:rFonts w:ascii="Arial" w:cs="Arial" w:eastAsia="Arial" w:hAnsi="Arial"/>
          <w:sz w:val="16"/>
          <w:szCs w:val="16"/>
          <w:color w:val="auto"/>
        </w:rPr>
        <w:t>. Each of the Common Stock and the Warrants comprising the Units will begin to trade separately on (i) the first trading day following the 90th day after the effectiveness of the Registration Statement, or (ii) such earlier date as Chardan Capital Markets, LLC, as representative of the underwriters (the “</w:t>
      </w:r>
      <w:r>
        <w:rPr>
          <w:rFonts w:ascii="Arial" w:cs="Arial" w:eastAsia="Arial" w:hAnsi="Arial"/>
          <w:sz w:val="16"/>
          <w:szCs w:val="16"/>
          <w:b w:val="1"/>
          <w:bCs w:val="1"/>
          <w:color w:val="auto"/>
        </w:rPr>
        <w:t>Representative</w:t>
      </w:r>
      <w:r>
        <w:rPr>
          <w:rFonts w:ascii="Arial" w:cs="Arial" w:eastAsia="Arial" w:hAnsi="Arial"/>
          <w:sz w:val="16"/>
          <w:szCs w:val="16"/>
          <w:color w:val="auto"/>
        </w:rPr>
        <w:t>”), shall determine is acceptable(such date, the “</w:t>
      </w:r>
      <w:r>
        <w:rPr>
          <w:rFonts w:ascii="Arial" w:cs="Arial" w:eastAsia="Arial" w:hAnsi="Arial"/>
          <w:sz w:val="16"/>
          <w:szCs w:val="16"/>
          <w:b w:val="1"/>
          <w:bCs w:val="1"/>
          <w:color w:val="auto"/>
        </w:rPr>
        <w:t>Detachment Date</w:t>
      </w:r>
      <w:r>
        <w:rPr>
          <w:rFonts w:ascii="Arial" w:cs="Arial" w:eastAsia="Arial" w:hAnsi="Arial"/>
          <w:sz w:val="16"/>
          <w:szCs w:val="16"/>
          <w:color w:val="auto"/>
        </w:rPr>
        <w:t>”). In no event will separate trading of the securities comprising the Units commence until the Company (i) files a Current Report on Form 8-K with the SEC including audited balance sheet reflecting our receipt of the gross proceeds of this Public Offering and (ii) issues a press release announcing when such separate trading will begin.</w:t>
      </w:r>
    </w:p>
    <w:p>
      <w:pPr>
        <w:spacing w:after="0" w:line="158"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Private Warrants</w:t>
      </w:r>
      <w:r>
        <w:rPr>
          <w:rFonts w:ascii="Arial" w:cs="Arial" w:eastAsia="Arial" w:hAnsi="Arial"/>
          <w:sz w:val="16"/>
          <w:szCs w:val="16"/>
          <w:color w:val="auto"/>
        </w:rPr>
        <w:t>. The Private Warrants will be issued in the same form as the Public Warrants except that (i) they will be exercisable either for cash or on a cashless basis pursuant to Section 3.3 but at the holder’s option and (ii) they will not be redeemable by the Company, in either case as long as the Private Warrants are held by the initial purchasers or any of their permitted transferees (as prescribed in the Subscription Agreement).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58" w:name="page159"/>
    <w:bookmarkEnd w:id="158"/>
    <w:p>
      <w:pPr>
        <w:ind w:left="680" w:hanging="680"/>
        <w:spacing w:after="0"/>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Warrant Price</w:t>
      </w:r>
      <w:r>
        <w:rPr>
          <w:rFonts w:ascii="Arial" w:cs="Arial" w:eastAsia="Arial" w:hAnsi="Arial"/>
          <w:sz w:val="18"/>
          <w:szCs w:val="18"/>
          <w:color w:val="auto"/>
        </w:rPr>
        <w:t>. Each Warrant shall, when countersigned by the Warrant Agent, entitle the Registered Holder thereof, subject to the provisions of such Warrant and of this Warrant Agreement, to purchase from the Company the number of shares of Common Stock stated therein, at $12.00 per share, subject to the adjustments provided in Section 4 hereof. The term “</w:t>
      </w:r>
      <w:r>
        <w:rPr>
          <w:rFonts w:ascii="Arial" w:cs="Arial" w:eastAsia="Arial" w:hAnsi="Arial"/>
          <w:sz w:val="18"/>
          <w:szCs w:val="18"/>
          <w:b w:val="1"/>
          <w:bCs w:val="1"/>
          <w:color w:val="auto"/>
        </w:rPr>
        <w:t>Warrant Price</w:t>
      </w:r>
      <w:r>
        <w:rPr>
          <w:rFonts w:ascii="Arial" w:cs="Arial" w:eastAsia="Arial" w:hAnsi="Arial"/>
          <w:sz w:val="18"/>
          <w:szCs w:val="18"/>
          <w:color w:val="auto"/>
        </w:rPr>
        <w:t>” as used in this Warrant Agreement refers to the price per whole share at which Common Stock may be purchased at the time such Warrant is exercised.</w:t>
      </w:r>
    </w:p>
    <w:p>
      <w:pPr>
        <w:spacing w:after="0" w:line="18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Duration of Warrants</w:t>
      </w:r>
      <w:r>
        <w:rPr>
          <w:rFonts w:ascii="Arial" w:cs="Arial" w:eastAsia="Arial" w:hAnsi="Arial"/>
          <w:sz w:val="16"/>
          <w:szCs w:val="16"/>
          <w:color w:val="auto"/>
        </w:rPr>
        <w:t>. A Warrant may be exercised only during the period (“</w:t>
      </w:r>
      <w:r>
        <w:rPr>
          <w:rFonts w:ascii="Arial" w:cs="Arial" w:eastAsia="Arial" w:hAnsi="Arial"/>
          <w:sz w:val="16"/>
          <w:szCs w:val="16"/>
          <w:b w:val="1"/>
          <w:bCs w:val="1"/>
          <w:color w:val="auto"/>
        </w:rPr>
        <w:t>Exercise Period</w:t>
      </w:r>
      <w:r>
        <w:rPr>
          <w:rFonts w:ascii="Arial" w:cs="Arial" w:eastAsia="Arial" w:hAnsi="Arial"/>
          <w:sz w:val="16"/>
          <w:szCs w:val="16"/>
          <w:color w:val="auto"/>
        </w:rPr>
        <w:t>”) commencing on the later to occur of (i) 30 days following the completion of the Company’s initial business combination and (ii) 12 months following the closing of the Public Offering, and terminating at 5:00 p.m., New York City time, on the earlier to occur of (i) five years following the date the Warrants became exercisable, and (ii) the date fixed for redemption of the Warrants as provided in Section 6 of this Warrant Agreement (“</w:t>
      </w:r>
      <w:r>
        <w:rPr>
          <w:rFonts w:ascii="Arial" w:cs="Arial" w:eastAsia="Arial" w:hAnsi="Arial"/>
          <w:sz w:val="16"/>
          <w:szCs w:val="16"/>
          <w:b w:val="1"/>
          <w:bCs w:val="1"/>
          <w:color w:val="auto"/>
        </w:rPr>
        <w:t>Expiration Date</w:t>
      </w:r>
      <w:r>
        <w:rPr>
          <w:rFonts w:ascii="Arial" w:cs="Arial" w:eastAsia="Arial" w:hAnsi="Arial"/>
          <w:sz w:val="16"/>
          <w:szCs w:val="16"/>
          <w:color w:val="auto"/>
        </w:rPr>
        <w:t>”). Except with respect to the right to receive the Redemption Price (as set forth in Section 6 hereunder), each Warrant not exercised on or before the Expiration Date shall become void, and all rights thereunder and all rights in respect thereof under this Warrant Agreement shall cease at the close of business on the Expiration Date. The Company may extend the duration of the Warrants by delaying the Expiration Date; provided, however, that the Company will provide notice of not less than 10 days to Registered Holders of such extension and that such extension shall be identical in duration among all of the then outstanding Warrants.</w:t>
      </w:r>
    </w:p>
    <w:p>
      <w:pPr>
        <w:spacing w:after="0" w:line="16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Exercise of Warrants</w:t>
      </w:r>
      <w:r>
        <w:rPr>
          <w:rFonts w:ascii="Arial" w:cs="Arial" w:eastAsia="Arial" w:hAnsi="Arial"/>
          <w:sz w:val="16"/>
          <w:szCs w:val="16"/>
          <w:color w:val="auto"/>
        </w:rPr>
        <w:t>.</w:t>
      </w:r>
    </w:p>
    <w:p>
      <w:pPr>
        <w:spacing w:after="0" w:line="225"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Cash Exercise</w:t>
      </w:r>
      <w:r>
        <w:rPr>
          <w:rFonts w:ascii="Arial" w:cs="Arial" w:eastAsia="Arial" w:hAnsi="Arial"/>
          <w:sz w:val="18"/>
          <w:szCs w:val="18"/>
          <w:color w:val="auto"/>
        </w:rPr>
        <w:t>. Subject to the provisions of the Warrant and this Warrant Agreement, a Warrant, when countersigned by the Company, may be exercised by the Registered Holder thereof by surrendering it at the office of the Warrant Agent, or at the office of its successor as Warrant Agent, currently being:</w:t>
      </w:r>
    </w:p>
    <w:p>
      <w:pPr>
        <w:spacing w:after="0" w:line="18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17 Battery Place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New York 10004</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with the subscription form, as set forth in the Warrant, duly executed, and by paying in full, in lawful money of the United States, by certified or bank cashier’s check payable to the order of the Warrant Agent or by wire transfer to the Warrant Agent’s [JP Morgan Chase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Arial" w:cs="Arial" w:eastAsia="Arial" w:hAnsi="Arial"/>
          <w:sz w:val="17"/>
          <w:szCs w:val="17"/>
          <w:b w:val="1"/>
          <w:bCs w:val="1"/>
          <w:color w:val="auto"/>
        </w:rPr>
        <w:t>Cash Exercise</w:t>
      </w:r>
      <w:r>
        <w:rPr>
          <w:rFonts w:ascii="Arial" w:cs="Arial" w:eastAsia="Arial" w:hAnsi="Arial"/>
          <w:sz w:val="17"/>
          <w:szCs w:val="17"/>
          <w:color w:val="auto"/>
        </w:rPr>
        <w:t>”). A Cash Exercise in accordance with this Section 3.3.1 is available to the Registered Holder only during such times that there is an effective registration statement registering the Warrant Shares, with the prospectus contained therein being available for the resale of the Warrant Shares.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59" w:name="page160"/>
    <w:bookmarkEnd w:id="159"/>
    <w:p>
      <w:pPr>
        <w:ind w:left="1300"/>
        <w:spacing w:after="0"/>
        <w:tabs>
          <w:tab w:leader="none" w:pos="214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u w:val="single" w:color="auto"/>
          <w:color w:val="auto"/>
        </w:rPr>
        <w:t>Cashless Exercise</w:t>
      </w:r>
      <w:r>
        <w:rPr>
          <w:rFonts w:ascii="Arial" w:cs="Arial" w:eastAsia="Arial" w:hAnsi="Arial"/>
          <w:sz w:val="16"/>
          <w:szCs w:val="16"/>
          <w:color w:val="auto"/>
        </w:rPr>
        <w:t>. Notwithstanding anything contained herein to the contrary, if on there is no effective registration statement</w:t>
      </w:r>
    </w:p>
    <w:p>
      <w:pPr>
        <w:spacing w:after="0" w:line="23"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registering the Warrant Shares on the 90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completion of the Company’s initial business combination, if the Registered Holder desires to exercise the Warrants, the Registered Holder may only exercise the Warrants in whole or in part in lieu of making a cash payment, by providing notice to the Chief Financial Officer of the Company in a subscription form of its election to utilize cashless exercise, in which event the Company shall issue to the Holder the number of Warrant Shares determined as follows:</w:t>
      </w:r>
    </w:p>
    <w:p>
      <w:pPr>
        <w:spacing w:after="0" w:line="20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X = Y [(A-B)/A]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X = the number of Warrant Shares to be issued to the Holder.</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Y = the number of Warrant Shares with respect to which this Warrant is being exercised.</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 = the fair market value of one share of Common Stock.</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 = the Warrant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3.3.2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w:t>
      </w:r>
      <w:r>
        <w:rPr>
          <w:rFonts w:ascii="Arial" w:cs="Arial" w:eastAsia="Arial" w:hAnsi="Arial"/>
          <w:sz w:val="18"/>
          <w:szCs w:val="18"/>
          <w:color w:val="auto"/>
        </w:rPr>
        <w:t>, the fair market value of one share of Common Stock is defined as follows:</w:t>
      </w:r>
    </w:p>
    <w:p>
      <w:pPr>
        <w:spacing w:after="0" w:line="225" w:lineRule="exact"/>
        <w:rPr>
          <w:sz w:val="20"/>
          <w:szCs w:val="20"/>
          <w:color w:val="auto"/>
        </w:rPr>
      </w:pPr>
    </w:p>
    <w:p>
      <w:pPr>
        <w:jc w:val="both"/>
        <w:ind w:left="640" w:right="80" w:firstLine="8"/>
        <w:spacing w:after="0" w:line="279" w:lineRule="auto"/>
        <w:tabs>
          <w:tab w:leader="none" w:pos="855" w:val="left"/>
        </w:tabs>
        <w:numPr>
          <w:ilvl w:val="0"/>
          <w:numId w:val="86"/>
        </w:numPr>
        <w:rPr>
          <w:rFonts w:ascii="Arial" w:cs="Arial" w:eastAsia="Arial" w:hAnsi="Arial"/>
          <w:sz w:val="17"/>
          <w:szCs w:val="17"/>
          <w:color w:val="auto"/>
        </w:rPr>
      </w:pPr>
      <w:r>
        <w:rPr>
          <w:rFonts w:ascii="Arial" w:cs="Arial" w:eastAsia="Arial" w:hAnsi="Arial"/>
          <w:sz w:val="17"/>
          <w:szCs w:val="17"/>
          <w:color w:val="auto"/>
        </w:rPr>
        <w:t>if the Company’s Common Stock is listed and traded on the New York Stock Exchange, the NYSE MKT, the NASDAQ Global Select Market, the NASDAQ Global Market, the NASDAQ Capital Market or the OTC Bulletin Board (each, a “Trading Market”), the fair market value shall be deemed the average of the closing price on such Trading Market for the 10 trading day ending on the third trading day immediately prior to the date the subscription form is submitted to the Company in connection with the exercise of the Warrant; or</w:t>
      </w:r>
    </w:p>
    <w:p>
      <w:pPr>
        <w:spacing w:after="0" w:line="171" w:lineRule="exact"/>
        <w:rPr>
          <w:rFonts w:ascii="Arial" w:cs="Arial" w:eastAsia="Arial" w:hAnsi="Arial"/>
          <w:sz w:val="17"/>
          <w:szCs w:val="17"/>
          <w:color w:val="auto"/>
        </w:rPr>
      </w:pPr>
    </w:p>
    <w:p>
      <w:pPr>
        <w:ind w:left="640" w:right="120" w:firstLine="8"/>
        <w:spacing w:after="0" w:line="264" w:lineRule="auto"/>
        <w:tabs>
          <w:tab w:leader="none" w:pos="9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Company’s Common Stock is not listed on a Trading Market, but is traded in the over-the-counter market, the fair market value shall be deemed to be the average of the bid price on such Trading Market for the 10 trading day ending on the third trading day immediately prior to the date the subscription form is submitted in connection with the exercise of the Warrant; or</w:t>
      </w:r>
    </w:p>
    <w:p>
      <w:pPr>
        <w:spacing w:after="0" w:line="181" w:lineRule="exact"/>
        <w:rPr>
          <w:rFonts w:ascii="Arial" w:cs="Arial" w:eastAsia="Arial" w:hAnsi="Arial"/>
          <w:sz w:val="18"/>
          <w:szCs w:val="18"/>
          <w:color w:val="auto"/>
        </w:rPr>
      </w:pPr>
    </w:p>
    <w:p>
      <w:pPr>
        <w:ind w:left="640" w:right="40" w:firstLine="8"/>
        <w:spacing w:after="0" w:line="277" w:lineRule="auto"/>
        <w:tabs>
          <w:tab w:leader="none" w:pos="9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there is no active public market for the Company’s Common Stock, the fair market value of the Common Stock shall be determined in good faith by the Company’s board of directors.</w:t>
      </w:r>
    </w:p>
    <w:p>
      <w:pPr>
        <w:spacing w:after="0" w:line="170"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provision to the contrary contained in this Warrant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60" w:name="page161"/>
    <w:bookmarkEnd w:id="160"/>
    <w:p>
      <w:pPr>
        <w:ind w:right="80" w:firstLine="1297"/>
        <w:spacing w:after="0" w:line="286"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No later than three (3) business days following the exercise of any Warrant and the clearance of the funds in payment of the Warrant Price pursuant to Section 3.3.1 or cashless exercise pursuant to Section 3.3.2, the Company shall issue, or cause to be issued, to the Registered Holder of such Warrant a certificate or certificates representing (or at the option of the Registered Holder, deliver electronically through the facilities of the Depository Trust Corporation) the number of full shares of Common Stock to which he, she or it is entitled, registered in such name or names as may be directed by him, her or it, and, if such Warrant shall not have been exercised or surrendered in full, a new countersigned Warrant for the number of shares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spacing w:after="0" w:line="17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or surrender of a Warrant in conformity with this Warrant Agreement shall be validly issued, fully paid and non-assessable.</w:t>
      </w:r>
    </w:p>
    <w:p>
      <w:pPr>
        <w:spacing w:after="0" w:line="170"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or entity in whose name any such certificate for shares of Common Stock is issued shall, for all purposes, be deemed to have become the holder of record of such shares on the date on which the Warrant was surrendered and payment of the Warrant Price was made,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188" w:lineRule="exact"/>
        <w:rPr>
          <w:sz w:val="20"/>
          <w:szCs w:val="20"/>
          <w:color w:val="auto"/>
        </w:rPr>
      </w:pPr>
    </w:p>
    <w:p>
      <w:pPr>
        <w:ind w:left="720" w:hanging="720"/>
        <w:spacing w:after="0"/>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Stock Dividends, Splits</w:t>
      </w:r>
      <w:r>
        <w:rPr>
          <w:rFonts w:ascii="Arial" w:cs="Arial" w:eastAsia="Arial" w:hAnsi="Arial"/>
          <w:sz w:val="16"/>
          <w:szCs w:val="16"/>
          <w:color w:val="auto"/>
        </w:rPr>
        <w:t>. If, after the date hereof, and subject to the provisions of Section 4.5 below, the number of outstanding shares of Common Stock is increased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w:t>
      </w:r>
    </w:p>
    <w:p>
      <w:pPr>
        <w:spacing w:after="0" w:line="3" w:lineRule="exact"/>
        <w:rPr>
          <w:sz w:val="20"/>
          <w:szCs w:val="20"/>
          <w:color w:val="auto"/>
        </w:rPr>
      </w:pPr>
    </w:p>
    <w:p>
      <w:pPr>
        <w:ind w:right="20"/>
        <w:spacing w:after="0" w:line="254" w:lineRule="auto"/>
        <w:tabs>
          <w:tab w:leader="none" w:pos="265" w:val="left"/>
        </w:tabs>
        <w:numPr>
          <w:ilvl w:val="0"/>
          <w:numId w:val="88"/>
        </w:numPr>
        <w:rPr>
          <w:rFonts w:ascii="Arial" w:cs="Arial" w:eastAsia="Arial" w:hAnsi="Arial"/>
          <w:sz w:val="18"/>
          <w:szCs w:val="18"/>
          <w:color w:val="auto"/>
        </w:rPr>
      </w:pPr>
      <w:r>
        <w:rPr>
          <w:rFonts w:ascii="Arial" w:cs="Arial" w:eastAsia="Arial" w:hAnsi="Arial"/>
          <w:sz w:val="18"/>
          <w:szCs w:val="18"/>
          <w:color w:val="auto"/>
        </w:rPr>
        <w:t>one (1) minus the quotient of (x) the price per share of Common Stock paid in such rights offering divided by (y) the Fair Market Value. For purposes of this subsection 4.1,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61" w:name="page162"/>
    <w:bookmarkEnd w:id="161"/>
    <w:p>
      <w:pPr>
        <w:ind w:right="20"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If, after the date hereof, and subject to the provisions of Section 4.6,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Extraordinary Dividends</w:t>
      </w:r>
      <w:r>
        <w:rPr>
          <w:rFonts w:ascii="Arial" w:cs="Arial" w:eastAsia="Arial" w:hAnsi="Arial"/>
          <w:sz w:val="17"/>
          <w:szCs w:val="17"/>
          <w:color w:val="auto"/>
        </w:rPr>
        <w:t>. If the Company, at any time while the Warrants (or rights to purchase the Warrants) are outstanding and unexpired, shall pay a dividend or make a distribution in cash, securities or other assets to the holders of the Common Stock on account of such Common Stock (or other shares of the Company’s capital stock into which the Warrants are convertible), other than (a) as described in subsection 4.1 above, (b) Ordinary Cash Dividends (as defined below), (c) to satisfy the conversion rights of the holders of the Common Stock in connection with a proposed initial Business Combination, (d) as a result of the repurchase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 assets upon its failure to consummate a Business Combination (any such non-excluded event being referred to herein as an “Extraordinary Dividend”),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subsection 4.3, “Ordinary Cash Dividends” means any cash dividend or cash distribution which, when combined on a per share basis with the per share amounts of all other cash dividends and cash distributions paid on the Common Stock during the 365-day period ending on the date of declaration of such dividend or distribution (as adjusted to appropriately reflect any of the events referred to in other subsections of this Section 4 and excluding cash dividends or cash distributions that resulted in an adjustment to the Warrant Price or to the number of shares of Common Stock issuable on exercise of each Warrant) does not exceed $0.50 (being 5% of the offering price of the Units in the Offering).</w:t>
      </w:r>
    </w:p>
    <w:p>
      <w:pPr>
        <w:spacing w:after="0" w:line="1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62" w:name="page163"/>
    <w:bookmarkEnd w:id="162"/>
    <w:p>
      <w:pPr>
        <w:ind w:firstLine="648"/>
        <w:spacing w:after="0" w:line="26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Replacement of Securities upon Reorganization, etc.</w:t>
      </w:r>
      <w:r>
        <w:rPr>
          <w:rFonts w:ascii="Arial" w:cs="Arial" w:eastAsia="Arial" w:hAnsi="Arial"/>
          <w:sz w:val="17"/>
          <w:szCs w:val="17"/>
          <w:color w:val="auto"/>
        </w:rPr>
        <w:t xml:space="preserve"> In case of any reclassification or reorganization of the outstanding shares of Common Stock (other than a change covered by Sections 4.1 or 4.2 hereof or one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Registered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Registered Holder would have received if such Registered Holder had exercised his, her or its Warrant(s) immediately prior to such event; and if any reclassification also results in a change in shares of Common Stock covered by Sections 4.1 or 4.2, then such adjustment shall be made pursuant to Sections 4.1, 4.2, 4.3 and this Section 4.4. The provisions of this Section 4.4 shall similarly apply to successive reclassifications, reorganizations, mergers or consolidations, sales or other transfers.</w:t>
      </w:r>
    </w:p>
    <w:p>
      <w:pPr>
        <w:spacing w:after="0" w:line="18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6"/>
          <w:szCs w:val="16"/>
          <w:u w:val="single" w:color="auto"/>
          <w:color w:val="auto"/>
        </w:rPr>
        <w:t>Sections 4.1 – 4.5</w:t>
      </w:r>
      <w:r>
        <w:rPr>
          <w:rFonts w:ascii="Arial" w:cs="Arial" w:eastAsia="Arial" w:hAnsi="Arial"/>
          <w:sz w:val="16"/>
          <w:szCs w:val="16"/>
          <w:color w:val="auto"/>
        </w:rPr>
        <w:t xml:space="preserve">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16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Form of Warrant</w:t>
      </w:r>
      <w:r>
        <w:rPr>
          <w:rFonts w:ascii="Arial" w:cs="Arial" w:eastAsia="Arial" w:hAnsi="Arial"/>
          <w:sz w:val="18"/>
          <w:szCs w:val="18"/>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Warrant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63" w:name="page164"/>
    <w:bookmarkEnd w:id="163"/>
    <w:p>
      <w:pPr>
        <w:ind w:right="20" w:firstLine="648"/>
        <w:spacing w:after="0" w:line="270"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Notice of Certain Transactions</w:t>
      </w:r>
      <w:r>
        <w:rPr>
          <w:rFonts w:ascii="Arial" w:cs="Arial" w:eastAsia="Arial" w:hAnsi="Arial"/>
          <w:sz w:val="17"/>
          <w:szCs w:val="17"/>
          <w:color w:val="auto"/>
        </w:rPr>
        <w:t>. In the event that the Company shall (a) offer to holders of all its Common Stock rights to subscribe for or to purchase any securities convertible into shares of Common Stock or shares of stock of any class or any other securities, rights or options, (b) issue any rights, options or warrants entitling all the holders of Common Stock to subscribe for shares of Common Stock, or (c) make a tender offer, redemption offer or exchange offer with respect to the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Common Stock, if any such date is to be fixed, and shall briefly indicate the effect of such action on the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Section 4 which would be required as a result of such action. Such notice shall be given as promptly as practicable after the Company has taken any such action.</w:t>
      </w:r>
    </w:p>
    <w:p>
      <w:pPr>
        <w:spacing w:after="0" w:line="178" w:lineRule="exact"/>
        <w:rPr>
          <w:sz w:val="20"/>
          <w:szCs w:val="20"/>
          <w:color w:val="auto"/>
        </w:rPr>
      </w:pPr>
    </w:p>
    <w:p>
      <w:pPr>
        <w:ind w:left="620" w:hanging="620"/>
        <w:spacing w:after="0"/>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Transfer of Warrants</w:t>
      </w:r>
      <w:r>
        <w:rPr>
          <w:rFonts w:ascii="Arial" w:cs="Arial" w:eastAsia="Arial" w:hAnsi="Arial"/>
          <w:sz w:val="18"/>
          <w:szCs w:val="18"/>
          <w:color w:val="auto"/>
        </w:rPr>
        <w:t>. Prior to the Detachment Date, the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From and after the Detachment Date, this Section 5.1 will have no further force and effect.</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Registration of Transfer</w:t>
      </w:r>
      <w:r>
        <w:rPr>
          <w:rFonts w:ascii="Arial" w:cs="Arial" w:eastAsia="Arial" w:hAnsi="Arial"/>
          <w:sz w:val="18"/>
          <w:szCs w:val="18"/>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Procedure for Surrender of Warrants</w:t>
      </w:r>
      <w:r>
        <w:rPr>
          <w:rFonts w:ascii="Arial" w:cs="Arial" w:eastAsia="Arial" w:hAnsi="Arial"/>
          <w:sz w:val="18"/>
          <w:szCs w:val="18"/>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9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will result in the issuance of a warrant certificate for a fraction of a warrant.</w:t>
      </w:r>
    </w:p>
    <w:p>
      <w:pPr>
        <w:spacing w:after="0" w:line="170"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Service Charges</w:t>
      </w:r>
      <w:r>
        <w:rPr>
          <w:rFonts w:ascii="Arial" w:cs="Arial" w:eastAsia="Arial" w:hAnsi="Arial"/>
          <w:sz w:val="16"/>
          <w:szCs w:val="16"/>
          <w:color w:val="auto"/>
        </w:rPr>
        <w:t>. No service charge shall be made for any exchange or registration of transfer of Warrants.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64" w:name="page165"/>
    <w:bookmarkEnd w:id="164"/>
    <w:p>
      <w:pPr>
        <w:jc w:val="both"/>
        <w:ind w:right="160" w:firstLine="648"/>
        <w:spacing w:after="0" w:line="28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The Warrant Agent is hereby authorized to countersign and to deliver, in accordance with the terms of this Warrant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166" w:lineRule="exact"/>
        <w:rPr>
          <w:sz w:val="20"/>
          <w:szCs w:val="20"/>
          <w:color w:val="auto"/>
        </w:rPr>
      </w:pPr>
    </w:p>
    <w:p>
      <w:pPr>
        <w:ind w:left="680" w:hanging="680"/>
        <w:spacing w:after="0"/>
        <w:tabs>
          <w:tab w:leader="none" w:pos="6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Redemption</w:t>
      </w:r>
      <w:r>
        <w:rPr>
          <w:rFonts w:ascii="Arial" w:cs="Arial" w:eastAsia="Arial" w:hAnsi="Arial"/>
          <w:sz w:val="17"/>
          <w:szCs w:val="17"/>
          <w:color w:val="auto"/>
        </w:rPr>
        <w:t>. Subject to the second sentence of this Section 6.1, all (and not less than all) of the outstanding Warrants may be redeemed, in whole and not in part, at the option of the Company, at any time from and after the Warrants become exerciseble, and prior to their expiration, at the office of the Warrant Agent, upon the notice referred to in Section 6.2, at the price of $.01 per Warrant (“</w:t>
      </w:r>
      <w:r>
        <w:rPr>
          <w:rFonts w:ascii="Arial" w:cs="Arial" w:eastAsia="Arial" w:hAnsi="Arial"/>
          <w:sz w:val="17"/>
          <w:szCs w:val="17"/>
          <w:b w:val="1"/>
          <w:bCs w:val="1"/>
          <w:color w:val="auto"/>
        </w:rPr>
        <w:t>Redemption Price</w:t>
      </w:r>
      <w:r>
        <w:rPr>
          <w:rFonts w:ascii="Arial" w:cs="Arial" w:eastAsia="Arial" w:hAnsi="Arial"/>
          <w:sz w:val="17"/>
          <w:szCs w:val="17"/>
          <w:color w:val="auto"/>
        </w:rPr>
        <w:t>”); provided that the last sales price of the Common Stock has been equal to or greater than $16.00 per share (subject to adjustment for splits, dividends, recapitalizations and other similar events), for any twenty (20) trading days within a thirty (30) trading day period ending on the third business day prior to the date on which notice of redemption is given and provided further that (i) there is a current registration statement in effect with respect to the shares of Common Stock underlying the Warrants for each day in the 30-Day Trading Period and continuing each day thereafter until the Redemption Date (defined below) or (ii) the cashless exercise is exempt from the registration requirements under the Act. For avoidance of doubt, if and when the warrants become redeemable by the Company under this Section, the Company may exercise its redemption right, even if it is unable to register or qualify the Warrant Shares for sale under all applicable state securities laws.</w:t>
      </w:r>
    </w:p>
    <w:p>
      <w:pPr>
        <w:spacing w:after="0" w:line="17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In the event the Company shall elect to redeem all of the Warrants, the Company shall fix a date for the redemption (the “</w:t>
      </w:r>
      <w:r>
        <w:rPr>
          <w:rFonts w:ascii="Arial" w:cs="Arial" w:eastAsia="Arial" w:hAnsi="Arial"/>
          <w:sz w:val="18"/>
          <w:szCs w:val="18"/>
          <w:b w:val="1"/>
          <w:bCs w:val="1"/>
          <w:color w:val="auto"/>
        </w:rPr>
        <w:t>Redemption Date</w:t>
      </w:r>
      <w:r>
        <w:rPr>
          <w:rFonts w:ascii="Arial" w:cs="Arial" w:eastAsia="Arial" w:hAnsi="Arial"/>
          <w:sz w:val="18"/>
          <w:szCs w:val="18"/>
          <w:color w:val="auto"/>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Exercise After Notice of Redemption</w:t>
      </w:r>
      <w:r>
        <w:rPr>
          <w:rFonts w:ascii="Arial" w:cs="Arial" w:eastAsia="Arial" w:hAnsi="Arial"/>
          <w:sz w:val="17"/>
          <w:szCs w:val="17"/>
          <w:color w:val="auto"/>
        </w:rPr>
        <w:t>. The Warrants may be exercised in accordance with Section 3 of this Warrant Agreement at any time after notice of redemption shall have been given by the Company pursuant to Section 6.2 hereof and prior to the Redemption Date; provided that the Company may require the Registered Holder who desires to exercise the Warrant, to elect cashless exercise pursuant to Section 3.3.2,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Other Rights to Cash Payment</w:t>
      </w:r>
      <w:r>
        <w:rPr>
          <w:rFonts w:ascii="Arial" w:cs="Arial" w:eastAsia="Arial" w:hAnsi="Arial"/>
          <w:sz w:val="18"/>
          <w:szCs w:val="18"/>
          <w:color w:val="auto"/>
        </w:rPr>
        <w:t>. Except for a redemption in accordance with this Section 6, no Registered Holder of any Warrant shall be entitled to any cash payment whatsoever from the Company in connection with the ownership, exercise or surrender of any Warrant under this Warrant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65" w:name="page166"/>
    <w:bookmarkEnd w:id="165"/>
    <w:p>
      <w:pPr>
        <w:ind w:left="680" w:hanging="680"/>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Registered Holders of Warrants</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6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Reservation of Common Stock</w:t>
      </w:r>
      <w:r>
        <w:rPr>
          <w:rFonts w:ascii="Arial" w:cs="Arial" w:eastAsia="Arial" w:hAnsi="Arial"/>
          <w:sz w:val="17"/>
          <w:szCs w:val="17"/>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Registration of Common Stock</w:t>
      </w:r>
      <w:r>
        <w:rPr>
          <w:rFonts w:ascii="Arial" w:cs="Arial" w:eastAsia="Arial" w:hAnsi="Arial"/>
          <w:sz w:val="18"/>
          <w:szCs w:val="18"/>
          <w:color w:val="auto"/>
        </w:rPr>
        <w:t>. The Company agrees that as soon as practicable, but in no event later than thirty (30) business days after the closing of a Business Combination, it shall use its best efforts to file with the SEC a registration statement for the registration under the Act of the shares of Common Stock issuable upon exercise of the Warrants, and to cause the same to become effective and to maintain the effectiveness of such registration statement, and a current prospectus relating thereto, until the expiration of the Warrants in accordance with the provisions of this Agreement. In addition, the Company agrees to use its best efforts to register the shares of Common Stock issuable upon exercise of the Warrants under state blue sky laws, to the extent an exemption is not available.</w:t>
      </w:r>
    </w:p>
    <w:p>
      <w:pPr>
        <w:spacing w:after="0" w:line="193" w:lineRule="exact"/>
        <w:rPr>
          <w:sz w:val="20"/>
          <w:szCs w:val="20"/>
          <w:color w:val="auto"/>
        </w:rPr>
      </w:pPr>
    </w:p>
    <w:p>
      <w:pPr>
        <w:ind w:left="680" w:hanging="680"/>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181"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Resignation, Consolidation, or Merger of Warrant Agent</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66" w:name="page167"/>
    <w:bookmarkEnd w:id="166"/>
    <w:p>
      <w:pPr>
        <w:ind w:right="20" w:firstLine="1297"/>
        <w:spacing w:after="0" w:line="34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124" w:lineRule="exact"/>
        <w:rPr>
          <w:sz w:val="20"/>
          <w:szCs w:val="20"/>
          <w:color w:val="auto"/>
        </w:rPr>
      </w:pPr>
    </w:p>
    <w:p>
      <w:pPr>
        <w:ind w:right="240" w:firstLine="1297"/>
        <w:spacing w:after="0" w:line="286" w:lineRule="auto"/>
        <w:rPr>
          <w:sz w:val="20"/>
          <w:szCs w:val="20"/>
          <w:color w:val="auto"/>
        </w:rPr>
      </w:pPr>
      <w:r>
        <w:rPr>
          <w:rFonts w:ascii="Arial" w:cs="Arial" w:eastAsia="Arial" w:hAnsi="Arial"/>
          <w:sz w:val="17"/>
          <w:szCs w:val="17"/>
          <w:color w:val="auto"/>
        </w:rPr>
        <w:t xml:space="preserve">8.2.3 </w:t>
      </w:r>
      <w:r>
        <w:rPr>
          <w:rFonts w:ascii="Arial" w:cs="Arial" w:eastAsia="Arial" w:hAnsi="Arial"/>
          <w:sz w:val="17"/>
          <w:szCs w:val="17"/>
          <w:u w:val="single" w:color="auto"/>
          <w:color w:val="auto"/>
        </w:rPr>
        <w:t>Merger or Consolidation of Warrant Agent</w:t>
      </w:r>
      <w:r>
        <w:rPr>
          <w:rFonts w:ascii="Arial" w:cs="Arial" w:eastAsia="Arial" w:hAnsi="Arial"/>
          <w:sz w:val="17"/>
          <w:szCs w:val="17"/>
          <w:color w:val="auto"/>
        </w:rPr>
        <w:t>. Any corporation into which the Warrant Agent may be merged or with which it may be consolidated or any corporation resulting from any merger or consolidation to which the Warrant Agent shall be a party shall be the successor Warrant Agent under this Warrant Agreement without any further act on the part of the Company or the Warrant Agent.</w:t>
      </w:r>
    </w:p>
    <w:p>
      <w:pPr>
        <w:spacing w:after="0" w:line="16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u w:val="single" w:color="auto"/>
          <w:color w:val="auto"/>
        </w:rPr>
        <w:t>Fees and Expenses of Warrant Agent</w:t>
      </w:r>
      <w:r>
        <w:rPr>
          <w:rFonts w:ascii="Arial" w:cs="Arial" w:eastAsia="Arial" w:hAnsi="Arial"/>
          <w:sz w:val="15"/>
          <w:szCs w:val="15"/>
          <w:color w:val="auto"/>
        </w:rPr>
        <w:t>.</w:t>
      </w:r>
    </w:p>
    <w:p>
      <w:pPr>
        <w:spacing w:after="0" w:line="225" w:lineRule="exact"/>
        <w:rPr>
          <w:sz w:val="20"/>
          <w:szCs w:val="20"/>
          <w:color w:val="auto"/>
        </w:rPr>
      </w:pPr>
    </w:p>
    <w:p>
      <w:pPr>
        <w:jc w:val="both"/>
        <w:ind w:right="400" w:firstLine="1297"/>
        <w:spacing w:after="0" w:line="264"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spacing w:after="0" w:line="181"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18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Liability of Warrant Agent</w:t>
      </w:r>
      <w:r>
        <w:rPr>
          <w:rFonts w:ascii="Arial" w:cs="Arial" w:eastAsia="Arial" w:hAnsi="Arial"/>
          <w:sz w:val="17"/>
          <w:szCs w:val="17"/>
          <w:color w:val="auto"/>
        </w:rPr>
        <w:t>.</w:t>
      </w:r>
    </w:p>
    <w:p>
      <w:pPr>
        <w:spacing w:after="0" w:line="225"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Warrant Agreement.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67" w:name="page168"/>
    <w:bookmarkEnd w:id="167"/>
    <w:p>
      <w:pPr>
        <w:ind w:firstLine="1297"/>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negligence, willful misconduct or bad faith. The Company agrees to indemnify the Warrant Agent and hold it harmless against any and all liabilities, including judgments, costs and reasonable counsel fees, for anything done or omitted by the Warrant Agent in the execution of this Warrant Agreement, except as a result of the Warrant Agent’s negligence, willful misconduct or bad faith.</w:t>
      </w:r>
    </w:p>
    <w:p>
      <w:pPr>
        <w:spacing w:after="0" w:line="187"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The Warrant Agent shall have no responsibility with respect to the validity of this Warrant Agreement or with 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Common Stock through the exercise of Warrants.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hereby waives any right of set-off or any other right, title, interest or claim of any kind (“Claim”)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w:t>
      </w:r>
    </w:p>
    <w:p>
      <w:pPr>
        <w:spacing w:after="0" w:line="187" w:lineRule="exact"/>
        <w:rPr>
          <w:sz w:val="20"/>
          <w:szCs w:val="20"/>
          <w:color w:val="auto"/>
        </w:rPr>
      </w:pPr>
    </w:p>
    <w:p>
      <w:pPr>
        <w:ind w:left="620" w:hanging="620"/>
        <w:spacing w:after="0"/>
        <w:tabs>
          <w:tab w:leader="none" w:pos="62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Warrant Agreement by or for the benefit of the Company or the Warrant Agent shall bind and inure to the benefit of their respective successors and assigns.</w:t>
      </w:r>
    </w:p>
    <w:p>
      <w:pPr>
        <w:spacing w:after="0" w:line="170"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Warrant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68" w:name="page169"/>
    <w:bookmarkEnd w:id="168"/>
    <w:p>
      <w:pPr>
        <w:ind w:left="2600"/>
        <w:spacing w:after="0"/>
        <w:rPr>
          <w:sz w:val="20"/>
          <w:szCs w:val="20"/>
          <w:color w:val="auto"/>
        </w:rPr>
      </w:pPr>
      <w:r>
        <w:rPr>
          <w:rFonts w:ascii="Arial" w:cs="Arial" w:eastAsia="Arial" w:hAnsi="Arial"/>
          <w:sz w:val="18"/>
          <w:szCs w:val="18"/>
          <w:color w:val="auto"/>
        </w:rPr>
        <w:t>M I Acquistion,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Joshua Sason</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(which shall not constiute notice)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Mitchell S. Nussbaum, Esq.</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18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17 Battery Place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New York 10004</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Any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Applicable Law</w:t>
      </w:r>
      <w:r>
        <w:rPr>
          <w:rFonts w:ascii="Arial" w:cs="Arial" w:eastAsia="Arial" w:hAnsi="Arial"/>
          <w:sz w:val="16"/>
          <w:szCs w:val="16"/>
          <w:color w:val="auto"/>
        </w:rPr>
        <w:t>. The validity, interpretation, and performance of this Warrant Agreement and of the Warrants shall be governed in all respects by the laws of the State of New York, without giving effect to conflict of laws. The Company and the Warrant Agent hereby agree that any action, proceeding or claim against either of them arising out of or relating in any way to this Warrant Agreement shall be brought and enforced in the courts of the State of New York or the United States District Court for the Southern District of New York, and irrevocably submits to such jurisdiction, which jurisdiction shall be exclusive. The Company and the Warrant Agent hereby waive any objection to such exclusive jurisdiction and that such courts represent an inconvenient forum. Any such process or summons to be served upon the Company or the Warrant Agent may be served by transmitting a copy thereof by registered or certified mail, return receipt requested, postage prepaid, addressed to it at the address set forth in Section 9.2 hereof. Such mailing shall be deemed personal service and shall be legal and binding upon the party receiving such service in any action, proceeding or claim.</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69" w:name="page170"/>
    <w:bookmarkEnd w:id="169"/>
    <w:p>
      <w:pPr>
        <w:ind w:firstLine="648"/>
        <w:spacing w:after="0" w:line="29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Persons Having Rights under this Warrant Agreement</w:t>
      </w:r>
      <w:r>
        <w:rPr>
          <w:rFonts w:ascii="Arial" w:cs="Arial" w:eastAsia="Arial" w:hAnsi="Arial"/>
          <w:sz w:val="16"/>
          <w:szCs w:val="16"/>
          <w:color w:val="auto"/>
        </w:rPr>
        <w:t>. Nothing in this Warrant Agreement expressed and nothing that may be implied from any of the provisions hereof is intended, or shall be construed, to confer upon, or give to, any person or corporation other than the parties hereto and the Registered Holders of the Warrants and, for the purposes of Sections 9.2 hereof, the Representative and the underwriters, any right, remedy, or claim under or by reason of this Warrant Agreement or of any covenant, condition, stipulation, promise, or agreement hereof. The Representative, and each of the underwriters, shall be deemed to be a third party beneficiary of this Warrant Agreement with respect to Sections 6.1, 9.2 and 9.8 hereof. All covenants, conditions, stipulations, promises, and agreements contained in this Warrant Agreement shall be for the sole and exclusive benefit of the parties hereto (and the Representative and underwriters with respect to the Sections 9.2 hereof) and their successors and assigns and of the Registered Holders of the Warrants.</w:t>
      </w:r>
    </w:p>
    <w:p>
      <w:pPr>
        <w:spacing w:after="0" w:line="16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Warrant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Warrant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Warrant Agreement.</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Warrant Agreement and shall not affect the interpretation thereof</w:t>
      </w:r>
    </w:p>
    <w:p>
      <w:pPr>
        <w:spacing w:after="0" w:line="170"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Amendments</w:t>
      </w:r>
      <w:r>
        <w:rPr>
          <w:rFonts w:ascii="Arial" w:cs="Arial" w:eastAsia="Arial" w:hAnsi="Arial"/>
          <w:sz w:val="16"/>
          <w:szCs w:val="16"/>
          <w:color w:val="auto"/>
        </w:rPr>
        <w:t>. This Warrant Agreement and any Warrant certificate may be amended by the parties hereto by executing a supplemental warrant agreement (a “</w:t>
      </w:r>
      <w:r>
        <w:rPr>
          <w:rFonts w:ascii="Arial" w:cs="Arial" w:eastAsia="Arial" w:hAnsi="Arial"/>
          <w:sz w:val="16"/>
          <w:szCs w:val="16"/>
          <w:b w:val="1"/>
          <w:bCs w:val="1"/>
          <w:color w:val="auto"/>
        </w:rPr>
        <w:t>Supplemental Agreement</w:t>
      </w:r>
      <w:r>
        <w:rPr>
          <w:rFonts w:ascii="Arial" w:cs="Arial" w:eastAsia="Arial" w:hAnsi="Arial"/>
          <w:sz w:val="16"/>
          <w:szCs w:val="16"/>
          <w:color w:val="auto"/>
        </w:rPr>
        <w:t>”),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corporation to the Company and the assumption by any such successor of the covenants of the Company contained in this Warrant Agreement and the Warrants, (iii) evidencing and providing for the acceptance of appointment by a successor Warrant Agent with respect to the Warrants,</w:t>
      </w:r>
    </w:p>
    <w:p>
      <w:pPr>
        <w:spacing w:after="0" w:line="5" w:lineRule="exact"/>
        <w:rPr>
          <w:sz w:val="20"/>
          <w:szCs w:val="20"/>
          <w:color w:val="auto"/>
        </w:rPr>
      </w:pPr>
    </w:p>
    <w:p>
      <w:pPr>
        <w:ind w:left="300" w:hanging="300"/>
        <w:spacing w:after="0"/>
        <w:tabs>
          <w:tab w:leader="none" w:pos="3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adding to the covenants of the Company for the benefit of the Registered Holders or surrendering any right or power conferred upon the Company</w:t>
      </w:r>
    </w:p>
    <w:p>
      <w:pPr>
        <w:spacing w:after="0" w:line="32" w:lineRule="exact"/>
        <w:rPr>
          <w:rFonts w:ascii="Arial" w:cs="Arial" w:eastAsia="Arial" w:hAnsi="Arial"/>
          <w:sz w:val="16"/>
          <w:szCs w:val="16"/>
          <w:color w:val="auto"/>
        </w:rPr>
      </w:pPr>
    </w:p>
    <w:p>
      <w:pPr>
        <w:ind w:right="60"/>
        <w:spacing w:after="0" w:line="253" w:lineRule="auto"/>
        <w:rPr>
          <w:rFonts w:ascii="Arial" w:cs="Arial" w:eastAsia="Arial" w:hAnsi="Arial"/>
          <w:sz w:val="16"/>
          <w:szCs w:val="16"/>
          <w:color w:val="auto"/>
        </w:rPr>
      </w:pPr>
      <w:r>
        <w:rPr>
          <w:rFonts w:ascii="Arial" w:cs="Arial" w:eastAsia="Arial" w:hAnsi="Arial"/>
          <w:sz w:val="18"/>
          <w:szCs w:val="18"/>
          <w:color w:val="auto"/>
        </w:rPr>
        <w:t>under this Warrant Agreement, or (viii) amending this Warrant Agreement and the Warrants in any manner that the Company may deem to be necessary or desirable and that will not adversely affect the interests of the Registered Holders in any material respect. All other modifications or amendments to this Warrant Agreement, including any amendment to increase the Warrant Price or shorten the Exercise Period, shall require the written consent of the Registered Holders of a majority of the then outstanding Warrants. Notwithstanding the foregoing, the Company may extend the duration of the Exercise Period in accordance with Section 3.2 without such consent.</w:t>
      </w:r>
    </w:p>
    <w:p>
      <w:pPr>
        <w:spacing w:after="0" w:line="19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70" w:name="page171"/>
    <w:bookmarkEnd w:id="170"/>
    <w:p>
      <w:pPr>
        <w:ind w:left="3440"/>
        <w:spacing w:after="0"/>
        <w:rPr>
          <w:sz w:val="20"/>
          <w:szCs w:val="20"/>
          <w:color w:val="auto"/>
        </w:rPr>
      </w:pPr>
      <w:r>
        <w:rPr>
          <w:rFonts w:ascii="Arial" w:cs="Arial" w:eastAsia="Arial" w:hAnsi="Arial"/>
          <w:sz w:val="18"/>
          <w:szCs w:val="18"/>
          <w:color w:val="auto"/>
        </w:rPr>
        <w:t>[SIGNATURE PAGE TO THE WARRANT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this Warrant Agreement has been duly executed by the parties hereto as of the day and year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 I ACQUISITIONS,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3864610</wp:posOffset>
            </wp:positionH>
            <wp:positionV relativeFrom="paragraph">
              <wp:posOffset>-19050</wp:posOffset>
            </wp:positionV>
            <wp:extent cx="32848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CONTINENTAL STOCK TRANSFER &amp; TRUST COMPANY</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3864610</wp:posOffset>
            </wp:positionH>
            <wp:positionV relativeFrom="paragraph">
              <wp:posOffset>-19050</wp:posOffset>
            </wp:positionV>
            <wp:extent cx="328485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480"/>
          </w:cols>
          <w:pgMar w:left="320" w:top="909" w:right="109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909320" cy="9093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09320" cy="9093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&amp; 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LLP</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345 Park Avenue</w:t>
      </w:r>
    </w:p>
    <w:p>
      <w:pPr>
        <w:spacing w:after="0" w:line="23" w:lineRule="exact"/>
        <w:rPr>
          <w:sz w:val="20"/>
          <w:szCs w:val="20"/>
          <w:color w:val="auto"/>
        </w:rPr>
      </w:pPr>
    </w:p>
    <w:p>
      <w:pPr>
        <w:ind w:left="4620"/>
        <w:spacing w:after="0"/>
        <w:tabs>
          <w:tab w:leader="none" w:pos="7860" w:val="left"/>
          <w:tab w:leader="none" w:pos="9000" w:val="left"/>
        </w:tabs>
        <w:rPr>
          <w:sz w:val="20"/>
          <w:szCs w:val="20"/>
          <w:color w:val="auto"/>
        </w:rPr>
      </w:pPr>
      <w:r>
        <w:rPr>
          <w:rFonts w:ascii="Arial" w:cs="Arial" w:eastAsia="Arial" w:hAnsi="Arial"/>
          <w:sz w:val="18"/>
          <w:szCs w:val="18"/>
          <w:color w:val="auto"/>
        </w:rPr>
        <w:t>New York, NY 10154-1895</w:t>
      </w:r>
      <w:r>
        <w:rPr>
          <w:sz w:val="20"/>
          <w:szCs w:val="20"/>
          <w:color w:val="auto"/>
        </w:rPr>
        <w:tab/>
      </w:r>
      <w:r>
        <w:rPr>
          <w:rFonts w:ascii="Arial" w:cs="Arial" w:eastAsia="Arial" w:hAnsi="Arial"/>
          <w:sz w:val="18"/>
          <w:szCs w:val="18"/>
          <w:b w:val="1"/>
          <w:bCs w:val="1"/>
          <w:color w:val="auto"/>
        </w:rPr>
        <w:t>Main</w:t>
      </w:r>
      <w:r>
        <w:rPr>
          <w:sz w:val="20"/>
          <w:szCs w:val="20"/>
          <w:color w:val="auto"/>
        </w:rPr>
        <w:tab/>
      </w:r>
      <w:r>
        <w:rPr>
          <w:rFonts w:ascii="Arial" w:cs="Arial" w:eastAsia="Arial" w:hAnsi="Arial"/>
          <w:sz w:val="16"/>
          <w:szCs w:val="16"/>
          <w:color w:val="auto"/>
        </w:rPr>
        <w:t>212.407.4000</w:t>
      </w:r>
    </w:p>
    <w:p>
      <w:pPr>
        <w:spacing w:after="0" w:line="9" w:lineRule="exact"/>
        <w:rPr>
          <w:sz w:val="20"/>
          <w:szCs w:val="20"/>
          <w:color w:val="auto"/>
        </w:rPr>
      </w:pPr>
    </w:p>
    <w:p>
      <w:pPr>
        <w:ind w:left="7880"/>
        <w:spacing w:after="0"/>
        <w:tabs>
          <w:tab w:leader="none" w:pos="9000" w:val="left"/>
        </w:tabs>
        <w:rPr>
          <w:sz w:val="20"/>
          <w:szCs w:val="20"/>
          <w:color w:val="auto"/>
        </w:rPr>
      </w:pPr>
      <w:r>
        <w:rPr>
          <w:rFonts w:ascii="Arial" w:cs="Arial" w:eastAsia="Arial" w:hAnsi="Arial"/>
          <w:sz w:val="18"/>
          <w:szCs w:val="18"/>
          <w:b w:val="1"/>
          <w:bCs w:val="1"/>
          <w:color w:val="auto"/>
        </w:rPr>
        <w:t>Fax</w:t>
      </w:r>
      <w:r>
        <w:rPr>
          <w:sz w:val="20"/>
          <w:szCs w:val="20"/>
          <w:color w:val="auto"/>
        </w:rPr>
        <w:tab/>
      </w:r>
      <w:r>
        <w:rPr>
          <w:rFonts w:ascii="Arial" w:cs="Arial" w:eastAsia="Arial" w:hAnsi="Arial"/>
          <w:sz w:val="18"/>
          <w:szCs w:val="18"/>
          <w:color w:val="auto"/>
        </w:rPr>
        <w:t>212.407.4990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22,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00" w:lineRule="exact"/>
        <w:rPr>
          <w:sz w:val="20"/>
          <w:szCs w:val="20"/>
          <w:color w:val="auto"/>
        </w:rPr>
      </w:pPr>
    </w:p>
    <w:p>
      <w:pPr>
        <w:spacing w:after="0" w:line="22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We have acted as counsel to M I Acquisitions,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its filing of the Registration Statement 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Form S-1, as amended prior to being declared effective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 The Registration Statement relates to an underwritten public offering and sale of up to (i) 5,750,000 units (the “</w:t>
      </w:r>
      <w:r>
        <w:rPr>
          <w:rFonts w:ascii="Arial" w:cs="Arial" w:eastAsia="Arial" w:hAnsi="Arial"/>
          <w:sz w:val="16"/>
          <w:szCs w:val="16"/>
          <w:b w:val="1"/>
          <w:bCs w:val="1"/>
          <w:color w:val="auto"/>
        </w:rPr>
        <w:t>Firm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Units</w:t>
      </w:r>
      <w:r>
        <w:rPr>
          <w:rFonts w:ascii="Arial" w:cs="Arial" w:eastAsia="Arial" w:hAnsi="Arial"/>
          <w:sz w:val="17"/>
          <w:szCs w:val="17"/>
          <w:color w:val="auto"/>
        </w:rPr>
        <w:t>”), which includes 750,000 Units that may be purchased by the underwriters pursuant to an option to purchase additional units to cover over-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allotment, if any, (ii) one unit purchase option entitling the representative of the underwriters to purchase 500,000 Units (the “</w:t>
      </w:r>
      <w:r>
        <w:rPr>
          <w:rFonts w:ascii="Arial" w:cs="Arial" w:eastAsia="Arial" w:hAnsi="Arial"/>
          <w:sz w:val="17"/>
          <w:szCs w:val="17"/>
          <w:b w:val="1"/>
          <w:bCs w:val="1"/>
          <w:color w:val="auto"/>
        </w:rPr>
        <w:t>UPO</w:t>
      </w:r>
      <w:r>
        <w:rPr>
          <w:rFonts w:ascii="Arial" w:cs="Arial" w:eastAsia="Arial" w:hAnsi="Arial"/>
          <w:sz w:val="17"/>
          <w:szCs w:val="17"/>
          <w:color w:val="auto"/>
        </w:rPr>
        <w:t>”) and (iii) 500,000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Units underlying the UPO (the “</w:t>
      </w:r>
      <w:r>
        <w:rPr>
          <w:rFonts w:ascii="Arial" w:cs="Arial" w:eastAsia="Arial" w:hAnsi="Arial"/>
          <w:sz w:val="17"/>
          <w:szCs w:val="17"/>
          <w:b w:val="1"/>
          <w:bCs w:val="1"/>
          <w:color w:val="auto"/>
        </w:rPr>
        <w:t>Representative’s Units</w:t>
      </w:r>
      <w:r>
        <w:rPr>
          <w:rFonts w:ascii="Arial" w:cs="Arial" w:eastAsia="Arial" w:hAnsi="Arial"/>
          <w:sz w:val="17"/>
          <w:szCs w:val="17"/>
          <w:color w:val="auto"/>
        </w:rPr>
        <w:t>”, together with the “Firm Units”, as the “</w:t>
      </w:r>
      <w:r>
        <w:rPr>
          <w:rFonts w:ascii="Arial" w:cs="Arial" w:eastAsia="Arial" w:hAnsi="Arial"/>
          <w:sz w:val="17"/>
          <w:szCs w:val="17"/>
          <w:b w:val="1"/>
          <w:bCs w:val="1"/>
          <w:color w:val="auto"/>
        </w:rPr>
        <w:t>Units</w:t>
      </w:r>
      <w:r>
        <w:rPr>
          <w:rFonts w:ascii="Arial" w:cs="Arial" w:eastAsia="Arial" w:hAnsi="Arial"/>
          <w:sz w:val="17"/>
          <w:szCs w:val="17"/>
          <w:color w:val="auto"/>
        </w:rPr>
        <w:t>”). Each Unit consists of (i) one share (each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w:t>
      </w:r>
      <w:r>
        <w:rPr>
          <w:rFonts w:ascii="Arial" w:cs="Arial" w:eastAsia="Arial" w:hAnsi="Arial"/>
          <w:sz w:val="16"/>
          <w:szCs w:val="16"/>
          <w:color w:val="auto"/>
        </w:rPr>
        <w:t>”) of Common Stock, $0.001 par value per share, of the Company (the “</w:t>
      </w:r>
      <w:r>
        <w:rPr>
          <w:rFonts w:ascii="Arial" w:cs="Arial" w:eastAsia="Arial" w:hAnsi="Arial"/>
          <w:sz w:val="16"/>
          <w:szCs w:val="16"/>
          <w:b w:val="1"/>
          <w:bCs w:val="1"/>
          <w:color w:val="auto"/>
        </w:rPr>
        <w:t>Common Stock</w:t>
      </w:r>
      <w:r>
        <w:rPr>
          <w:rFonts w:ascii="Arial" w:cs="Arial" w:eastAsia="Arial" w:hAnsi="Arial"/>
          <w:sz w:val="16"/>
          <w:szCs w:val="16"/>
          <w:color w:val="auto"/>
        </w:rPr>
        <w:t>”) and (ii) one Warrant (the “</w:t>
      </w:r>
      <w:r>
        <w:rPr>
          <w:rFonts w:ascii="Arial" w:cs="Arial" w:eastAsia="Arial" w:hAnsi="Arial"/>
          <w:sz w:val="16"/>
          <w:szCs w:val="16"/>
          <w:b w:val="1"/>
          <w:bCs w:val="1"/>
          <w:color w:val="auto"/>
        </w:rPr>
        <w:t>Warrants</w:t>
      </w:r>
      <w:r>
        <w:rPr>
          <w:rFonts w:ascii="Arial" w:cs="Arial" w:eastAsia="Arial" w:hAnsi="Arial"/>
          <w:sz w:val="16"/>
          <w:szCs w:val="16"/>
          <w:color w:val="auto"/>
        </w:rPr>
        <w:t>”) to purchase one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 of Common Stock (each a “</w:t>
      </w:r>
      <w:r>
        <w:rPr>
          <w:rFonts w:ascii="Arial" w:cs="Arial" w:eastAsia="Arial" w:hAnsi="Arial"/>
          <w:sz w:val="17"/>
          <w:szCs w:val="17"/>
          <w:b w:val="1"/>
          <w:bCs w:val="1"/>
          <w:color w:val="auto"/>
        </w:rPr>
        <w:t>Warrant Share</w:t>
      </w:r>
      <w:r>
        <w:rPr>
          <w:rFonts w:ascii="Arial" w:cs="Arial" w:eastAsia="Arial" w:hAnsi="Arial"/>
          <w:sz w:val="17"/>
          <w:szCs w:val="17"/>
          <w:color w:val="auto"/>
        </w:rPr>
        <w:t>”). The Warrants will be issued and sold pursuant to the terms of the Warrant Agreement, filed as 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exhibit to the Registration Statement (the “</w:t>
      </w:r>
      <w:r>
        <w:rPr>
          <w:rFonts w:ascii="Arial" w:cs="Arial" w:eastAsia="Arial" w:hAnsi="Arial"/>
          <w:sz w:val="18"/>
          <w:szCs w:val="18"/>
          <w:b w:val="1"/>
          <w:bCs w:val="1"/>
          <w:color w:val="auto"/>
        </w:rPr>
        <w:t>Warrant Agreement</w:t>
      </w:r>
      <w:r>
        <w:rPr>
          <w:rFonts w:ascii="Arial" w:cs="Arial" w:eastAsia="Arial" w:hAnsi="Arial"/>
          <w:sz w:val="18"/>
          <w:szCs w:val="18"/>
          <w:color w:val="auto"/>
        </w:rPr>
        <w:t>”).</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this opinion letter, we have examined the Registration Statement and originals, or copies certified or otherwise identified to our satisfaction of the Company’s Amended and Restated Certificate of Incorporation and Bylaws, the Warrant Agreement, the UPO and such other documents, records and instruments as we have deemed appropriate for purposes of the opinion set forth herein. We have, to the extent deemed appropriate, relied upon certain representations of certain officers of the Company, as to questions of fact material to this opinion.</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407035</wp:posOffset>
            </wp:positionV>
            <wp:extent cx="716089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___, 2015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Based upon the foregoing, we are of the opinion that (i) the Firm Units have been duly authorized by the Company and, when issued and sold by the Company and delivered by the Company against receipt of the purchase price therefor, in the manner contemplated by the Registration Statement, will be valid and legally binding obligations of the Company, (ii) the UPO has been duly authorized by the Company and, when issued and sold by the Company and delivered by the Company against receipt of the purchase price therefor, in the manner contemplated by the Registration Statement, will be a valid and legally binding obligation of the Company, (iii) the Representative’s Units have been duly authorized by the Company and, when issued and sold by the Company and delivered by the Company against payment therefor upon exercise of the UPO in accordance with the terms therein, will be valid and legally binding obligations of the Company, (iv) the Shares have been duly authorized by the Company and, when issued and sold by the Company and delivered by the Company against receipt of the purchase price therefor, in the manner contemplated by the Registration Statement, will be validly issued, fully paid and non-assessable, (v) the Warrants have been duly authorized by the Company and, provided that the Warrants have been duly executed and delivered by the Company and duly delivered to the purchasers thereof against payment therefor, then the Warrants, when issued and sold in the manner contemplated by the Registration Statement, will be valid and legally binding obligations of the Company, enforceable against the Company in accordance with their terms, and (vi) the Warrant Shares have been duly authorized and, when issued and delivered by the Company against payment therefor, upon exercise of the Warrants in accordance with the terms therein and the terms of the Warrant Agreements, will be validly issued, fully paid and non-assessable.</w:t>
      </w:r>
    </w:p>
    <w:p>
      <w:pPr>
        <w:spacing w:after="0" w:line="17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are opining solely on (i) all applicable statutory provisions of Delaware corporate law, including the rules and regulations underlying those provisions, all applicable provisions of the Constitution of the State of Delaware and all applicable judicial and regulatory determinations, and (ii) the laws of the State of New York.</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the foregoing opinions are qualified to the extent that (a) enforceability may be limited by and be subject to general principles of equity, regardless of whether such enforceability is considered in a proceeding in equity or at law (including, without limitation, concepts of notice and materiality), and by bankruptcy, insolvency, reorganization, moratorium and other similar laws affecting creditors’ and debtors’ rights generally (including, without limitation, any state or federal law in respect of fraudulent transfers); and (b) no opinion is expressed herein as to compliance with or the effect of federal or state securities or blue sky laws.</w:t>
      </w:r>
    </w:p>
    <w:p>
      <w:pPr>
        <w:spacing w:after="0" w:line="18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hereby consent to the use of this opinion as an exhibit to the Registration Statement, to the use of our name as your U.S. counsel and to all references made to us in the Registration Statement and in the prospectus forming a part thereof. In giving this consent, we do not hereby admit that we are in the category of persons whose consent is required under Section 7 of the Act, or the rules and regulations promulgated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461010</wp:posOffset>
            </wp:positionV>
            <wp:extent cx="716089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73" w:name="page174"/>
    <w:bookmarkEnd w:id="173"/>
    <w:p>
      <w:pPr>
        <w:ind w:left="1034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ectPr>
          <w:pgSz w:w="11900" w:h="16838" w:orient="portrait"/>
          <w:cols w:equalWidth="0" w:num="1">
            <w:col w:w="11260"/>
          </w:cols>
          <w:pgMar w:left="320" w:top="337" w:right="3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Dated as of [_____], 2015</w:t>
      </w:r>
    </w:p>
    <w:p>
      <w:pPr>
        <w:spacing w:after="0" w:line="200" w:lineRule="exact"/>
        <w:rPr>
          <w:sz w:val="20"/>
          <w:szCs w:val="20"/>
          <w:color w:val="auto"/>
        </w:rPr>
      </w:pPr>
    </w:p>
    <w:p>
      <w:pPr>
        <w:sectPr>
          <w:pgSz w:w="11900" w:h="16838" w:orient="portrait"/>
          <w:cols w:equalWidth="0" w:num="2">
            <w:col w:w="8660" w:space="720"/>
            <w:col w:w="1880"/>
          </w:cols>
          <w:pgMar w:left="320" w:top="337" w:right="319" w:bottom="1440" w:gutter="0" w:footer="0" w:header="0"/>
          <w:type w:val="continuous"/>
        </w:sectPr>
      </w:pPr>
    </w:p>
    <w:p>
      <w:pPr>
        <w:spacing w:after="0" w:line="4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M I Acquisitions, Inc., a Delaware corporation (the “</w:t>
      </w:r>
      <w:r>
        <w:rPr>
          <w:rFonts w:ascii="Arial" w:cs="Arial" w:eastAsia="Arial" w:hAnsi="Arial"/>
          <w:sz w:val="17"/>
          <w:szCs w:val="17"/>
          <w:b w:val="1"/>
          <w:bCs w:val="1"/>
          <w:color w:val="auto"/>
        </w:rPr>
        <w:t>Maker</w:t>
      </w:r>
      <w:r>
        <w:rPr>
          <w:rFonts w:ascii="Arial" w:cs="Arial" w:eastAsia="Arial" w:hAnsi="Arial"/>
          <w:sz w:val="17"/>
          <w:szCs w:val="17"/>
          <w:color w:val="auto"/>
        </w:rPr>
        <w:t>”), promises to pay to the order of [___________] or its registered assigns or</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successors in interest (the “</w:t>
      </w:r>
      <w:r>
        <w:rPr>
          <w:rFonts w:ascii="Arial" w:cs="Arial" w:eastAsia="Arial" w:hAnsi="Arial"/>
          <w:sz w:val="17"/>
          <w:szCs w:val="17"/>
          <w:b w:val="1"/>
          <w:bCs w:val="1"/>
          <w:color w:val="auto"/>
        </w:rPr>
        <w:t>Payee</w:t>
      </w:r>
      <w:r>
        <w:rPr>
          <w:rFonts w:ascii="Arial" w:cs="Arial" w:eastAsia="Arial" w:hAnsi="Arial"/>
          <w:sz w:val="17"/>
          <w:szCs w:val="17"/>
          <w:color w:val="auto"/>
        </w:rPr>
        <w:t>”) the principal sum of [______] dollars ($[____]) in lawful money of the United States of America, on the terms and</w:t>
      </w:r>
    </w:p>
    <w:p>
      <w:pPr>
        <w:spacing w:after="0" w:line="21"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35" w:lineRule="exact"/>
        <w:rPr>
          <w:sz w:val="20"/>
          <w:szCs w:val="20"/>
          <w:color w:val="auto"/>
        </w:rPr>
      </w:pPr>
    </w:p>
    <w:p>
      <w:pPr>
        <w:ind w:left="640" w:right="100" w:hanging="640"/>
        <w:spacing w:after="0" w:line="266" w:lineRule="auto"/>
        <w:tabs>
          <w:tab w:leader="none" w:pos="640" w:val="left"/>
        </w:tabs>
        <w:numPr>
          <w:ilvl w:val="0"/>
          <w:numId w:val="95"/>
        </w:numPr>
        <w:rPr>
          <w:rFonts w:ascii="Arial" w:cs="Arial" w:eastAsia="Arial" w:hAnsi="Arial"/>
          <w:sz w:val="18"/>
          <w:szCs w:val="18"/>
          <w:color w:val="010000"/>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shall be payable promptly after the date on which the Maker consummates</w:t>
      </w:r>
      <w:r>
        <w:rPr>
          <w:rFonts w:ascii="Arial" w:cs="Arial" w:eastAsia="Arial" w:hAnsi="Arial"/>
          <w:sz w:val="18"/>
          <w:szCs w:val="18"/>
          <w:b w:val="1"/>
          <w:bCs w:val="1"/>
          <w:color w:val="auto"/>
        </w:rPr>
        <w:t xml:space="preserve"> </w:t>
      </w:r>
      <w:r>
        <w:rPr>
          <w:rFonts w:ascii="Arial" w:cs="Arial" w:eastAsia="Arial" w:hAnsi="Arial"/>
          <w:sz w:val="18"/>
          <w:szCs w:val="18"/>
          <w:color w:val="auto"/>
        </w:rPr>
        <w:t>an initial public offering of its securities or the date on which the Company determines not to conduct an initial public offering of its securities. The principal balance may be prepaid at any time.</w:t>
      </w:r>
    </w:p>
    <w:p>
      <w:pPr>
        <w:spacing w:after="0" w:line="176" w:lineRule="exact"/>
        <w:rPr>
          <w:rFonts w:ascii="Arial" w:cs="Arial" w:eastAsia="Arial" w:hAnsi="Arial"/>
          <w:sz w:val="18"/>
          <w:szCs w:val="18"/>
          <w:color w:val="010000"/>
        </w:rPr>
      </w:pPr>
    </w:p>
    <w:p>
      <w:pPr>
        <w:ind w:left="640" w:hanging="640"/>
        <w:spacing w:after="0"/>
        <w:tabs>
          <w:tab w:leader="none" w:pos="640" w:val="left"/>
        </w:tabs>
        <w:numPr>
          <w:ilvl w:val="0"/>
          <w:numId w:val="95"/>
        </w:numPr>
        <w:rPr>
          <w:rFonts w:ascii="Arial" w:cs="Arial" w:eastAsia="Arial" w:hAnsi="Arial"/>
          <w:sz w:val="18"/>
          <w:szCs w:val="18"/>
          <w:color w:val="010000"/>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color w:val="010000"/>
        </w:rPr>
      </w:pPr>
    </w:p>
    <w:p>
      <w:pPr>
        <w:ind w:left="640" w:right="160" w:hanging="640"/>
        <w:spacing w:after="0" w:line="266" w:lineRule="auto"/>
        <w:tabs>
          <w:tab w:leader="none" w:pos="640" w:val="left"/>
        </w:tabs>
        <w:numPr>
          <w:ilvl w:val="0"/>
          <w:numId w:val="95"/>
        </w:numPr>
        <w:rPr>
          <w:rFonts w:ascii="Arial" w:cs="Arial" w:eastAsia="Arial" w:hAnsi="Arial"/>
          <w:sz w:val="18"/>
          <w:szCs w:val="18"/>
          <w:color w:val="010000"/>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including (without limitation) reasonable attorney’s fees, then to the payment in full of any late charges and finally to the reduction of the unpaid principal balance of this Note.</w:t>
      </w:r>
    </w:p>
    <w:p>
      <w:pPr>
        <w:spacing w:after="0" w:line="176" w:lineRule="exact"/>
        <w:rPr>
          <w:rFonts w:ascii="Arial" w:cs="Arial" w:eastAsia="Arial" w:hAnsi="Arial"/>
          <w:sz w:val="18"/>
          <w:szCs w:val="18"/>
          <w:color w:val="010000"/>
        </w:rPr>
      </w:pPr>
    </w:p>
    <w:p>
      <w:pPr>
        <w:ind w:left="640" w:hanging="640"/>
        <w:spacing w:after="0"/>
        <w:tabs>
          <w:tab w:leader="none" w:pos="640" w:val="left"/>
        </w:tabs>
        <w:numPr>
          <w:ilvl w:val="0"/>
          <w:numId w:val="95"/>
        </w:numPr>
        <w:rPr>
          <w:rFonts w:ascii="Arial" w:cs="Arial" w:eastAsia="Arial" w:hAnsi="Arial"/>
          <w:sz w:val="18"/>
          <w:szCs w:val="18"/>
          <w:color w:val="010000"/>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right="20" w:hanging="652"/>
        <w:spacing w:after="0" w:line="282" w:lineRule="auto"/>
        <w:tabs>
          <w:tab w:leader="none" w:pos="1300" w:val="left"/>
        </w:tabs>
        <w:numPr>
          <w:ilvl w:val="1"/>
          <w:numId w:val="95"/>
        </w:numPr>
        <w:rPr>
          <w:rFonts w:ascii="Arial" w:cs="Arial" w:eastAsia="Arial" w:hAnsi="Arial"/>
          <w:sz w:val="18"/>
          <w:szCs w:val="18"/>
          <w:color w:val="010000"/>
        </w:rPr>
      </w:pPr>
      <w:r>
        <w:rPr>
          <w:rFonts w:ascii="Arial" w:cs="Arial" w:eastAsia="Arial" w:hAnsi="Arial"/>
          <w:sz w:val="18"/>
          <w:szCs w:val="18"/>
          <w:b w:val="1"/>
          <w:bCs w:val="1"/>
          <w:color w:val="auto"/>
        </w:rPr>
        <w:t xml:space="preserve">Failure to Make Required Payments. </w:t>
      </w:r>
      <w:r>
        <w:rPr>
          <w:rFonts w:ascii="Arial" w:cs="Arial" w:eastAsia="Arial" w:hAnsi="Arial"/>
          <w:sz w:val="18"/>
          <w:szCs w:val="18"/>
          <w:color w:val="auto"/>
        </w:rPr>
        <w:t>Failure by Maker to pay the principal of this Note within five (5) business days following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due.</w:t>
      </w:r>
    </w:p>
    <w:p>
      <w:pPr>
        <w:spacing w:after="0" w:line="161" w:lineRule="exact"/>
        <w:rPr>
          <w:rFonts w:ascii="Arial" w:cs="Arial" w:eastAsia="Arial" w:hAnsi="Arial"/>
          <w:sz w:val="18"/>
          <w:szCs w:val="18"/>
          <w:color w:val="010000"/>
        </w:rPr>
      </w:pPr>
    </w:p>
    <w:p>
      <w:pPr>
        <w:ind w:left="1300" w:right="220" w:hanging="652"/>
        <w:spacing w:after="0" w:line="258" w:lineRule="auto"/>
        <w:tabs>
          <w:tab w:leader="none" w:pos="1300" w:val="left"/>
        </w:tabs>
        <w:numPr>
          <w:ilvl w:val="1"/>
          <w:numId w:val="95"/>
        </w:numPr>
        <w:rPr>
          <w:rFonts w:ascii="Arial" w:cs="Arial" w:eastAsia="Arial" w:hAnsi="Arial"/>
          <w:sz w:val="18"/>
          <w:szCs w:val="18"/>
          <w:color w:val="010000"/>
        </w:rPr>
      </w:pPr>
      <w:r>
        <w:rPr>
          <w:rFonts w:ascii="Arial" w:cs="Arial" w:eastAsia="Arial" w:hAnsi="Arial"/>
          <w:sz w:val="18"/>
          <w:szCs w:val="18"/>
          <w:b w:val="1"/>
          <w:bCs w:val="1"/>
          <w:color w:val="auto"/>
        </w:rPr>
        <w:t xml:space="preserve">Voluntary Liquidation, Etc. </w:t>
      </w:r>
      <w:r>
        <w:rPr>
          <w:rFonts w:ascii="Arial" w:cs="Arial" w:eastAsia="Arial" w:hAnsi="Arial"/>
          <w:sz w:val="18"/>
          <w:szCs w:val="18"/>
          <w:color w:val="auto"/>
        </w:rPr>
        <w:t>The commencement by Maker of a proceeding relating to its bankruptcy, insolvency, 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rehabilitation or other similar action, or the consent by it to the appointment of, or taking possession by, a receiver, liquidator, assignee, trustee, custodian, sequestrator (or other similar official) for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419735</wp:posOffset>
            </wp:positionV>
            <wp:extent cx="716089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type w:val="continuous"/>
        </w:sectPr>
      </w:pPr>
    </w:p>
    <w:bookmarkStart w:id="174" w:name="page175"/>
    <w:bookmarkEnd w:id="174"/>
    <w:p>
      <w:pPr>
        <w:ind w:left="1300" w:right="80" w:hanging="652"/>
        <w:spacing w:after="0" w:line="258" w:lineRule="auto"/>
        <w:tabs>
          <w:tab w:leader="none" w:pos="1300" w:val="left"/>
        </w:tabs>
        <w:numPr>
          <w:ilvl w:val="1"/>
          <w:numId w:val="96"/>
        </w:numPr>
        <w:rPr>
          <w:rFonts w:ascii="Arial" w:cs="Arial" w:eastAsia="Arial" w:hAnsi="Arial"/>
          <w:sz w:val="18"/>
          <w:szCs w:val="18"/>
          <w:color w:val="010000"/>
        </w:rPr>
      </w:pPr>
      <w:r>
        <w:rPr>
          <w:rFonts w:ascii="Arial" w:cs="Arial" w:eastAsia="Arial" w:hAnsi="Arial"/>
          <w:sz w:val="18"/>
          <w:szCs w:val="18"/>
          <w:b w:val="1"/>
          <w:bCs w:val="1"/>
          <w:color w:val="auto"/>
        </w:rPr>
        <w:t xml:space="preserve">Involuntary Bankruptcy, Etc. </w:t>
      </w:r>
      <w:r>
        <w:rPr>
          <w:rFonts w:ascii="Arial" w:cs="Arial" w:eastAsia="Arial" w:hAnsi="Arial"/>
          <w:sz w:val="18"/>
          <w:szCs w:val="18"/>
          <w:color w:val="auto"/>
        </w:rPr>
        <w:t>The entry of a decree or order for relief by a court having jurisdiction in the premises in respect of maker</w:t>
      </w:r>
      <w:r>
        <w:rPr>
          <w:rFonts w:ascii="Arial" w:cs="Arial" w:eastAsia="Arial" w:hAnsi="Arial"/>
          <w:sz w:val="18"/>
          <w:szCs w:val="18"/>
          <w:b w:val="1"/>
          <w:bCs w:val="1"/>
          <w:color w:val="auto"/>
        </w:rPr>
        <w:t xml:space="preserve"> </w:t>
      </w:r>
      <w:r>
        <w:rPr>
          <w:rFonts w:ascii="Arial" w:cs="Arial" w:eastAsia="Arial" w:hAnsi="Arial"/>
          <w:sz w:val="18"/>
          <w:szCs w:val="18"/>
          <w:color w:val="auto"/>
        </w:rPr>
        <w:t>in an involuntary case under any applicable bankruptcy, insolvency or similar law, for the appointing of a receiver, liquidator, assignee, custodian, trustee, sequestrator (or similar official) for Maker or for any substantial part of its property, or ordering the winding-up or liquidation of the affairs of Maker, and the continuance of any such decree or order unstayed and in effect for a period of 60 consecutive days.</w:t>
      </w:r>
    </w:p>
    <w:p>
      <w:pPr>
        <w:spacing w:after="0" w:line="183" w:lineRule="exact"/>
        <w:rPr>
          <w:rFonts w:ascii="Arial" w:cs="Arial" w:eastAsia="Arial" w:hAnsi="Arial"/>
          <w:sz w:val="18"/>
          <w:szCs w:val="18"/>
          <w:color w:val="010000"/>
        </w:rPr>
      </w:pPr>
    </w:p>
    <w:p>
      <w:pPr>
        <w:ind w:left="640" w:hanging="640"/>
        <w:spacing w:after="0"/>
        <w:tabs>
          <w:tab w:leader="none" w:pos="640" w:val="left"/>
        </w:tabs>
        <w:numPr>
          <w:ilvl w:val="0"/>
          <w:numId w:val="97"/>
        </w:numPr>
        <w:rPr>
          <w:rFonts w:ascii="Arial" w:cs="Arial" w:eastAsia="Arial" w:hAnsi="Arial"/>
          <w:sz w:val="18"/>
          <w:szCs w:val="18"/>
          <w:color w:val="010000"/>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color w:val="010000"/>
        </w:rPr>
      </w:pPr>
    </w:p>
    <w:p>
      <w:pPr>
        <w:ind w:left="1300" w:right="40" w:hanging="652"/>
        <w:spacing w:after="0" w:line="302" w:lineRule="auto"/>
        <w:tabs>
          <w:tab w:leader="none" w:pos="1300" w:val="left"/>
        </w:tabs>
        <w:numPr>
          <w:ilvl w:val="1"/>
          <w:numId w:val="97"/>
        </w:numPr>
        <w:rPr>
          <w:rFonts w:ascii="Arial" w:cs="Arial" w:eastAsia="Arial" w:hAnsi="Arial"/>
          <w:sz w:val="16"/>
          <w:szCs w:val="16"/>
          <w:color w:val="010000"/>
        </w:rPr>
      </w:pPr>
      <w:r>
        <w:rPr>
          <w:rFonts w:ascii="Arial" w:cs="Arial" w:eastAsia="Arial" w:hAnsi="Arial"/>
          <w:sz w:val="16"/>
          <w:szCs w:val="16"/>
          <w:color w:val="auto"/>
        </w:rPr>
        <w:t>Upon the occurrence of an Event of Default specified in Section 4(a) hereof, Payee may, by written notice to Maker, declare this Note to be due immediately and payable, whereupon the unpaid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54" w:lineRule="exact"/>
        <w:rPr>
          <w:rFonts w:ascii="Arial" w:cs="Arial" w:eastAsia="Arial" w:hAnsi="Arial"/>
          <w:sz w:val="16"/>
          <w:szCs w:val="16"/>
          <w:color w:val="010000"/>
        </w:rPr>
      </w:pPr>
    </w:p>
    <w:p>
      <w:pPr>
        <w:jc w:val="both"/>
        <w:ind w:left="1300" w:right="200" w:hanging="652"/>
        <w:spacing w:after="0" w:line="264" w:lineRule="auto"/>
        <w:tabs>
          <w:tab w:leader="none" w:pos="1300" w:val="left"/>
        </w:tabs>
        <w:numPr>
          <w:ilvl w:val="1"/>
          <w:numId w:val="97"/>
        </w:numPr>
        <w:rPr>
          <w:rFonts w:ascii="Arial" w:cs="Arial" w:eastAsia="Arial" w:hAnsi="Arial"/>
          <w:sz w:val="18"/>
          <w:szCs w:val="18"/>
          <w:color w:val="010000"/>
        </w:rPr>
      </w:pPr>
      <w:r>
        <w:rPr>
          <w:rFonts w:ascii="Arial" w:cs="Arial" w:eastAsia="Arial" w:hAnsi="Arial"/>
          <w:sz w:val="18"/>
          <w:szCs w:val="18"/>
          <w:color w:val="auto"/>
        </w:rPr>
        <w:t>Upon the occurrence of an Event of Default specified in Sections 4(b) and 4(c), the unpaid principal balance of this Note, and all other sums payable with regard to this Note, shall automatically and immediately become due and payable, in all cases without any action on the part of Payee.</w:t>
      </w:r>
    </w:p>
    <w:p>
      <w:pPr>
        <w:spacing w:after="0" w:line="177" w:lineRule="exact"/>
        <w:rPr>
          <w:rFonts w:ascii="Arial" w:cs="Arial" w:eastAsia="Arial" w:hAnsi="Arial"/>
          <w:sz w:val="18"/>
          <w:szCs w:val="18"/>
          <w:color w:val="010000"/>
        </w:rPr>
      </w:pPr>
    </w:p>
    <w:p>
      <w:pPr>
        <w:ind w:left="640" w:right="40" w:hanging="640"/>
        <w:spacing w:after="0" w:line="255" w:lineRule="auto"/>
        <w:tabs>
          <w:tab w:leader="none" w:pos="640" w:val="left"/>
        </w:tabs>
        <w:numPr>
          <w:ilvl w:val="0"/>
          <w:numId w:val="97"/>
        </w:numPr>
        <w:rPr>
          <w:rFonts w:ascii="Arial" w:cs="Arial" w:eastAsia="Arial" w:hAnsi="Arial"/>
          <w:sz w:val="18"/>
          <w:szCs w:val="18"/>
          <w:color w:val="010000"/>
        </w:rPr>
      </w:pPr>
      <w:r>
        <w:rPr>
          <w:rFonts w:ascii="Arial" w:cs="Arial" w:eastAsia="Arial" w:hAnsi="Arial"/>
          <w:sz w:val="18"/>
          <w:szCs w:val="18"/>
          <w:b w:val="1"/>
          <w:bCs w:val="1"/>
          <w:color w:val="auto"/>
        </w:rPr>
        <w:t xml:space="preserve">Waivers. </w:t>
      </w:r>
      <w:r>
        <w:rPr>
          <w:rFonts w:ascii="Arial" w:cs="Arial" w:eastAsia="Arial" w:hAnsi="Arial"/>
          <w:sz w:val="18"/>
          <w:szCs w:val="18"/>
          <w:color w:val="auto"/>
        </w:rPr>
        <w:t>Maker and all endorsers and guarantors of, and sureties for, this Note waive presentment for payment, demand, notice of dishonor,</w:t>
      </w:r>
      <w:r>
        <w:rPr>
          <w:rFonts w:ascii="Arial" w:cs="Arial" w:eastAsia="Arial" w:hAnsi="Arial"/>
          <w:sz w:val="18"/>
          <w:szCs w:val="18"/>
          <w:b w:val="1"/>
          <w:bCs w:val="1"/>
          <w:color w:val="auto"/>
        </w:rPr>
        <w:t xml:space="preserve"> </w:t>
      </w:r>
      <w:r>
        <w:rPr>
          <w:rFonts w:ascii="Arial" w:cs="Arial" w:eastAsia="Arial" w:hAnsi="Arial"/>
          <w:sz w:val="18"/>
          <w:szCs w:val="18"/>
          <w:color w:val="auto"/>
        </w:rPr>
        <w:t>protest, 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89" w:lineRule="exact"/>
        <w:rPr>
          <w:rFonts w:ascii="Arial" w:cs="Arial" w:eastAsia="Arial" w:hAnsi="Arial"/>
          <w:sz w:val="18"/>
          <w:szCs w:val="18"/>
          <w:color w:val="010000"/>
        </w:rPr>
      </w:pPr>
    </w:p>
    <w:p>
      <w:pPr>
        <w:ind w:left="640" w:hanging="640"/>
        <w:spacing w:after="0" w:line="256" w:lineRule="auto"/>
        <w:tabs>
          <w:tab w:leader="none" w:pos="640" w:val="left"/>
        </w:tabs>
        <w:numPr>
          <w:ilvl w:val="0"/>
          <w:numId w:val="97"/>
        </w:numPr>
        <w:rPr>
          <w:rFonts w:ascii="Arial" w:cs="Arial" w:eastAsia="Arial" w:hAnsi="Arial"/>
          <w:sz w:val="18"/>
          <w:szCs w:val="18"/>
          <w:color w:val="010000"/>
        </w:rPr>
      </w:pPr>
      <w:r>
        <w:rPr>
          <w:rFonts w:ascii="Arial" w:cs="Arial" w:eastAsia="Arial" w:hAnsi="Arial"/>
          <w:sz w:val="18"/>
          <w:szCs w:val="18"/>
          <w:b w:val="1"/>
          <w:bCs w:val="1"/>
          <w:color w:val="auto"/>
        </w:rPr>
        <w:t xml:space="preserve">Unconditional Liability. </w:t>
      </w:r>
      <w:r>
        <w:rPr>
          <w:rFonts w:ascii="Arial" w:cs="Arial" w:eastAsia="Arial" w:hAnsi="Arial"/>
          <w:sz w:val="18"/>
          <w:szCs w:val="18"/>
          <w:color w:val="auto"/>
        </w:rPr>
        <w:t>Maker hereby waives all notices in connection with the delivery, acceptance, performance, default, or enforcement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75" w:name="page176"/>
    <w:bookmarkEnd w:id="175"/>
    <w:p>
      <w:pPr>
        <w:ind w:left="640" w:right="400" w:hanging="640"/>
        <w:spacing w:after="0" w:line="314" w:lineRule="auto"/>
        <w:tabs>
          <w:tab w:leader="none" w:pos="640" w:val="left"/>
        </w:tabs>
        <w:numPr>
          <w:ilvl w:val="0"/>
          <w:numId w:val="98"/>
        </w:numPr>
        <w:rPr>
          <w:rFonts w:ascii="Arial" w:cs="Arial" w:eastAsia="Arial" w:hAnsi="Arial"/>
          <w:sz w:val="16"/>
          <w:szCs w:val="16"/>
          <w:color w:val="010000"/>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called for hereunder shall be deemed properly given if (i) sent by certified mail, return receipt requested, (ii) personally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(iii) dispatched by any form of private or governmental express mail or delivery service providing receipted delivery or (iv) sent by facsimile or (v) to the following addresses or to such other address as either party may designate by notice in accordance with this Section:</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Maker: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Payee: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Notice shall be deemed given on the earlier of (i) actual receipt by the receiving party, (ii) the date shown on a facsimile transmission confirmation,</w:t>
      </w:r>
    </w:p>
    <w:p>
      <w:pPr>
        <w:spacing w:after="0" w:line="46" w:lineRule="exact"/>
        <w:rPr>
          <w:sz w:val="20"/>
          <w:szCs w:val="20"/>
          <w:color w:val="auto"/>
        </w:rPr>
      </w:pPr>
    </w:p>
    <w:p>
      <w:pPr>
        <w:ind w:right="540"/>
        <w:spacing w:after="0" w:line="261" w:lineRule="auto"/>
        <w:tabs>
          <w:tab w:leader="none" w:pos="3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date reflected on a signed delivery receipt, or (iv) two (2) Business Days following tender of delivery or dispatch by express mail or delivery service.</w:t>
      </w:r>
    </w:p>
    <w:p>
      <w:pPr>
        <w:spacing w:after="0" w:line="180" w:lineRule="exact"/>
        <w:rPr>
          <w:sz w:val="20"/>
          <w:szCs w:val="20"/>
          <w:color w:val="auto"/>
        </w:rPr>
      </w:pPr>
    </w:p>
    <w:p>
      <w:pPr>
        <w:ind w:left="640" w:hanging="640"/>
        <w:spacing w:after="0"/>
        <w:tabs>
          <w:tab w:leader="none" w:pos="640" w:val="left"/>
        </w:tabs>
        <w:numPr>
          <w:ilvl w:val="0"/>
          <w:numId w:val="100"/>
        </w:numPr>
        <w:rPr>
          <w:rFonts w:ascii="Arial" w:cs="Arial" w:eastAsia="Arial" w:hAnsi="Arial"/>
          <w:sz w:val="18"/>
          <w:szCs w:val="18"/>
          <w:color w:val="010000"/>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NEW YORK,</w:t>
      </w:r>
    </w:p>
    <w:p>
      <w:pPr>
        <w:spacing w:after="0" w:line="27" w:lineRule="exact"/>
        <w:rPr>
          <w:rFonts w:ascii="Arial" w:cs="Arial" w:eastAsia="Arial" w:hAnsi="Arial"/>
          <w:sz w:val="18"/>
          <w:szCs w:val="18"/>
          <w:color w:val="010000"/>
        </w:rPr>
      </w:pPr>
    </w:p>
    <w:p>
      <w:pPr>
        <w:ind w:left="640"/>
        <w:spacing w:after="0"/>
        <w:rPr>
          <w:rFonts w:ascii="Arial" w:cs="Arial" w:eastAsia="Arial" w:hAnsi="Arial"/>
          <w:sz w:val="18"/>
          <w:szCs w:val="18"/>
          <w:color w:val="010000"/>
        </w:rPr>
      </w:pPr>
      <w:r>
        <w:rPr>
          <w:rFonts w:ascii="Arial" w:cs="Arial" w:eastAsia="Arial" w:hAnsi="Arial"/>
          <w:sz w:val="18"/>
          <w:szCs w:val="18"/>
          <w:color w:val="auto"/>
        </w:rPr>
        <w:t>WITHOUT REGARD TO CONFLICT OF LAW PROVISIONS THEREOF.</w:t>
      </w:r>
    </w:p>
    <w:p>
      <w:pPr>
        <w:spacing w:after="0" w:line="206" w:lineRule="exact"/>
        <w:rPr>
          <w:rFonts w:ascii="Arial" w:cs="Arial" w:eastAsia="Arial" w:hAnsi="Arial"/>
          <w:sz w:val="18"/>
          <w:szCs w:val="18"/>
          <w:color w:val="010000"/>
        </w:rPr>
      </w:pPr>
    </w:p>
    <w:p>
      <w:pPr>
        <w:ind w:left="640" w:right="260" w:hanging="640"/>
        <w:spacing w:after="0" w:line="266" w:lineRule="auto"/>
        <w:tabs>
          <w:tab w:leader="none" w:pos="640" w:val="left"/>
        </w:tabs>
        <w:numPr>
          <w:ilvl w:val="0"/>
          <w:numId w:val="100"/>
        </w:numPr>
        <w:rPr>
          <w:rFonts w:ascii="Arial" w:cs="Arial" w:eastAsia="Arial" w:hAnsi="Arial"/>
          <w:sz w:val="18"/>
          <w:szCs w:val="18"/>
          <w:color w:val="010000"/>
        </w:rPr>
      </w:pPr>
      <w:r>
        <w:rPr>
          <w:rFonts w:ascii="Arial" w:cs="Arial" w:eastAsia="Arial" w:hAnsi="Arial"/>
          <w:sz w:val="18"/>
          <w:szCs w:val="18"/>
          <w:b w:val="1"/>
          <w:bCs w:val="1"/>
          <w:color w:val="auto"/>
        </w:rPr>
        <w:t xml:space="preserve">Jurisdiction. </w:t>
      </w:r>
      <w:r>
        <w:rPr>
          <w:rFonts w:ascii="Arial" w:cs="Arial" w:eastAsia="Arial" w:hAnsi="Arial"/>
          <w:sz w:val="18"/>
          <w:szCs w:val="18"/>
          <w:color w:val="auto"/>
        </w:rPr>
        <w:t>The courts of New York have exclusive jurisdiction to settle any dispute arising out of or in connection with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dispute relating to any non-contractual obligations arising out of or in connection with this agreement) and the parties submit to the exclusive jurisdiction of the courts of New York.</w:t>
      </w:r>
    </w:p>
    <w:p>
      <w:pPr>
        <w:spacing w:after="0" w:line="176" w:lineRule="exact"/>
        <w:rPr>
          <w:rFonts w:ascii="Arial" w:cs="Arial" w:eastAsia="Arial" w:hAnsi="Arial"/>
          <w:sz w:val="18"/>
          <w:szCs w:val="18"/>
          <w:color w:val="010000"/>
        </w:rPr>
      </w:pPr>
    </w:p>
    <w:p>
      <w:pPr>
        <w:ind w:left="640" w:right="160" w:hanging="640"/>
        <w:spacing w:after="0" w:line="289" w:lineRule="auto"/>
        <w:tabs>
          <w:tab w:leader="none" w:pos="640" w:val="left"/>
        </w:tabs>
        <w:numPr>
          <w:ilvl w:val="0"/>
          <w:numId w:val="100"/>
        </w:numPr>
        <w:rPr>
          <w:rFonts w:ascii="Arial" w:cs="Arial" w:eastAsia="Arial" w:hAnsi="Arial"/>
          <w:sz w:val="17"/>
          <w:szCs w:val="17"/>
          <w:color w:val="010000"/>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Any provision contained in this Note which is prohibited or unenforceable in any jurisdiction shall, as to such jurisdiction, be</w:t>
      </w:r>
      <w:r>
        <w:rPr>
          <w:rFonts w:ascii="Arial" w:cs="Arial" w:eastAsia="Arial" w:hAnsi="Arial"/>
          <w:sz w:val="17"/>
          <w:szCs w:val="17"/>
          <w:b w:val="1"/>
          <w:bCs w:val="1"/>
          <w:color w:val="auto"/>
        </w:rPr>
        <w:t xml:space="preserve"> </w:t>
      </w:r>
      <w:r>
        <w:rPr>
          <w:rFonts w:ascii="Arial" w:cs="Arial" w:eastAsia="Arial" w:hAnsi="Arial"/>
          <w:sz w:val="17"/>
          <w:szCs w:val="17"/>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8" w:lineRule="exact"/>
        <w:rPr>
          <w:rFonts w:ascii="Arial" w:cs="Arial" w:eastAsia="Arial" w:hAnsi="Arial"/>
          <w:sz w:val="17"/>
          <w:szCs w:val="17"/>
          <w:color w:val="010000"/>
        </w:rPr>
      </w:pPr>
    </w:p>
    <w:p>
      <w:pPr>
        <w:ind w:left="640" w:hanging="640"/>
        <w:spacing w:after="0"/>
        <w:tabs>
          <w:tab w:leader="none" w:pos="640" w:val="left"/>
        </w:tabs>
        <w:numPr>
          <w:ilvl w:val="0"/>
          <w:numId w:val="100"/>
        </w:numPr>
        <w:rPr>
          <w:rFonts w:ascii="Arial" w:cs="Arial" w:eastAsia="Arial" w:hAnsi="Arial"/>
          <w:sz w:val="17"/>
          <w:szCs w:val="17"/>
          <w:color w:val="010000"/>
        </w:rPr>
      </w:pPr>
      <w:r>
        <w:rPr>
          <w:rFonts w:ascii="Arial" w:cs="Arial" w:eastAsia="Arial" w:hAnsi="Arial"/>
          <w:sz w:val="17"/>
          <w:szCs w:val="17"/>
          <w:b w:val="1"/>
          <w:bCs w:val="1"/>
          <w:color w:val="auto"/>
        </w:rPr>
        <w:t xml:space="preserve">Trust Waiver. </w:t>
      </w:r>
      <w:r>
        <w:rPr>
          <w:rFonts w:ascii="Arial" w:cs="Arial" w:eastAsia="Arial" w:hAnsi="Arial"/>
          <w:sz w:val="17"/>
          <w:szCs w:val="17"/>
          <w:color w:val="auto"/>
        </w:rPr>
        <w:t>Notwithstanding anything herein to the contrary, the Payee hereby waives any and all right, title, interest or claim of any kind</w:t>
      </w:r>
    </w:p>
    <w:p>
      <w:pPr>
        <w:spacing w:after="0" w:line="38" w:lineRule="exact"/>
        <w:rPr>
          <w:rFonts w:ascii="Arial" w:cs="Arial" w:eastAsia="Arial" w:hAnsi="Arial"/>
          <w:sz w:val="17"/>
          <w:szCs w:val="17"/>
          <w:color w:val="010000"/>
        </w:rPr>
      </w:pPr>
    </w:p>
    <w:p>
      <w:pPr>
        <w:ind w:left="640" w:right="80"/>
        <w:spacing w:after="0" w:line="253" w:lineRule="auto"/>
        <w:rPr>
          <w:rFonts w:ascii="Arial" w:cs="Arial" w:eastAsia="Arial" w:hAnsi="Arial"/>
          <w:sz w:val="17"/>
          <w:szCs w:val="17"/>
          <w:color w:val="010000"/>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in or to any amounts contained in the trust account in which the proceeds of the initial public offering (the “</w:t>
      </w:r>
      <w:r>
        <w:rPr>
          <w:rFonts w:ascii="Arial" w:cs="Arial" w:eastAsia="Arial" w:hAnsi="Arial"/>
          <w:sz w:val="18"/>
          <w:szCs w:val="18"/>
          <w:b w:val="1"/>
          <w:bCs w:val="1"/>
          <w:color w:val="auto"/>
        </w:rPr>
        <w:t>IPO</w:t>
      </w:r>
      <w:r>
        <w:rPr>
          <w:rFonts w:ascii="Arial" w:cs="Arial" w:eastAsia="Arial" w:hAnsi="Arial"/>
          <w:sz w:val="18"/>
          <w:szCs w:val="18"/>
          <w:color w:val="auto"/>
        </w:rPr>
        <w:t>”) conducted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Maker and the proceeds of the sale of securities in a private placement to occur prior to the effectiveness of the IPO, as described in greater detail in the registration statement and prospectus to be filed with the Securities and Exchange Commission in connection with the IPO, will be placed, and hereby agrees not to seek recourse, reimbursement, payment or satisfaction for any Claim from the trust account or any distribution therefrom for any reason whatsoever.</w:t>
      </w:r>
    </w:p>
    <w:p>
      <w:pPr>
        <w:spacing w:after="0" w:line="187" w:lineRule="exact"/>
        <w:rPr>
          <w:rFonts w:ascii="Arial" w:cs="Arial" w:eastAsia="Arial" w:hAnsi="Arial"/>
          <w:sz w:val="17"/>
          <w:szCs w:val="17"/>
          <w:color w:val="010000"/>
        </w:rPr>
      </w:pPr>
    </w:p>
    <w:p>
      <w:pPr>
        <w:ind w:left="640" w:right="400" w:hanging="640"/>
        <w:spacing w:after="0" w:line="282" w:lineRule="auto"/>
        <w:tabs>
          <w:tab w:leader="none" w:pos="640" w:val="left"/>
        </w:tabs>
        <w:numPr>
          <w:ilvl w:val="0"/>
          <w:numId w:val="100"/>
        </w:numPr>
        <w:rPr>
          <w:rFonts w:ascii="Arial" w:cs="Arial" w:eastAsia="Arial" w:hAnsi="Arial"/>
          <w:sz w:val="18"/>
          <w:szCs w:val="18"/>
          <w:color w:val="010000"/>
        </w:rPr>
      </w:pPr>
      <w:r>
        <w:rPr>
          <w:rFonts w:ascii="Arial" w:cs="Arial" w:eastAsia="Arial" w:hAnsi="Arial"/>
          <w:sz w:val="18"/>
          <w:szCs w:val="18"/>
          <w:b w:val="1"/>
          <w:bCs w:val="1"/>
          <w:color w:val="auto"/>
        </w:rPr>
        <w:t xml:space="preserve">Amendment; Waiver. </w:t>
      </w:r>
      <w:r>
        <w:rPr>
          <w:rFonts w:ascii="Arial" w:cs="Arial" w:eastAsia="Arial" w:hAnsi="Arial"/>
          <w:sz w:val="18"/>
          <w:szCs w:val="18"/>
          <w:color w:val="auto"/>
        </w:rPr>
        <w:t>Any amendment hereto or waiver of any provision hereof may be made with, and only with, the written consent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Maker and the Payee.</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176" w:name="page177"/>
    <w:bookmarkEnd w:id="176"/>
    <w:p>
      <w:pPr>
        <w:jc w:val="both"/>
        <w:ind w:left="640" w:hanging="640"/>
        <w:spacing w:after="0" w:line="347" w:lineRule="auto"/>
        <w:tabs>
          <w:tab w:leader="none" w:pos="640" w:val="left"/>
        </w:tabs>
        <w:numPr>
          <w:ilvl w:val="0"/>
          <w:numId w:val="101"/>
        </w:numPr>
        <w:rPr>
          <w:rFonts w:ascii="Arial" w:cs="Arial" w:eastAsia="Arial" w:hAnsi="Arial"/>
          <w:sz w:val="16"/>
          <w:szCs w:val="16"/>
          <w:color w:val="010000"/>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No assignment or transfer of this Note or any rights or obligations hereunder may be made by any party hereto (by operation of law</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otherwise) without the prior written consent of the other party hereto and any attempted assignment without the required consent shall be void.</w:t>
      </w:r>
    </w:p>
    <w:p>
      <w:pPr>
        <w:spacing w:after="0" w:line="116" w:lineRule="exact"/>
        <w:rPr>
          <w:rFonts w:ascii="Arial" w:cs="Arial" w:eastAsia="Arial" w:hAnsi="Arial"/>
          <w:sz w:val="16"/>
          <w:szCs w:val="16"/>
          <w:color w:val="010000"/>
        </w:rPr>
      </w:pPr>
    </w:p>
    <w:p>
      <w:pPr>
        <w:ind w:left="640" w:right="200" w:hanging="640"/>
        <w:spacing w:after="0" w:line="266" w:lineRule="auto"/>
        <w:tabs>
          <w:tab w:leader="none" w:pos="640" w:val="left"/>
        </w:tabs>
        <w:numPr>
          <w:ilvl w:val="0"/>
          <w:numId w:val="101"/>
        </w:numPr>
        <w:rPr>
          <w:rFonts w:ascii="Arial" w:cs="Arial" w:eastAsia="Arial" w:hAnsi="Arial"/>
          <w:sz w:val="18"/>
          <w:szCs w:val="18"/>
          <w:color w:val="010000"/>
        </w:rPr>
      </w:pPr>
      <w:r>
        <w:rPr>
          <w:rFonts w:ascii="Arial" w:cs="Arial" w:eastAsia="Arial" w:hAnsi="Arial"/>
          <w:sz w:val="18"/>
          <w:szCs w:val="18"/>
          <w:b w:val="1"/>
          <w:bCs w:val="1"/>
          <w:color w:val="auto"/>
        </w:rPr>
        <w:t xml:space="preserve">Further Assurance. </w:t>
      </w:r>
      <w:r>
        <w:rPr>
          <w:rFonts w:ascii="Arial" w:cs="Arial" w:eastAsia="Arial" w:hAnsi="Arial"/>
          <w:sz w:val="18"/>
          <w:szCs w:val="18"/>
          <w:color w:val="auto"/>
        </w:rPr>
        <w:t>The Maker shall, at its own cost and expense, execute and do (or procure to be executed and done by any other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party) all such deeds, documents, acts and things as the Payee may from time to time require as may be necessary to give full effect to this Promissory Note.</w:t>
      </w:r>
    </w:p>
    <w:p>
      <w:pPr>
        <w:spacing w:after="0" w:line="1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WITNESS WHEREOF, Maker, intending to be legally bound hereby, has caused this Note to be duly executed by its Chief Executive Officer the day and year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60"/>
        <w:spacing w:after="0"/>
        <w:tabs>
          <w:tab w:leader="none" w:pos="6620" w:val="left"/>
        </w:tabs>
        <w:rPr>
          <w:sz w:val="20"/>
          <w:szCs w:val="20"/>
          <w:color w:val="auto"/>
        </w:rPr>
      </w:pPr>
      <w:r>
        <w:rPr>
          <w:rFonts w:ascii="Arial" w:cs="Arial" w:eastAsia="Arial" w:hAnsi="Arial"/>
          <w:sz w:val="18"/>
          <w:szCs w:val="18"/>
          <w:color w:val="auto"/>
        </w:rPr>
        <w:t>Name:</w:t>
        <w:tab/>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-130810</wp:posOffset>
            </wp:positionV>
            <wp:extent cx="264985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177" w:name="page178"/>
    <w:bookmarkEnd w:id="177"/>
    <w:p>
      <w:pPr>
        <w:jc w:val="right"/>
        <w:spacing w:after="0"/>
        <w:rPr>
          <w:sz w:val="20"/>
          <w:szCs w:val="20"/>
          <w:color w:val="auto"/>
        </w:rPr>
      </w:pPr>
      <w:r>
        <w:rPr>
          <w:rFonts w:ascii="Arial" w:cs="Arial" w:eastAsia="Arial" w:hAnsi="Arial"/>
          <w:sz w:val="22"/>
          <w:szCs w:val="22"/>
          <w:b w:val="1"/>
          <w:bCs w:val="1"/>
          <w:color w:val="auto"/>
        </w:rPr>
        <w:t>Exhibit 10.2</w:t>
      </w: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____________,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This letter is being delivered to you in accordance with the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entered into by and between M I Acquisitions,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Chardan Capital Markets LLC, as Representative (the “</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of the several Underwriters named in Schedule I thereto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relating to an underwritten initial public offering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of the Company’s units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each comprised of one share of Common Stock of the Company, par value $0.001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one warrant, each warrant entitling its holder to purchase one share of Common Stock at a price of $12.00 per share (“</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Certain capitalized terms used herein are defined in paragraph 14 hereof.</w:t>
      </w:r>
    </w:p>
    <w:p>
      <w:pPr>
        <w:spacing w:after="0" w:line="193"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In order to induce the Company and the Underwriters to enter into the Underwriting Agreement and to proceed with the IPO, and in recognition of the benefit that such IPO will confer upon the undersigned as a shareholder of the Company, and for other good and valuable consideration, the receipt and sufficiency of which are hereby acknowledged, the undersigned hereby agrees with the Company as follows:</w:t>
      </w:r>
    </w:p>
    <w:p>
      <w:pPr>
        <w:spacing w:after="0" w:line="166" w:lineRule="exact"/>
        <w:rPr>
          <w:sz w:val="20"/>
          <w:szCs w:val="20"/>
          <w:color w:val="auto"/>
        </w:rPr>
      </w:pPr>
    </w:p>
    <w:p>
      <w:pPr>
        <w:ind w:firstLine="1297"/>
        <w:spacing w:after="0" w:line="277" w:lineRule="auto"/>
        <w:tabs>
          <w:tab w:leader="none" w:pos="192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the Company solicits approval of its shareholders of a Business Combination, the undersigned will vote all shares of Common Stock beneficially owned by him, her or it, whether acquired before, in or after the IPO, in favor of such Business Combination.</w:t>
      </w:r>
    </w:p>
    <w:p>
      <w:pPr>
        <w:spacing w:after="0" w:line="170" w:lineRule="exact"/>
        <w:rPr>
          <w:rFonts w:ascii="Arial" w:cs="Arial" w:eastAsia="Arial" w:hAnsi="Arial"/>
          <w:sz w:val="18"/>
          <w:szCs w:val="18"/>
          <w:color w:val="auto"/>
        </w:rPr>
      </w:pPr>
    </w:p>
    <w:p>
      <w:pPr>
        <w:jc w:val="both"/>
        <w:ind w:firstLine="1297"/>
        <w:spacing w:after="0" w:line="286" w:lineRule="auto"/>
        <w:tabs>
          <w:tab w:leader="none" w:pos="2107"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 In the event that the Company fails to consummate a Business Combination within 18 months from the closing of the Company’s IPO (or, in the event that the Company executed a letter of intent or definitive agreement for a Business Combination within 18 months from the closing of the IPO but has not completed the Business Combination within such 18-month period, the 21-month anniversary of the closing of the Company’s IPO), the undersigned shall take all reasonable steps to (i) cause the Trust Fund to be liquidated and distributed to the holders of IPO Shares and</w:t>
      </w:r>
    </w:p>
    <w:p>
      <w:pPr>
        <w:spacing w:after="0" w:line="1" w:lineRule="exact"/>
        <w:rPr>
          <w:rFonts w:ascii="Arial" w:cs="Arial" w:eastAsia="Arial" w:hAnsi="Arial"/>
          <w:sz w:val="16"/>
          <w:szCs w:val="16"/>
          <w:color w:val="auto"/>
        </w:rPr>
      </w:pPr>
    </w:p>
    <w:p>
      <w:pPr>
        <w:ind w:left="260" w:hanging="260"/>
        <w:spacing w:after="0"/>
        <w:tabs>
          <w:tab w:leader="none" w:pos="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cause the Company to liquidate as soon as reasonably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434340</wp:posOffset>
            </wp:positionV>
            <wp:extent cx="716089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178" w:name="page179"/>
    <w:bookmarkEnd w:id="178"/>
    <w:p>
      <w:pPr>
        <w:jc w:val="both"/>
        <w:ind w:firstLine="1945"/>
        <w:spacing w:after="0" w:line="255" w:lineRule="auto"/>
        <w:tabs>
          <w:tab w:leader="none" w:pos="261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undersigned hereby waives any and all right, title, interest or claim of any kind in or to any distribution of the Trust Fund and any remaining net assets of the Company as a result of such liquidation with respect to his, her or its Insider Shares [including the shares underlying the Private Units]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and hereby waives any Claim the undersigned may have in the future as a result of, or arising out of, any contracts or agreements with the Company and will not seek recourse against the Trust Fund for any reason whatsoever. The undersigned acknowledges and agrees that there will be no distribution from the Trust Fund with respect to any Warrants underlying the Private Units, all rights of which will terminate on the Company’s liquidation.</w:t>
      </w:r>
    </w:p>
    <w:p>
      <w:pPr>
        <w:spacing w:after="0" w:line="193" w:lineRule="exact"/>
        <w:rPr>
          <w:rFonts w:ascii="Arial" w:cs="Arial" w:eastAsia="Arial" w:hAnsi="Arial"/>
          <w:sz w:val="18"/>
          <w:szCs w:val="18"/>
          <w:color w:val="auto"/>
        </w:rPr>
      </w:pPr>
    </w:p>
    <w:p>
      <w:pPr>
        <w:jc w:val="both"/>
        <w:ind w:firstLine="1945"/>
        <w:spacing w:after="0" w:line="293" w:lineRule="auto"/>
        <w:tabs>
          <w:tab w:leader="none" w:pos="265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 xml:space="preserve">In the event of the liquidation of the Trust Fund, the undersigned agrees to indemnify and hold harmless the Company against any and all loss, liability, claims, damage and expense whatsoever (including, but not limited to, any and all legal or other expenses reasonably incurred in investigating, preparing or defending against any litigation, whether pending or threatened, or any claim whatsoever) which the Company may become subject as a result of any claim by any vendor or other person who is owed money by the Company for services rendered or products sold or contracted for, but only to the extent necessary to ensure that such loss, liability, claim, damage or expense does not reduce the amount of funds in the Trust 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apply if such vendor or other person has executed an agreement waiving any claims against the Trust Fund.</w:t>
      </w:r>
    </w:p>
    <w:p>
      <w:pPr>
        <w:spacing w:after="0" w:line="164" w:lineRule="exact"/>
        <w:rPr>
          <w:rFonts w:ascii="Arial" w:cs="Arial" w:eastAsia="Arial" w:hAnsi="Arial"/>
          <w:sz w:val="16"/>
          <w:szCs w:val="16"/>
          <w:color w:val="auto"/>
        </w:rPr>
      </w:pPr>
    </w:p>
    <w:p>
      <w:pPr>
        <w:jc w:val="both"/>
        <w:ind w:firstLine="1945"/>
        <w:spacing w:after="0" w:line="264" w:lineRule="auto"/>
        <w:tabs>
          <w:tab w:leader="none" w:pos="265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 the event that the Company does not consummate a Business Combination and must liquidate and its remaining net assets are insufficient to complete such liquidation, the undersigned agrees to advance such funds necessary to complete such liquidation and agrees not to seek repayment for such expenses.</w:t>
      </w:r>
    </w:p>
    <w:p>
      <w:pPr>
        <w:spacing w:after="0" w:line="181" w:lineRule="exact"/>
        <w:rPr>
          <w:rFonts w:ascii="Arial" w:cs="Arial" w:eastAsia="Arial" w:hAnsi="Arial"/>
          <w:sz w:val="18"/>
          <w:szCs w:val="18"/>
          <w:color w:val="auto"/>
        </w:rPr>
      </w:pPr>
    </w:p>
    <w:p>
      <w:pPr>
        <w:ind w:firstLine="1297"/>
        <w:spacing w:after="0" w:line="277" w:lineRule="auto"/>
        <w:tabs>
          <w:tab w:leader="none" w:pos="197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undersigned will escrow all of his, her or its Insider Shares pursuant to the terms of a Stock Escrow Agreement which the Company will enter into with the undersigned and an escrow agent acceptable to the Company.</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[4. The undersigned agrees that until the Company consummates a Business Combination, the undersigned’s Private Units will be subject to the transfer restrictions described in the Subscription Agreement relating to the undersigned’s Private Units.]</w:t>
      </w:r>
    </w:p>
    <w:p>
      <w:pPr>
        <w:spacing w:after="0" w:line="170" w:lineRule="exact"/>
        <w:rPr>
          <w:sz w:val="20"/>
          <w:szCs w:val="20"/>
          <w:color w:val="auto"/>
        </w:rPr>
      </w:pPr>
    </w:p>
    <w:p>
      <w:pPr>
        <w:jc w:val="both"/>
        <w:ind w:firstLine="1297"/>
        <w:spacing w:after="0" w:line="259" w:lineRule="auto"/>
        <w:tabs>
          <w:tab w:leader="none" w:pos="189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order to minimize potential conflicts of interest which may arise from multiple affiliations, the undersigned agrees to present to the Company for its consideration, prior to presentation to any other person or entity, any suitable opportunity to acquire a target business, until the earlier of the consummation by the Company of a Business Combination or the liquidation of the Company, subject to any pre-existing fiduciary and contractual obligations the undersigned might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419100</wp:posOffset>
            </wp:positionV>
            <wp:extent cx="71608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79" w:name="page180"/>
    <w:bookmarkEnd w:id="179"/>
    <w:p>
      <w:pPr>
        <w:jc w:val="both"/>
        <w:ind w:firstLine="1297"/>
        <w:spacing w:after="0" w:line="276" w:lineRule="auto"/>
        <w:tabs>
          <w:tab w:leader="none" w:pos="208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shareholders from a financial point of view.</w:t>
      </w:r>
    </w:p>
    <w:p>
      <w:pPr>
        <w:spacing w:after="0" w:line="172" w:lineRule="exact"/>
        <w:rPr>
          <w:rFonts w:ascii="Arial" w:cs="Arial" w:eastAsia="Arial" w:hAnsi="Arial"/>
          <w:sz w:val="17"/>
          <w:szCs w:val="17"/>
          <w:color w:val="auto"/>
        </w:rPr>
      </w:pPr>
    </w:p>
    <w:p>
      <w:pPr>
        <w:jc w:val="both"/>
        <w:ind w:firstLine="1297"/>
        <w:spacing w:after="0" w:line="288" w:lineRule="auto"/>
        <w:tabs>
          <w:tab w:leader="none" w:pos="200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Neither the undersigned, any member of the family of the undersigned, nor any affiliate of the undersigned will be entitled to receive and will not accept any compensation or other cash payment prior to, or for services rendered in connection with, the consummation of the Business Combination[;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be allowed to repay a non-interest bearing loan in an aggregate amount of $[_________] made to the</w:t>
      </w:r>
    </w:p>
    <w:p>
      <w:pPr>
        <w:jc w:val="both"/>
        <w:spacing w:after="0" w:line="224" w:lineRule="auto"/>
        <w:rPr>
          <w:sz w:val="20"/>
          <w:szCs w:val="20"/>
          <w:color w:val="auto"/>
        </w:rPr>
      </w:pPr>
      <w:r>
        <w:rPr>
          <w:rFonts w:ascii="Arial" w:cs="Arial" w:eastAsia="Arial" w:hAnsi="Arial"/>
          <w:sz w:val="18"/>
          <w:szCs w:val="18"/>
          <w:color w:val="auto"/>
        </w:rPr>
        <w:t>Company by the undersigned to cover the IPO expenses]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Company shall be allowed to repay working capital loans made by the undersigned to the Company in cash upon consummation of the Business Combination. Notwithstanding the foregoing, the undersigned and any affiliate of the undersigned shall be entitled to reimbursement from the Company for their out-of-pocket expenses incurred in connection with identifying, investigating and consummating a Business Combination.</w:t>
      </w:r>
    </w:p>
    <w:p>
      <w:pPr>
        <w:spacing w:after="0" w:line="205" w:lineRule="exact"/>
        <w:rPr>
          <w:sz w:val="20"/>
          <w:szCs w:val="20"/>
          <w:color w:val="auto"/>
        </w:rPr>
      </w:pPr>
    </w:p>
    <w:p>
      <w:pPr>
        <w:jc w:val="both"/>
        <w:ind w:firstLine="1297"/>
        <w:spacing w:after="0" w:line="264" w:lineRule="auto"/>
        <w:tabs>
          <w:tab w:leader="none" w:pos="200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Neither the undersigned, any member of the family of the undersigned, nor any affiliate of the undersigned will be entitled to receive or accept a finder’s fee or any other compensation in the event the undersigned, any member of the family of the undersigned or any affiliate of the undersigned originates a Business Combination.</w:t>
      </w:r>
    </w:p>
    <w:p>
      <w:pPr>
        <w:spacing w:after="0" w:line="181" w:lineRule="exact"/>
        <w:rPr>
          <w:rFonts w:ascii="Arial" w:cs="Arial" w:eastAsia="Arial" w:hAnsi="Arial"/>
          <w:sz w:val="18"/>
          <w:szCs w:val="18"/>
          <w:color w:val="auto"/>
        </w:rPr>
      </w:pPr>
    </w:p>
    <w:p>
      <w:pPr>
        <w:jc w:val="both"/>
        <w:ind w:firstLine="1297"/>
        <w:spacing w:after="0" w:line="255" w:lineRule="auto"/>
        <w:tabs>
          <w:tab w:leader="none" w:pos="187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undersigned agrees to be the _________ of the Company until the earlier of the consummation by the Company of a Business Combination or the liquidation of the Company. The undersigned’s biographical information previously furnished to the Company and the Representative is true and accurate in all material respects, does not omit any material information with respect to the undersigned’s biography and contains all of the information required to be disclosed pursuant to Item 401 of Regulation S-K, promulgated under the Securities Act of 1933. The undersigned’s FINRA Questionnaire previously furnished to the Company and the Representative is true and accurate in all material respects. The undersigned represents and warrants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179260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342" w:lineRule="exact"/>
        <w:rPr>
          <w:sz w:val="20"/>
          <w:szCs w:val="20"/>
          <w:color w:val="auto"/>
        </w:rPr>
      </w:pPr>
    </w:p>
    <w:p>
      <w:pPr>
        <w:ind w:left="120" w:hanging="120"/>
        <w:spacing w:after="0"/>
        <w:tabs>
          <w:tab w:leader="none" w:pos="120" w:val="left"/>
        </w:tabs>
        <w:numPr>
          <w:ilvl w:val="0"/>
          <w:numId w:val="109"/>
        </w:numPr>
        <w:rPr>
          <w:rFonts w:ascii="Arial" w:cs="Arial" w:eastAsia="Arial" w:hAnsi="Arial"/>
          <w:sz w:val="30"/>
          <w:szCs w:val="30"/>
          <w:color w:val="auto"/>
          <w:vertAlign w:val="superscript"/>
        </w:rPr>
      </w:pPr>
      <w:r>
        <w:rPr>
          <w:rFonts w:ascii="Arial" w:cs="Arial" w:eastAsia="Arial" w:hAnsi="Arial"/>
          <w:sz w:val="18"/>
          <w:szCs w:val="18"/>
          <w:color w:val="auto"/>
        </w:rPr>
        <w:t>To be included for Joshua Sason letter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437515</wp:posOffset>
            </wp:positionV>
            <wp:extent cx="716089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80" w:name="page181"/>
    <w:bookmarkEnd w:id="180"/>
    <w:p>
      <w:pPr>
        <w:ind w:left="652" w:hanging="652"/>
        <w:spacing w:after="0" w:line="286" w:lineRule="auto"/>
        <w:tabs>
          <w:tab w:leader="none" w:pos="652" w:val="left"/>
        </w:tabs>
        <w:numPr>
          <w:ilvl w:val="0"/>
          <w:numId w:val="110"/>
        </w:numPr>
        <w:rPr>
          <w:rFonts w:ascii="Arial" w:cs="Arial" w:eastAsia="Arial" w:hAnsi="Arial"/>
          <w:sz w:val="17"/>
          <w:szCs w:val="17"/>
          <w:color w:val="auto"/>
        </w:rPr>
      </w:pPr>
      <w:r>
        <w:rPr>
          <w:rFonts w:ascii="Arial" w:cs="Arial" w:eastAsia="Arial" w:hAnsi="Arial"/>
          <w:sz w:val="17"/>
          <w:szCs w:val="17"/>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spacing w:after="0" w:line="165" w:lineRule="exact"/>
        <w:rPr>
          <w:rFonts w:ascii="Arial" w:cs="Arial" w:eastAsia="Arial" w:hAnsi="Arial"/>
          <w:sz w:val="17"/>
          <w:szCs w:val="17"/>
          <w:color w:val="auto"/>
        </w:rPr>
      </w:pPr>
    </w:p>
    <w:p>
      <w:pPr>
        <w:ind w:left="652" w:right="60" w:hanging="652"/>
        <w:spacing w:after="0" w:line="277" w:lineRule="auto"/>
        <w:tabs>
          <w:tab w:leader="none" w:pos="6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he/she/it has never had a receiver, fiscal agent or similar officer been appointed by a court for his/her/its business or property, or any such partnership;</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he/she/it has never been convicted of fraud in a civil or criminal proceeding;</w:t>
      </w:r>
    </w:p>
    <w:p>
      <w:pPr>
        <w:spacing w:after="0" w:line="225" w:lineRule="exact"/>
        <w:rPr>
          <w:rFonts w:ascii="Arial" w:cs="Arial" w:eastAsia="Arial" w:hAnsi="Arial"/>
          <w:sz w:val="18"/>
          <w:szCs w:val="18"/>
          <w:color w:val="auto"/>
        </w:rPr>
      </w:pPr>
    </w:p>
    <w:p>
      <w:pPr>
        <w:ind w:left="652" w:right="360" w:hanging="652"/>
        <w:spacing w:after="0" w:line="277" w:lineRule="auto"/>
        <w:tabs>
          <w:tab w:leader="none" w:pos="6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he/she/it/ has never been convicted in a criminal proceeding or named the subject of a pending criminal proceeding (excluding traffic violations and minor offenses);</w:t>
      </w:r>
    </w:p>
    <w:p>
      <w:pPr>
        <w:spacing w:after="0" w:line="170" w:lineRule="exact"/>
        <w:rPr>
          <w:rFonts w:ascii="Arial" w:cs="Arial" w:eastAsia="Arial" w:hAnsi="Arial"/>
          <w:sz w:val="18"/>
          <w:szCs w:val="18"/>
          <w:color w:val="auto"/>
        </w:rPr>
      </w:pPr>
    </w:p>
    <w:p>
      <w:pPr>
        <w:ind w:left="652" w:right="20" w:hanging="652"/>
        <w:spacing w:after="0" w:line="253" w:lineRule="auto"/>
        <w:tabs>
          <w:tab w:leader="none" w:pos="6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(“CFTC”)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197" w:lineRule="exact"/>
        <w:rPr>
          <w:rFonts w:ascii="Arial" w:cs="Arial" w:eastAsia="Arial" w:hAnsi="Arial"/>
          <w:sz w:val="18"/>
          <w:szCs w:val="18"/>
          <w:color w:val="auto"/>
        </w:rPr>
      </w:pPr>
    </w:p>
    <w:p>
      <w:pPr>
        <w:ind w:left="652" w:right="60" w:hanging="652"/>
        <w:spacing w:after="0" w:line="291" w:lineRule="auto"/>
        <w:tabs>
          <w:tab w:leader="none" w:pos="65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9(e)</w:t>
      </w:r>
    </w:p>
    <w:p>
      <w:pPr>
        <w:ind w:left="652"/>
        <w:spacing w:after="0"/>
        <w:rPr>
          <w:rFonts w:ascii="Arial" w:cs="Arial" w:eastAsia="Arial" w:hAnsi="Arial"/>
          <w:sz w:val="16"/>
          <w:szCs w:val="16"/>
          <w:color w:val="auto"/>
        </w:rPr>
      </w:pPr>
      <w:r>
        <w:rPr>
          <w:rFonts w:ascii="Arial" w:cs="Arial" w:eastAsia="Arial" w:hAnsi="Arial"/>
          <w:sz w:val="18"/>
          <w:szCs w:val="18"/>
          <w:color w:val="auto"/>
        </w:rPr>
        <w:t>(i) above, or to be associated with persons engaged in any such activity;</w:t>
      </w:r>
    </w:p>
    <w:p>
      <w:pPr>
        <w:spacing w:after="0" w:line="210" w:lineRule="exact"/>
        <w:rPr>
          <w:rFonts w:ascii="Arial" w:cs="Arial" w:eastAsia="Arial" w:hAnsi="Arial"/>
          <w:sz w:val="16"/>
          <w:szCs w:val="16"/>
          <w:color w:val="auto"/>
        </w:rPr>
      </w:pPr>
    </w:p>
    <w:p>
      <w:pPr>
        <w:ind w:left="652" w:right="160" w:hanging="652"/>
        <w:spacing w:after="0" w:line="342" w:lineRule="auto"/>
        <w:tabs>
          <w:tab w:leader="none" w:pos="65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379095</wp:posOffset>
            </wp:positionV>
            <wp:extent cx="716089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592"/>
          </w:cols>
          <w:pgMar w:left="968" w:top="909" w:right="339" w:bottom="1440" w:gutter="0" w:footer="0" w:header="0"/>
        </w:sectPr>
      </w:pPr>
    </w:p>
    <w:bookmarkStart w:id="181" w:name="page182"/>
    <w:bookmarkEnd w:id="181"/>
    <w:p>
      <w:pPr>
        <w:ind w:left="652" w:right="440" w:hanging="652"/>
        <w:spacing w:after="0" w:line="264" w:lineRule="auto"/>
        <w:tabs>
          <w:tab w:leader="none" w:pos="6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81" w:lineRule="exact"/>
        <w:rPr>
          <w:rFonts w:ascii="Arial" w:cs="Arial" w:eastAsia="Arial" w:hAnsi="Arial"/>
          <w:sz w:val="18"/>
          <w:szCs w:val="18"/>
          <w:color w:val="auto"/>
        </w:rPr>
      </w:pPr>
    </w:p>
    <w:p>
      <w:pPr>
        <w:ind w:left="652" w:right="40" w:hanging="652"/>
        <w:spacing w:after="0" w:line="297" w:lineRule="auto"/>
        <w:tabs>
          <w:tab w:leader="none" w:pos="65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158" w:lineRule="exact"/>
        <w:rPr>
          <w:rFonts w:ascii="Arial" w:cs="Arial" w:eastAsia="Arial" w:hAnsi="Arial"/>
          <w:sz w:val="16"/>
          <w:szCs w:val="16"/>
          <w:color w:val="auto"/>
        </w:rPr>
      </w:pPr>
    </w:p>
    <w:p>
      <w:pPr>
        <w:ind w:left="652" w:right="280" w:hanging="652"/>
        <w:spacing w:after="0" w:line="264" w:lineRule="auto"/>
        <w:tabs>
          <w:tab w:leader="none" w:pos="6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181" w:lineRule="exact"/>
        <w:rPr>
          <w:rFonts w:ascii="Arial" w:cs="Arial" w:eastAsia="Arial" w:hAnsi="Arial"/>
          <w:sz w:val="18"/>
          <w:szCs w:val="18"/>
          <w:color w:val="auto"/>
        </w:rPr>
      </w:pPr>
    </w:p>
    <w:p>
      <w:pPr>
        <w:ind w:left="652" w:hanging="652"/>
        <w:spacing w:after="0" w:line="264" w:lineRule="auto"/>
        <w:tabs>
          <w:tab w:leader="none" w:pos="6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181" w:lineRule="exact"/>
        <w:rPr>
          <w:rFonts w:ascii="Arial" w:cs="Arial" w:eastAsia="Arial" w:hAnsi="Arial"/>
          <w:sz w:val="18"/>
          <w:szCs w:val="18"/>
          <w:color w:val="auto"/>
        </w:rPr>
      </w:pPr>
    </w:p>
    <w:p>
      <w:pPr>
        <w:ind w:left="652" w:right="40" w:hanging="652"/>
        <w:spacing w:after="0" w:line="302" w:lineRule="auto"/>
        <w:tabs>
          <w:tab w:leader="none" w:pos="65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spacing w:after="0" w:line="154" w:lineRule="exact"/>
        <w:rPr>
          <w:rFonts w:ascii="Arial" w:cs="Arial" w:eastAsia="Arial" w:hAnsi="Arial"/>
          <w:sz w:val="16"/>
          <w:szCs w:val="16"/>
          <w:color w:val="auto"/>
        </w:rPr>
      </w:pPr>
    </w:p>
    <w:p>
      <w:pPr>
        <w:ind w:left="652" w:right="80" w:hanging="652"/>
        <w:spacing w:after="0" w:line="302" w:lineRule="auto"/>
        <w:tabs>
          <w:tab w:leader="none" w:pos="65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398780</wp:posOffset>
            </wp:positionV>
            <wp:extent cx="716089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12"/>
          </w:cols>
          <w:pgMar w:left="968" w:top="909" w:right="319" w:bottom="1440" w:gutter="0" w:footer="0" w:header="0"/>
        </w:sectPr>
      </w:pPr>
    </w:p>
    <w:bookmarkStart w:id="182" w:name="page183"/>
    <w:bookmarkEnd w:id="182"/>
    <w:p>
      <w:pPr>
        <w:ind w:left="652" w:right="40" w:hanging="652"/>
        <w:spacing w:after="0" w:line="259" w:lineRule="auto"/>
        <w:tabs>
          <w:tab w:leader="none" w:pos="65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86" w:lineRule="exact"/>
        <w:rPr>
          <w:rFonts w:ascii="Arial" w:cs="Arial" w:eastAsia="Arial" w:hAnsi="Arial"/>
          <w:sz w:val="18"/>
          <w:szCs w:val="18"/>
          <w:color w:val="auto"/>
        </w:rPr>
      </w:pPr>
    </w:p>
    <w:p>
      <w:pPr>
        <w:ind w:left="652" w:right="60" w:hanging="652"/>
        <w:spacing w:after="0" w:line="264" w:lineRule="auto"/>
        <w:tabs>
          <w:tab w:leader="none" w:pos="65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81" w:lineRule="exact"/>
        <w:rPr>
          <w:rFonts w:ascii="Arial" w:cs="Arial" w:eastAsia="Arial" w:hAnsi="Arial"/>
          <w:sz w:val="18"/>
          <w:szCs w:val="18"/>
          <w:color w:val="auto"/>
        </w:rPr>
      </w:pPr>
    </w:p>
    <w:p>
      <w:pPr>
        <w:ind w:left="652" w:right="200" w:hanging="652"/>
        <w:spacing w:after="0" w:line="264" w:lineRule="auto"/>
        <w:tabs>
          <w:tab w:leader="none" w:pos="65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181" w:lineRule="exact"/>
        <w:rPr>
          <w:rFonts w:ascii="Arial" w:cs="Arial" w:eastAsia="Arial" w:hAnsi="Arial"/>
          <w:sz w:val="18"/>
          <w:szCs w:val="18"/>
          <w:color w:val="auto"/>
        </w:rPr>
      </w:pPr>
    </w:p>
    <w:p>
      <w:pPr>
        <w:ind w:left="652" w:right="140" w:hanging="652"/>
        <w:spacing w:after="0" w:line="297" w:lineRule="auto"/>
        <w:tabs>
          <w:tab w:leader="none" w:pos="65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the undersigned from: (i) association with an entity regulated by such commission, authority, agency or officer; (ii) engaging in the business of securities, insurance or banking; or (iii) engaging in savings association or credit union activities;</w:t>
      </w:r>
    </w:p>
    <w:p>
      <w:pPr>
        <w:spacing w:after="0" w:line="158" w:lineRule="exact"/>
        <w:rPr>
          <w:rFonts w:ascii="Arial" w:cs="Arial" w:eastAsia="Arial" w:hAnsi="Arial"/>
          <w:sz w:val="16"/>
          <w:szCs w:val="16"/>
          <w:color w:val="auto"/>
        </w:rPr>
      </w:pPr>
    </w:p>
    <w:p>
      <w:pPr>
        <w:ind w:left="652" w:hanging="652"/>
        <w:spacing w:after="0" w:line="257" w:lineRule="auto"/>
        <w:tabs>
          <w:tab w:leader="none" w:pos="65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he/she/it is not subject to an order of the SEC entered pursuant to section 15(b) or 15B(c) of the Securities Exchange Act of 1934 (the “Exchange Act”) or section 203(e) or 203(f) of the Investment Advisers Act of 1940 (the “Advisers Act”) that: (i) suspends or revokes the undersigned’s registration as a broker, dealer, municipal securities dealer or investment adviser; (ii) places limitations on the activities, functions or operations of, or imposes civil money penalties on, such person; or (iii) bars the undersigned from being associated with any entity or from participating in the offering of any penny stock;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420370</wp:posOffset>
            </wp:positionV>
            <wp:extent cx="716089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592"/>
          </w:cols>
          <w:pgMar w:left="968" w:top="909" w:right="339" w:bottom="1440" w:gutter="0" w:footer="0" w:header="0"/>
        </w:sectPr>
      </w:pPr>
    </w:p>
    <w:bookmarkStart w:id="183" w:name="page184"/>
    <w:bookmarkEnd w:id="183"/>
    <w:p>
      <w:pPr>
        <w:jc w:val="both"/>
        <w:ind w:left="652" w:right="560" w:hanging="652"/>
        <w:spacing w:after="0" w:line="312" w:lineRule="auto"/>
        <w:tabs>
          <w:tab w:leader="none" w:pos="65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46" w:lineRule="exact"/>
        <w:rPr>
          <w:rFonts w:ascii="Arial" w:cs="Arial" w:eastAsia="Arial" w:hAnsi="Arial"/>
          <w:sz w:val="16"/>
          <w:szCs w:val="16"/>
          <w:color w:val="auto"/>
        </w:rPr>
      </w:pPr>
    </w:p>
    <w:p>
      <w:pPr>
        <w:ind w:left="-648" w:firstLine="1297"/>
        <w:spacing w:after="0" w:line="277" w:lineRule="auto"/>
        <w:tabs>
          <w:tab w:leader="none" w:pos="1489"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undersigned has full right and power, without violating any agreement by which he is bound, to enter into this letter agreement and to serve as _________ of the Company.</w:t>
      </w:r>
    </w:p>
    <w:p>
      <w:pPr>
        <w:spacing w:after="0" w:line="170" w:lineRule="exact"/>
        <w:rPr>
          <w:rFonts w:ascii="Arial" w:cs="Arial" w:eastAsia="Arial" w:hAnsi="Arial"/>
          <w:sz w:val="18"/>
          <w:szCs w:val="18"/>
          <w:color w:val="auto"/>
        </w:rPr>
      </w:pPr>
    </w:p>
    <w:p>
      <w:pPr>
        <w:jc w:val="both"/>
        <w:ind w:left="-648" w:firstLine="1297"/>
        <w:spacing w:after="0" w:line="257" w:lineRule="auto"/>
        <w:tabs>
          <w:tab w:leader="none" w:pos="136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undersigned hereby waives his, her or its right to exercise conversion rights with respect to any shares of Common Stock owned or to be owned by the undersigned, directly or indirectly, whether purchased by the undersigned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188" w:lineRule="exact"/>
        <w:rPr>
          <w:rFonts w:ascii="Arial" w:cs="Arial" w:eastAsia="Arial" w:hAnsi="Arial"/>
          <w:sz w:val="18"/>
          <w:szCs w:val="18"/>
          <w:color w:val="auto"/>
        </w:rPr>
      </w:pPr>
    </w:p>
    <w:p>
      <w:pPr>
        <w:jc w:val="both"/>
        <w:ind w:left="-648" w:firstLine="1297"/>
        <w:spacing w:after="0" w:line="286" w:lineRule="auto"/>
        <w:tabs>
          <w:tab w:leader="none" w:pos="1418"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The undersigned hereby agrees to not propose, or vote in favor of, an amendment to the Company’s Amended and Restated Certificate of Incorporation with respect to the Company’s pre-Business Combination activities prior to the consummation of a Business Combination unless the Company offers holders of IPO Shares the right to receive their pro rata portion of the funds then held in the Trust Fund.</w:t>
      </w:r>
    </w:p>
    <w:p>
      <w:pPr>
        <w:spacing w:after="0" w:line="165" w:lineRule="exact"/>
        <w:rPr>
          <w:rFonts w:ascii="Arial" w:cs="Arial" w:eastAsia="Arial" w:hAnsi="Arial"/>
          <w:sz w:val="17"/>
          <w:szCs w:val="17"/>
          <w:color w:val="auto"/>
        </w:rPr>
      </w:pPr>
    </w:p>
    <w:p>
      <w:pPr>
        <w:jc w:val="both"/>
        <w:ind w:left="-648" w:firstLine="1297"/>
        <w:spacing w:after="0" w:line="253" w:lineRule="auto"/>
        <w:tabs>
          <w:tab w:leader="none" w:pos="144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(“AAA”).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426085</wp:posOffset>
            </wp:positionV>
            <wp:extent cx="71608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12"/>
          </w:cols>
          <w:pgMar w:left="968" w:top="909" w:right="319" w:bottom="1440" w:gutter="0" w:footer="0" w:header="0"/>
        </w:sectPr>
      </w:pPr>
    </w:p>
    <w:bookmarkStart w:id="184" w:name="page185"/>
    <w:bookmarkEnd w:id="184"/>
    <w:p>
      <w:pPr>
        <w:jc w:val="both"/>
        <w:ind w:firstLine="1297"/>
        <w:spacing w:after="0" w:line="253" w:lineRule="auto"/>
        <w:tabs>
          <w:tab w:leader="none" w:pos="2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As used herein, (i)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mean a merger, share exchange, asset acquisition, stock purchase, recapitalization, reorganization or other similar business combination with one or more businesses or entities; (ii) “</w:t>
      </w:r>
      <w:r>
        <w:rPr>
          <w:rFonts w:ascii="Arial" w:cs="Arial" w:eastAsia="Arial" w:hAnsi="Arial"/>
          <w:sz w:val="18"/>
          <w:szCs w:val="18"/>
          <w:b w:val="1"/>
          <w:bCs w:val="1"/>
          <w:i w:val="1"/>
          <w:iCs w:val="1"/>
          <w:color w:val="auto"/>
        </w:rPr>
        <w:t>Insiders</w:t>
      </w:r>
      <w:r>
        <w:rPr>
          <w:rFonts w:ascii="Arial" w:cs="Arial" w:eastAsia="Arial" w:hAnsi="Arial"/>
          <w:sz w:val="18"/>
          <w:szCs w:val="18"/>
          <w:color w:val="auto"/>
        </w:rPr>
        <w:t>” shall mean all officers, directors and shareholders of the Company immediately prior to the IPO; (iii) “</w:t>
      </w:r>
      <w:r>
        <w:rPr>
          <w:rFonts w:ascii="Arial" w:cs="Arial" w:eastAsia="Arial" w:hAnsi="Arial"/>
          <w:sz w:val="18"/>
          <w:szCs w:val="18"/>
          <w:b w:val="1"/>
          <w:bCs w:val="1"/>
          <w:i w:val="1"/>
          <w:iCs w:val="1"/>
          <w:color w:val="auto"/>
        </w:rPr>
        <w:t>Insider Shares</w:t>
      </w:r>
      <w:r>
        <w:rPr>
          <w:rFonts w:ascii="Arial" w:cs="Arial" w:eastAsia="Arial" w:hAnsi="Arial"/>
          <w:sz w:val="18"/>
          <w:szCs w:val="18"/>
          <w:color w:val="auto"/>
        </w:rPr>
        <w:t>” shall mean all of the shares of Common Stock of the Company acquired by an Insider prior to the IPO [and the shares of Common Stock underlying the Private Units]; (iv) “</w:t>
      </w:r>
      <w:r>
        <w:rPr>
          <w:rFonts w:ascii="Arial" w:cs="Arial" w:eastAsia="Arial" w:hAnsi="Arial"/>
          <w:sz w:val="18"/>
          <w:szCs w:val="18"/>
          <w:b w:val="1"/>
          <w:bCs w:val="1"/>
          <w:i w:val="1"/>
          <w:iCs w:val="1"/>
          <w:color w:val="auto"/>
        </w:rPr>
        <w:t>IPO Shares</w:t>
      </w:r>
      <w:r>
        <w:rPr>
          <w:rFonts w:ascii="Arial" w:cs="Arial" w:eastAsia="Arial" w:hAnsi="Arial"/>
          <w:sz w:val="18"/>
          <w:szCs w:val="18"/>
          <w:color w:val="auto"/>
        </w:rPr>
        <w:t>” shall mean the shares of Common Stock issued in the Company’s IPO; (v) “</w:t>
      </w:r>
      <w:r>
        <w:rPr>
          <w:rFonts w:ascii="Arial" w:cs="Arial" w:eastAsia="Arial" w:hAnsi="Arial"/>
          <w:sz w:val="18"/>
          <w:szCs w:val="18"/>
          <w:b w:val="1"/>
          <w:bCs w:val="1"/>
          <w:i w:val="1"/>
          <w:iCs w:val="1"/>
          <w:color w:val="auto"/>
        </w:rPr>
        <w:t>Private Units</w:t>
      </w:r>
      <w:r>
        <w:rPr>
          <w:rFonts w:ascii="Arial" w:cs="Arial" w:eastAsia="Arial" w:hAnsi="Arial"/>
          <w:sz w:val="18"/>
          <w:szCs w:val="18"/>
          <w:color w:val="auto"/>
        </w:rPr>
        <w:t>” shall mean (x) the Units purchased in the private placement taking place simultaneously with the consummation of the Company’s IPO and (y) the additional Units that may be purchased in connection with the exercise of the over-allotment option by the underwriters in the IPO as described in the Registration Statement; (vi)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S-1 filed by the Company with respect to the IPO; and (vii) “</w:t>
      </w:r>
      <w:r>
        <w:rPr>
          <w:rFonts w:ascii="Arial" w:cs="Arial" w:eastAsia="Arial" w:hAnsi="Arial"/>
          <w:sz w:val="18"/>
          <w:szCs w:val="18"/>
          <w:b w:val="1"/>
          <w:bCs w:val="1"/>
          <w:i w:val="1"/>
          <w:iCs w:val="1"/>
          <w:color w:val="auto"/>
        </w:rPr>
        <w:t>Trust Fund</w:t>
      </w:r>
      <w:r>
        <w:rPr>
          <w:rFonts w:ascii="Arial" w:cs="Arial" w:eastAsia="Arial" w:hAnsi="Arial"/>
          <w:sz w:val="18"/>
          <w:szCs w:val="18"/>
          <w:color w:val="auto"/>
        </w:rPr>
        <w:t>” shall mean the trust fund into which a portion of the net proceeds of the Company’s IPO will be deposited.</w:t>
      </w:r>
    </w:p>
    <w:p>
      <w:pPr>
        <w:spacing w:after="0" w:line="197" w:lineRule="exact"/>
        <w:rPr>
          <w:rFonts w:ascii="Arial" w:cs="Arial" w:eastAsia="Arial" w:hAnsi="Arial"/>
          <w:sz w:val="18"/>
          <w:szCs w:val="18"/>
          <w:color w:val="auto"/>
        </w:rPr>
      </w:pPr>
    </w:p>
    <w:p>
      <w:pPr>
        <w:jc w:val="both"/>
        <w:ind w:firstLine="1297"/>
        <w:spacing w:after="0" w:line="264" w:lineRule="auto"/>
        <w:tabs>
          <w:tab w:leader="none" w:pos="198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Mitchell S. Nussbaum,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504-3013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434340</wp:posOffset>
            </wp:positionV>
            <wp:extent cx="71608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85" w:name="page186"/>
    <w:bookmarkEnd w:id="185"/>
    <w:p>
      <w:pPr>
        <w:jc w:val="both"/>
        <w:ind w:left="-1120" w:firstLine="1297"/>
        <w:spacing w:after="0" w:line="312" w:lineRule="auto"/>
        <w:tabs>
          <w:tab w:leader="none" w:pos="87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46" w:lineRule="exact"/>
        <w:rPr>
          <w:rFonts w:ascii="Arial" w:cs="Arial" w:eastAsia="Arial" w:hAnsi="Arial"/>
          <w:sz w:val="16"/>
          <w:szCs w:val="16"/>
          <w:color w:val="auto"/>
        </w:rPr>
      </w:pPr>
    </w:p>
    <w:p>
      <w:pPr>
        <w:ind w:left="-1120" w:firstLine="1297"/>
        <w:spacing w:after="0" w:line="277" w:lineRule="auto"/>
        <w:tabs>
          <w:tab w:leader="none" w:pos="108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undersigned acknowledges and understands that the Underwriters and the Company will rely upon the agreements, representations and warranties set forth herein in proceeding with the IPO.</w:t>
      </w:r>
    </w:p>
    <w:p>
      <w:pPr>
        <w:spacing w:after="0" w:line="40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 Name of Insider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-130175</wp:posOffset>
            </wp:positionV>
            <wp:extent cx="3576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-130175</wp:posOffset>
            </wp:positionV>
            <wp:extent cx="3576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576320" cy="8890"/>
                    </a:xfrm>
                    <a:prstGeom prst="rect">
                      <a:avLst/>
                    </a:prstGeom>
                    <a:noFill/>
                  </pic:spPr>
                </pic:pic>
              </a:graphicData>
            </a:graphic>
          </wp:anchor>
        </w:drawing>
        <w:drawing>
          <wp:anchor simplePos="0" relativeHeight="251657728" behindDoc="1" locked="0" layoutInCell="0" allowOverlap="1">
            <wp:simplePos x="0" y="0"/>
            <wp:positionH relativeFrom="column">
              <wp:posOffset>-713105</wp:posOffset>
            </wp:positionH>
            <wp:positionV relativeFrom="paragraph">
              <wp:posOffset>443865</wp:posOffset>
            </wp:positionV>
            <wp:extent cx="716089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140"/>
          </w:cols>
          <w:pgMar w:left="1440" w:top="908" w:right="31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Agreement is made as of [________], 2016 by and between M I Acquisitions, Inc. (the “Company”) and Continental Stock Transfer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&amp; Trust Company (“Trustee”).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Company’s registration statement on Form S-1, No. 333-[_____] (“Registration Statement”) for its initial public offering</w:t>
      </w:r>
    </w:p>
    <w:p>
      <w:pPr>
        <w:spacing w:after="0" w:line="4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of securities (“IPO”) has been declared effective as of the date hereof (“Effective Date”) by the Securities and Exchange Commission (capitalized terms used herein and not otherwise defined shall have the meanings set forth in the Registration Statement); 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Chardan Capital Markets LLC (“Chardan”) is acting as the underwriter in the IPO; and</w:t>
      </w:r>
    </w:p>
    <w:p>
      <w:pPr>
        <w:spacing w:after="0" w:line="225"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WHEREAS, as described in the Registration Statement, and in accordance with the Company’s Amended and Restated Memorandum and Articles of Association, $50,000,000 of the gross proceeds of the IPO and the net proceeds of a private placement of $4,025,000 taking place simultaneously therewith ($61,975,000 if the over-allotment option is exercised in full) will be delivered to the Trustee to be deposited and held in a trust account for the benefit of the Company and the holders of the Company’s common stock, par value $.001 per share (“Common Stock”), issued in the IPO as hereinafter provided (the proceeds to be delivered to the Trustee will be referred to herein as the “Property”; the shareholders for whose benefit the Trustee shall hold the Property will be referred to as the “Public Shareholders,” and the Public Shareholders and the Company will be referred to together as the “Beneficiaries”); and</w:t>
      </w:r>
    </w:p>
    <w:p>
      <w:pPr>
        <w:spacing w:after="0" w:line="189"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 IS AGREED:</w:t>
      </w:r>
    </w:p>
    <w:p>
      <w:pPr>
        <w:spacing w:after="0" w:line="225" w:lineRule="exact"/>
        <w:rPr>
          <w:sz w:val="20"/>
          <w:szCs w:val="20"/>
          <w:color w:val="auto"/>
        </w:rPr>
      </w:pPr>
    </w:p>
    <w:p>
      <w:pPr>
        <w:ind w:left="580" w:hanging="580"/>
        <w:spacing w:after="0"/>
        <w:tabs>
          <w:tab w:leader="none" w:pos="58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jc w:val="both"/>
        <w:ind w:right="400" w:firstLine="1297"/>
        <w:spacing w:after="0" w:line="264" w:lineRule="auto"/>
        <w:tabs>
          <w:tab w:leader="none" w:pos="194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Hold the Property in trust for the Beneficiaries in accordance with the terms of this Agreement in a segregated trust account (“Trust Account”) established by the Trustee at [Morgan Stanley Bank, NA] in the United States, maintained by Trustee, and at a brokerage institution selected by the Trustee that is reasonably satisfactory to the Company;</w:t>
      </w:r>
    </w:p>
    <w:p>
      <w:pPr>
        <w:spacing w:after="0" w:line="181" w:lineRule="exact"/>
        <w:rPr>
          <w:rFonts w:ascii="Arial" w:cs="Arial" w:eastAsia="Arial" w:hAnsi="Arial"/>
          <w:sz w:val="18"/>
          <w:szCs w:val="18"/>
          <w:color w:val="auto"/>
        </w:rPr>
      </w:pPr>
    </w:p>
    <w:p>
      <w:pPr>
        <w:ind w:left="1960" w:hanging="663"/>
        <w:spacing w:after="0"/>
        <w:tabs>
          <w:tab w:leader="none" w:pos="19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ind w:right="540" w:firstLine="1297"/>
        <w:spacing w:after="0" w:line="312" w:lineRule="auto"/>
        <w:tabs>
          <w:tab w:leader="none" w:pos="1946" w:val="left"/>
        </w:tabs>
        <w:numPr>
          <w:ilvl w:val="1"/>
          <w:numId w:val="116"/>
        </w:numPr>
        <w:rPr>
          <w:rFonts w:ascii="Arial" w:cs="Arial" w:eastAsia="Arial" w:hAnsi="Arial"/>
          <w:sz w:val="16"/>
          <w:szCs w:val="16"/>
          <w:color w:val="auto"/>
        </w:rPr>
      </w:pPr>
      <w:r>
        <w:rPr>
          <w:rFonts w:ascii="Arial" w:cs="Arial" w:eastAsia="Arial" w:hAnsi="Arial"/>
          <w:sz w:val="16"/>
          <w:szCs w:val="16"/>
          <w:color w:val="auto"/>
        </w:rPr>
        <w:t>In a timely manner, upon the instruction of the Company, invest and reinvest the Property (i) in United States government treasury bills, notes or bonds having a maturity of 180 days or less and/or (ii) in money market funds meeting certain conditions under Rule 2a-7 promulgated under the Investment Company Act of 1940, as amended, and that invest solely in U.S. treasuries, as determined by the Company;</w:t>
      </w: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87" w:name="page188"/>
    <w:bookmarkEnd w:id="187"/>
    <w:p>
      <w:pPr>
        <w:ind w:left="1960" w:hanging="663"/>
        <w:spacing w:after="0"/>
        <w:tabs>
          <w:tab w:leader="none" w:pos="196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Collect and receive, when due, all principal and income arising from the Property, which shall become part of the “Property,”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term is used herein;</w:t>
      </w:r>
    </w:p>
    <w:p>
      <w:pPr>
        <w:spacing w:after="0" w:line="210" w:lineRule="exact"/>
        <w:rPr>
          <w:rFonts w:ascii="Arial" w:cs="Arial" w:eastAsia="Arial" w:hAnsi="Arial"/>
          <w:sz w:val="16"/>
          <w:szCs w:val="16"/>
          <w:color w:val="auto"/>
        </w:rPr>
      </w:pPr>
    </w:p>
    <w:p>
      <w:pPr>
        <w:ind w:left="1940" w:hanging="643"/>
        <w:spacing w:after="0"/>
        <w:tabs>
          <w:tab w:leader="none" w:pos="194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Notify the Company and Chardan of all communications received by it with respect to any Property requiring action by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right="600" w:firstLine="1297"/>
        <w:spacing w:after="0" w:line="277" w:lineRule="auto"/>
        <w:tabs>
          <w:tab w:leader="none" w:pos="192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Supply any necessary information or documents as may be requested by the Company in connection with the Company’s preparation of its tax returns;</w:t>
      </w:r>
    </w:p>
    <w:p>
      <w:pPr>
        <w:spacing w:after="0" w:line="170" w:lineRule="exact"/>
        <w:rPr>
          <w:rFonts w:ascii="Arial" w:cs="Arial" w:eastAsia="Arial" w:hAnsi="Arial"/>
          <w:sz w:val="18"/>
          <w:szCs w:val="18"/>
          <w:color w:val="auto"/>
        </w:rPr>
      </w:pPr>
    </w:p>
    <w:p>
      <w:pPr>
        <w:ind w:right="220" w:firstLine="1297"/>
        <w:spacing w:after="0" w:line="277" w:lineRule="auto"/>
        <w:tabs>
          <w:tab w:leader="none" w:pos="195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right="160" w:firstLine="1297"/>
        <w:spacing w:after="0" w:line="277" w:lineRule="auto"/>
        <w:tabs>
          <w:tab w:leader="none" w:pos="195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 and</w:t>
      </w:r>
    </w:p>
    <w:p>
      <w:pPr>
        <w:spacing w:after="0" w:line="170" w:lineRule="exact"/>
        <w:rPr>
          <w:rFonts w:ascii="Arial" w:cs="Arial" w:eastAsia="Arial" w:hAnsi="Arial"/>
          <w:sz w:val="18"/>
          <w:szCs w:val="18"/>
          <w:color w:val="auto"/>
        </w:rPr>
      </w:pPr>
    </w:p>
    <w:p>
      <w:pPr>
        <w:ind w:firstLine="1297"/>
        <w:spacing w:after="0" w:line="253" w:lineRule="auto"/>
        <w:tabs>
          <w:tab w:leader="none" w:pos="191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Commence liquidation of the Trust Account only after and promptly after receipt of, and only in accordance with, the terms of a letter (“Termination Letter”), in a form substantially similar to that attached hereto as either Exhibit A or Exhibit B, signed on behalf of the Company by its President, Chief Executive Officer or Chairman of the Board and Secretary or Assistant Secretary and, in the case of a Termination Letter in a form substantially similar to that attached hereto as Exhibit A, acknowledged and agreed to by Chardan,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the 18-month anniversary of the closing of the IPO (“Closing”) or, in the event that the Company executed a letter of intent or definitive agreement for a Business Combination within 18 months from the closing of the IPO but has not completed the Business Combination within such 18-month period, the 21-month anniversary of the Closing, (“Last Date”), the Trust Account shall be liquidated in accordance with the procedures set forth in the Termination Letter attached as Exhibit B hereto and distributed to the Public Shareholders as of the Last Date.</w:t>
      </w:r>
    </w:p>
    <w:p>
      <w:pPr>
        <w:spacing w:after="0" w:line="194" w:lineRule="exact"/>
        <w:rPr>
          <w:rFonts w:ascii="Arial" w:cs="Arial" w:eastAsia="Arial" w:hAnsi="Arial"/>
          <w:sz w:val="18"/>
          <w:szCs w:val="18"/>
          <w:color w:val="auto"/>
        </w:rPr>
      </w:pPr>
    </w:p>
    <w:p>
      <w:pPr>
        <w:ind w:left="580" w:hanging="580"/>
        <w:spacing w:after="0"/>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Limited Distributions of Income from Trust Account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80" w:firstLine="1297"/>
        <w:spacing w:after="0" w:line="264" w:lineRule="auto"/>
        <w:tabs>
          <w:tab w:leader="none" w:pos="194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Upon written request from the Company, which may be given from time to time in a form substantially similar to that attached hereto as Exhibit C, the Trustee shall distribute to the Company the amount of interest income earned on the Trust Account requested by the Company to cover any income or other tax obligation owed by the Company as a result of such interest income.</w:t>
      </w:r>
    </w:p>
    <w:p>
      <w:pPr>
        <w:spacing w:after="0" w:line="181" w:lineRule="exact"/>
        <w:rPr>
          <w:rFonts w:ascii="Arial" w:cs="Arial" w:eastAsia="Arial" w:hAnsi="Arial"/>
          <w:sz w:val="18"/>
          <w:szCs w:val="18"/>
          <w:color w:val="auto"/>
        </w:rPr>
      </w:pPr>
    </w:p>
    <w:p>
      <w:pPr>
        <w:ind w:right="160" w:firstLine="1297"/>
        <w:spacing w:after="0" w:line="276" w:lineRule="auto"/>
        <w:tabs>
          <w:tab w:leader="none" w:pos="1956" w:val="left"/>
        </w:tabs>
        <w:numPr>
          <w:ilvl w:val="1"/>
          <w:numId w:val="118"/>
        </w:numPr>
        <w:rPr>
          <w:rFonts w:ascii="Arial" w:cs="Arial" w:eastAsia="Arial" w:hAnsi="Arial"/>
          <w:sz w:val="17"/>
          <w:szCs w:val="17"/>
          <w:color w:val="auto"/>
        </w:rPr>
      </w:pPr>
      <w:r>
        <w:rPr>
          <w:rFonts w:ascii="Arial" w:cs="Arial" w:eastAsia="Arial" w:hAnsi="Arial"/>
          <w:sz w:val="17"/>
          <w:szCs w:val="17"/>
          <w:color w:val="auto"/>
        </w:rPr>
        <w:t>Upon written request from the Company, which may be given from time to time in a form substantially similar to that attached hereto as Exhibit D, the Trustee shall distribute to the Company the amount of interest income earned on the Trust Account requested by the Company to cover expenses related to investigating and selecting a target business and other working capital requirements; provided, however, that the Company will not be allowed to withdraw interest income earned on the Trust Account unless there is an amount of interest income available in the Trust Account sufficient to pay the Company’s tax obligations on such interest income.</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88" w:name="page189"/>
    <w:bookmarkEnd w:id="188"/>
    <w:p>
      <w:pPr>
        <w:ind w:right="100" w:firstLine="1297"/>
        <w:spacing w:after="0" w:line="264" w:lineRule="auto"/>
        <w:tabs>
          <w:tab w:leader="none" w:pos="1943"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limited distributions referred to in Sections 2(a) and 2(b) above shall be made only from income collected on the Property. Except as provided in Section 2(a), and 2(b) above, no other distributions from the Trust Account shall be permitted except in accordance with Section 1(i) hereof.</w:t>
      </w:r>
    </w:p>
    <w:p>
      <w:pPr>
        <w:spacing w:after="0" w:line="181" w:lineRule="exact"/>
        <w:rPr>
          <w:rFonts w:ascii="Arial" w:cs="Arial" w:eastAsia="Arial" w:hAnsi="Arial"/>
          <w:sz w:val="18"/>
          <w:szCs w:val="18"/>
          <w:color w:val="auto"/>
        </w:rPr>
      </w:pPr>
    </w:p>
    <w:p>
      <w:pPr>
        <w:ind w:right="20" w:firstLine="1297"/>
        <w:spacing w:after="0" w:line="277" w:lineRule="auto"/>
        <w:tabs>
          <w:tab w:leader="none" w:pos="1953"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Company shall provide Chardan with a copy of any Termination Letters and/or any other correspondence that it issues to the Trustee with respect to any proposed withdrawal from the Trust Account promptly after such issuance.</w:t>
      </w:r>
    </w:p>
    <w:p>
      <w:pPr>
        <w:spacing w:after="0" w:line="170" w:lineRule="exact"/>
        <w:rPr>
          <w:rFonts w:ascii="Arial" w:cs="Arial" w:eastAsia="Arial" w:hAnsi="Arial"/>
          <w:sz w:val="18"/>
          <w:szCs w:val="18"/>
          <w:color w:val="auto"/>
        </w:rPr>
      </w:pPr>
    </w:p>
    <w:p>
      <w:pPr>
        <w:ind w:left="580" w:hanging="580"/>
        <w:spacing w:after="0"/>
        <w:tabs>
          <w:tab w:leader="none" w:pos="58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ind w:right="260" w:firstLine="1297"/>
        <w:spacing w:after="0" w:line="302" w:lineRule="auto"/>
        <w:tabs>
          <w:tab w:leader="none" w:pos="1946" w:val="left"/>
        </w:tabs>
        <w:numPr>
          <w:ilvl w:val="1"/>
          <w:numId w:val="120"/>
        </w:numPr>
        <w:rPr>
          <w:rFonts w:ascii="Arial" w:cs="Arial" w:eastAsia="Arial" w:hAnsi="Arial"/>
          <w:sz w:val="16"/>
          <w:szCs w:val="16"/>
          <w:color w:val="auto"/>
        </w:rPr>
      </w:pPr>
      <w:r>
        <w:rPr>
          <w:rFonts w:ascii="Arial" w:cs="Arial" w:eastAsia="Arial" w:hAnsi="Arial"/>
          <w:sz w:val="16"/>
          <w:szCs w:val="16"/>
          <w:color w:val="auto"/>
        </w:rPr>
        <w:t>Give all instructions to the Trustee hereunder in writing, signed by the Company’s Chairman of the Board, Chief Executive Officer or Chief Financial Officer. In addition, except with respect to its duties under paragraphs 1(i), 2(a) and 2(b) above, the Trustee shall be entitled to rely on, and shall be protected in relying on, any verbal or telephonic advice or instruction which it in good faith believes to be given by any one of the persons authorized above to give written instructions, provided that the Company shall promptly confirm such instructions in writing;</w:t>
      </w:r>
    </w:p>
    <w:p>
      <w:pPr>
        <w:spacing w:after="0" w:line="154" w:lineRule="exact"/>
        <w:rPr>
          <w:rFonts w:ascii="Arial" w:cs="Arial" w:eastAsia="Arial" w:hAnsi="Arial"/>
          <w:sz w:val="16"/>
          <w:szCs w:val="16"/>
          <w:color w:val="auto"/>
        </w:rPr>
      </w:pPr>
    </w:p>
    <w:p>
      <w:pPr>
        <w:ind w:firstLine="1297"/>
        <w:spacing w:after="0" w:line="288" w:lineRule="auto"/>
        <w:tabs>
          <w:tab w:leader="none" w:pos="1956" w:val="left"/>
        </w:tabs>
        <w:numPr>
          <w:ilvl w:val="1"/>
          <w:numId w:val="120"/>
        </w:numPr>
        <w:rPr>
          <w:rFonts w:ascii="Arial" w:cs="Arial" w:eastAsia="Arial" w:hAnsi="Arial"/>
          <w:sz w:val="16"/>
          <w:szCs w:val="16"/>
          <w:color w:val="auto"/>
        </w:rPr>
      </w:pPr>
      <w:r>
        <w:rPr>
          <w:rFonts w:ascii="Arial" w:cs="Arial" w:eastAsia="Arial" w:hAnsi="Arial"/>
          <w:sz w:val="16"/>
          <w:szCs w:val="16"/>
          <w:color w:val="auto"/>
        </w:rPr>
        <w:t>Subject to the provisions of Sections 5 and 7(g) of this Agreement, hold the Trustee harmless and indemnify the Trustee from and against, any and all expenses, including reasonable counsel fees and disbursements, or loss suffered by the Trustee in connection with any claim, potential claim, action, suit or other proceeding brought against the Trustee involving any claim, or in connection with any claim or demand which in any way arises out of or relates to this Agreement, the services of the Trustee hereunder, or the Property or any income earned from investment of the Property, except for expenses and losses resulting from the Trustee’s gross negligence or willful misconduct. Promptly after the receipt by the Trustee of notice of demand or claim or the commencement of any action, suit or proceeding, pursuant to which the Trustee intends to seek indemnification under this paragraph, it shall notify the Company in writing of such claim (hereinafter referred to as the “Indemnified Claim”). The Trustee shall have the right to conduct and manage the defense against such Indemnified Claim, provided, that the Trustee shall obtain the consent of the Company with respect to the selection of counsel, which consent shall not be unreasonably withheld. The Trustee may not agree to settle any Indemnified Claim without the prior written consent of the Company, which consent shall not be unreasonably withheld. The Company may participate in such action with its own counsel;</w:t>
      </w:r>
    </w:p>
    <w:p>
      <w:pPr>
        <w:spacing w:after="0" w:line="169" w:lineRule="exact"/>
        <w:rPr>
          <w:rFonts w:ascii="Arial" w:cs="Arial" w:eastAsia="Arial" w:hAnsi="Arial"/>
          <w:sz w:val="16"/>
          <w:szCs w:val="16"/>
          <w:color w:val="auto"/>
        </w:rPr>
      </w:pPr>
    </w:p>
    <w:p>
      <w:pPr>
        <w:ind w:right="100" w:firstLine="1297"/>
        <w:spacing w:after="0" w:line="255" w:lineRule="auto"/>
        <w:tabs>
          <w:tab w:leader="none" w:pos="194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Pay the Trustee an initial acceptance fee, an annual fee and a transaction processing fee for each disbursement made pursuant to Sections 2(a) and 2(b) as set forth on Schedule A hereto, which fees shall be subject to modification by the parties from time to time. It is expressly understood that the Property shall not be used to pay such fees and further agreed that any fees owed to the Trustee shall be deducted by the Trustee from the disbursements made to the Company pursuant to Sections 1(i) solely in connection with the consummation of a Business Combination, or pursuant to Section 2(b). The Company shall pay the Trustee the initial acceptance fee and first year’s fee at the consummation of the IPO and thereafter on the anniversary of the Effective Date;</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89" w:name="page190"/>
    <w:bookmarkEnd w:id="189"/>
    <w:p>
      <w:pPr>
        <w:ind w:right="580" w:firstLine="1297"/>
        <w:spacing w:after="0" w:line="264" w:lineRule="auto"/>
        <w:tabs>
          <w:tab w:leader="none" w:pos="195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In connection with any vote of the Company’s shareholders regarding a Business Combination, provide to the Trustee an affidavit or certificate of a firm regularly engaged in the business of soliciting proxies and/or tabulating shareholder votes verifying the vote of the Company’s shareholders regarding such Business Combination; and</w:t>
      </w:r>
    </w:p>
    <w:p>
      <w:pPr>
        <w:spacing w:after="0" w:line="181" w:lineRule="exact"/>
        <w:rPr>
          <w:rFonts w:ascii="Arial" w:cs="Arial" w:eastAsia="Arial" w:hAnsi="Arial"/>
          <w:sz w:val="18"/>
          <w:szCs w:val="18"/>
          <w:color w:val="auto"/>
        </w:rPr>
      </w:pPr>
    </w:p>
    <w:p>
      <w:pPr>
        <w:ind w:right="340" w:firstLine="1297"/>
        <w:spacing w:after="0" w:line="308" w:lineRule="auto"/>
        <w:tabs>
          <w:tab w:leader="none" w:pos="1946" w:val="left"/>
        </w:tabs>
        <w:numPr>
          <w:ilvl w:val="1"/>
          <w:numId w:val="121"/>
        </w:numPr>
        <w:rPr>
          <w:rFonts w:ascii="Arial" w:cs="Arial" w:eastAsia="Arial" w:hAnsi="Arial"/>
          <w:sz w:val="17"/>
          <w:szCs w:val="17"/>
          <w:color w:val="auto"/>
        </w:rPr>
      </w:pPr>
      <w:r>
        <w:rPr>
          <w:rFonts w:ascii="Arial" w:cs="Arial" w:eastAsia="Arial" w:hAnsi="Arial"/>
          <w:sz w:val="17"/>
          <w:szCs w:val="17"/>
          <w:color w:val="auto"/>
        </w:rPr>
        <w:t>In the event that the Company directs the Trustee to commence liquidation of the Trust Account pursuant to Section 1(i), the Company agrees that it will not direct the Trustee to make any payments that are not specifically authorized by this Agreement.</w:t>
      </w:r>
    </w:p>
    <w:p>
      <w:pPr>
        <w:spacing w:after="0" w:line="146" w:lineRule="exact"/>
        <w:rPr>
          <w:rFonts w:ascii="Arial" w:cs="Arial" w:eastAsia="Arial" w:hAnsi="Arial"/>
          <w:sz w:val="17"/>
          <w:szCs w:val="17"/>
          <w:color w:val="auto"/>
        </w:rPr>
      </w:pPr>
    </w:p>
    <w:p>
      <w:pPr>
        <w:ind w:left="580" w:hanging="580"/>
        <w:spacing w:after="0"/>
        <w:tabs>
          <w:tab w:leader="none" w:pos="58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right="260" w:firstLine="1297"/>
        <w:spacing w:after="0" w:line="277" w:lineRule="auto"/>
        <w:tabs>
          <w:tab w:leader="none" w:pos="1943"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Take any action with respect to the Property, other than as directed in paragraphs 1 and 2 hereof and the Trustee shall have no liability to any party except for liability arising out of its own gross negligence or willful misconduct;</w:t>
      </w:r>
    </w:p>
    <w:p>
      <w:pPr>
        <w:spacing w:after="0" w:line="170" w:lineRule="exact"/>
        <w:rPr>
          <w:rFonts w:ascii="Arial" w:cs="Arial" w:eastAsia="Arial" w:hAnsi="Arial"/>
          <w:sz w:val="18"/>
          <w:szCs w:val="18"/>
          <w:color w:val="auto"/>
        </w:rPr>
      </w:pPr>
    </w:p>
    <w:p>
      <w:pPr>
        <w:ind w:right="140" w:firstLine="1297"/>
        <w:spacing w:after="0" w:line="286" w:lineRule="auto"/>
        <w:tabs>
          <w:tab w:leader="none" w:pos="1956" w:val="left"/>
        </w:tabs>
        <w:numPr>
          <w:ilvl w:val="1"/>
          <w:numId w:val="122"/>
        </w:numPr>
        <w:rPr>
          <w:rFonts w:ascii="Arial" w:cs="Arial" w:eastAsia="Arial" w:hAnsi="Arial"/>
          <w:sz w:val="17"/>
          <w:szCs w:val="17"/>
          <w:color w:val="auto"/>
        </w:rPr>
      </w:pPr>
      <w:r>
        <w:rPr>
          <w:rFonts w:ascii="Arial" w:cs="Arial" w:eastAsia="Arial" w:hAnsi="Arial"/>
          <w:sz w:val="17"/>
          <w:szCs w:val="17"/>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65" w:lineRule="exact"/>
        <w:rPr>
          <w:rFonts w:ascii="Arial" w:cs="Arial" w:eastAsia="Arial" w:hAnsi="Arial"/>
          <w:sz w:val="17"/>
          <w:szCs w:val="17"/>
          <w:color w:val="auto"/>
        </w:rPr>
      </w:pPr>
    </w:p>
    <w:p>
      <w:pPr>
        <w:ind w:left="1940" w:hanging="643"/>
        <w:spacing w:after="0"/>
        <w:tabs>
          <w:tab w:leader="none" w:pos="19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Change the investment of any Property, other than in compliance with paragraph 1(c);</w:t>
      </w:r>
    </w:p>
    <w:p>
      <w:pPr>
        <w:spacing w:after="0" w:line="225" w:lineRule="exact"/>
        <w:rPr>
          <w:rFonts w:ascii="Arial" w:cs="Arial" w:eastAsia="Arial" w:hAnsi="Arial"/>
          <w:sz w:val="18"/>
          <w:szCs w:val="18"/>
          <w:color w:val="auto"/>
        </w:rPr>
      </w:pPr>
    </w:p>
    <w:p>
      <w:pPr>
        <w:ind w:left="1960" w:hanging="663"/>
        <w:spacing w:after="0"/>
        <w:tabs>
          <w:tab w:leader="none" w:pos="19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firstLine="1297"/>
        <w:spacing w:after="0" w:line="308" w:lineRule="auto"/>
        <w:tabs>
          <w:tab w:leader="none" w:pos="1936" w:val="left"/>
        </w:tabs>
        <w:numPr>
          <w:ilvl w:val="1"/>
          <w:numId w:val="122"/>
        </w:numPr>
        <w:rPr>
          <w:rFonts w:ascii="Arial" w:cs="Arial" w:eastAsia="Arial" w:hAnsi="Arial"/>
          <w:sz w:val="17"/>
          <w:szCs w:val="17"/>
          <w:color w:val="auto"/>
        </w:rPr>
      </w:pPr>
      <w:r>
        <w:rPr>
          <w:rFonts w:ascii="Arial" w:cs="Arial" w:eastAsia="Arial" w:hAnsi="Arial"/>
          <w:sz w:val="17"/>
          <w:szCs w:val="17"/>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46" w:lineRule="exact"/>
        <w:rPr>
          <w:rFonts w:ascii="Arial" w:cs="Arial" w:eastAsia="Arial" w:hAnsi="Arial"/>
          <w:sz w:val="17"/>
          <w:szCs w:val="17"/>
          <w:color w:val="auto"/>
        </w:rPr>
      </w:pPr>
    </w:p>
    <w:p>
      <w:pPr>
        <w:ind w:firstLine="1297"/>
        <w:spacing w:after="0" w:line="271" w:lineRule="auto"/>
        <w:tabs>
          <w:tab w:leader="none" w:pos="1923" w:val="left"/>
        </w:tabs>
        <w:numPr>
          <w:ilvl w:val="1"/>
          <w:numId w:val="122"/>
        </w:numPr>
        <w:rPr>
          <w:rFonts w:ascii="Arial" w:cs="Arial" w:eastAsia="Arial" w:hAnsi="Arial"/>
          <w:sz w:val="17"/>
          <w:szCs w:val="17"/>
          <w:color w:val="auto"/>
        </w:rPr>
      </w:pPr>
      <w:r>
        <w:rPr>
          <w:rFonts w:ascii="Arial" w:cs="Arial" w:eastAsia="Arial" w:hAnsi="Arial"/>
          <w:sz w:val="17"/>
          <w:szCs w:val="17"/>
          <w:color w:val="auto"/>
        </w:rPr>
        <w:t>The other parties hereto or to anyone else for any action taken or omitted by it, or any action suffered by it to be taken or omitted, in good faith and in the exercise of its own best judgment, except for its gross negligence or willful misconduct. The Trustee may rely conclusively and shall be protected in acting upon any order, notice, demand, certificate, opinion or advice of counsel (including counsel chosen by the Trustee), statement, instrument, report or other paper or document (not only as to its due execution and the validity and effectiveness of its provisions, but also as to the truth and acceptability of any information therein contained) which is believed by the Trustee, in good faith,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90" w:name="page191"/>
    <w:bookmarkEnd w:id="190"/>
    <w:p>
      <w:pPr>
        <w:ind w:right="20" w:firstLine="1297"/>
        <w:spacing w:after="0" w:line="277" w:lineRule="auto"/>
        <w:tabs>
          <w:tab w:leader="none" w:pos="1953" w:val="left"/>
        </w:tabs>
        <w:numPr>
          <w:ilvl w:val="1"/>
          <w:numId w:val="123"/>
        </w:numPr>
        <w:rPr>
          <w:rFonts w:ascii="Arial" w:cs="Arial" w:eastAsia="Arial" w:hAnsi="Arial"/>
          <w:sz w:val="18"/>
          <w:szCs w:val="18"/>
          <w:color w:val="auto"/>
        </w:rPr>
      </w:pPr>
      <w:r>
        <w:rPr>
          <w:rFonts w:ascii="Arial" w:cs="Arial" w:eastAsia="Arial" w:hAnsi="Arial"/>
          <w:sz w:val="18"/>
          <w:szCs w:val="18"/>
          <w:color w:val="auto"/>
        </w:rPr>
        <w:t>Verify the correctness of the information set forth in the Registration Statement or to confirm or assure that any acquisition made by the Company or any other action taken by it is as contemplated by the Registration Statement;</w:t>
      </w:r>
    </w:p>
    <w:p>
      <w:pPr>
        <w:spacing w:after="0" w:line="170" w:lineRule="exact"/>
        <w:rPr>
          <w:rFonts w:ascii="Arial" w:cs="Arial" w:eastAsia="Arial" w:hAnsi="Arial"/>
          <w:sz w:val="18"/>
          <w:szCs w:val="18"/>
          <w:color w:val="auto"/>
        </w:rPr>
      </w:pPr>
    </w:p>
    <w:p>
      <w:pPr>
        <w:ind w:right="300" w:firstLine="1297"/>
        <w:spacing w:after="0" w:line="264" w:lineRule="auto"/>
        <w:tabs>
          <w:tab w:leader="none" w:pos="195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File local, state and/or federal tax returns or information returns with any taxing authority on behalf of the Trust Account and payee statements with the Company documenting the taxes, if any, payable by the Company or the Trust Account, relating to the income earned on the Property;</w:t>
      </w:r>
    </w:p>
    <w:p>
      <w:pPr>
        <w:spacing w:after="0" w:line="181" w:lineRule="exact"/>
        <w:rPr>
          <w:rFonts w:ascii="Arial" w:cs="Arial" w:eastAsia="Arial" w:hAnsi="Arial"/>
          <w:sz w:val="18"/>
          <w:szCs w:val="18"/>
          <w:color w:val="auto"/>
        </w:rPr>
      </w:pPr>
    </w:p>
    <w:p>
      <w:pPr>
        <w:ind w:right="220" w:firstLine="1297"/>
        <w:spacing w:after="0" w:line="342" w:lineRule="auto"/>
        <w:tabs>
          <w:tab w:leader="none" w:pos="1916" w:val="left"/>
        </w:tabs>
        <w:numPr>
          <w:ilvl w:val="1"/>
          <w:numId w:val="123"/>
        </w:numPr>
        <w:rPr>
          <w:rFonts w:ascii="Arial" w:cs="Arial" w:eastAsia="Arial" w:hAnsi="Arial"/>
          <w:sz w:val="16"/>
          <w:szCs w:val="16"/>
          <w:color w:val="auto"/>
        </w:rPr>
      </w:pPr>
      <w:r>
        <w:rPr>
          <w:rFonts w:ascii="Arial" w:cs="Arial" w:eastAsia="Arial" w:hAnsi="Arial"/>
          <w:sz w:val="16"/>
          <w:szCs w:val="16"/>
          <w:color w:val="auto"/>
        </w:rPr>
        <w:t>Pay any taxes on behalf of the Trust Account (it being expressly understood that the Property shall not be used to pay any such taxes and that such taxes, if any, shall be paid by the Company from funds not held in the Trust Account or released to it under Section 2(a) hereof);</w:t>
      </w:r>
    </w:p>
    <w:p>
      <w:pPr>
        <w:spacing w:after="0" w:line="123" w:lineRule="exact"/>
        <w:rPr>
          <w:rFonts w:ascii="Arial" w:cs="Arial" w:eastAsia="Arial" w:hAnsi="Arial"/>
          <w:sz w:val="16"/>
          <w:szCs w:val="16"/>
          <w:color w:val="auto"/>
        </w:rPr>
      </w:pPr>
    </w:p>
    <w:p>
      <w:pPr>
        <w:ind w:right="60" w:firstLine="1297"/>
        <w:spacing w:after="0" w:line="277" w:lineRule="auto"/>
        <w:tabs>
          <w:tab w:leader="none" w:pos="191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 and</w:t>
      </w:r>
    </w:p>
    <w:p>
      <w:pPr>
        <w:spacing w:after="0" w:line="170" w:lineRule="exact"/>
        <w:rPr>
          <w:rFonts w:ascii="Arial" w:cs="Arial" w:eastAsia="Arial" w:hAnsi="Arial"/>
          <w:sz w:val="18"/>
          <w:szCs w:val="18"/>
          <w:color w:val="auto"/>
        </w:rPr>
      </w:pPr>
    </w:p>
    <w:p>
      <w:pPr>
        <w:ind w:left="1960" w:hanging="663"/>
        <w:spacing w:after="0"/>
        <w:tabs>
          <w:tab w:leader="none" w:pos="196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Verify calculations, qualify or otherwise approve Company requests for distributions pursuant to Section 1(i), 2(a) or 2(b) above.</w:t>
      </w:r>
    </w:p>
    <w:p>
      <w:pPr>
        <w:spacing w:after="0" w:line="248" w:lineRule="exact"/>
        <w:rPr>
          <w:rFonts w:ascii="Arial" w:cs="Arial" w:eastAsia="Arial" w:hAnsi="Arial"/>
          <w:sz w:val="16"/>
          <w:szCs w:val="16"/>
          <w:color w:val="auto"/>
        </w:rPr>
      </w:pPr>
    </w:p>
    <w:p>
      <w:pPr>
        <w:jc w:val="both"/>
        <w:spacing w:after="0" w:line="302" w:lineRule="auto"/>
        <w:tabs>
          <w:tab w:leader="none" w:pos="585"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Trust Account Waiver</w:t>
      </w:r>
      <w:r>
        <w:rPr>
          <w:rFonts w:ascii="Arial" w:cs="Arial" w:eastAsia="Arial" w:hAnsi="Arial"/>
          <w:sz w:val="16"/>
          <w:szCs w:val="16"/>
          <w:color w:val="auto"/>
        </w:rPr>
        <w:t>. The Trustee has no right of set-off or any right, title, interest or claim of any kind (“Claim”) to, or to any monies in, the Trust Account, and hereby irrevocably waives any Claim to, or to any monies in, the Trust Account that it may have now or in the future. In the event the Trustee has any Claim against the Company under this Agreement, including, without limitation, under Section 3(b) or Section 3(c) hereof, the Trustee shall pursue such Claim solely against the Company and its assets outside the Trust Account and not against the Property or any monies in the Trust Account.</w:t>
      </w:r>
    </w:p>
    <w:p>
      <w:pPr>
        <w:spacing w:after="0" w:line="154" w:lineRule="exact"/>
        <w:rPr>
          <w:rFonts w:ascii="Arial" w:cs="Arial" w:eastAsia="Arial" w:hAnsi="Arial"/>
          <w:sz w:val="16"/>
          <w:szCs w:val="16"/>
          <w:color w:val="auto"/>
        </w:rPr>
      </w:pPr>
    </w:p>
    <w:p>
      <w:pPr>
        <w:ind w:left="580" w:hanging="580"/>
        <w:spacing w:after="0"/>
        <w:tabs>
          <w:tab w:leader="none" w:pos="58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ind w:right="40" w:firstLine="1297"/>
        <w:spacing w:after="0" w:line="271" w:lineRule="auto"/>
        <w:tabs>
          <w:tab w:leader="none" w:pos="1946" w:val="left"/>
        </w:tabs>
        <w:numPr>
          <w:ilvl w:val="1"/>
          <w:numId w:val="124"/>
        </w:numPr>
        <w:rPr>
          <w:rFonts w:ascii="Arial" w:cs="Arial" w:eastAsia="Arial" w:hAnsi="Arial"/>
          <w:sz w:val="17"/>
          <w:szCs w:val="17"/>
          <w:color w:val="auto"/>
        </w:rPr>
      </w:pPr>
      <w:r>
        <w:rPr>
          <w:rFonts w:ascii="Arial" w:cs="Arial" w:eastAsia="Arial" w:hAnsi="Arial"/>
          <w:sz w:val="17"/>
          <w:szCs w:val="17"/>
          <w:color w:val="auto"/>
        </w:rPr>
        <w:t>If the Trustee gives written notice to the Company that it desires to resign under this Agreement, the Company shall use its reasonable efforts to locate a successor trustee during which time the Trustee shall act in accordance with this Agreement. At such time that the Company notifies the Trustee that a successor trustee has been appointed by the Company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provided, however, that, in the event that the Company does not locate a successor trustee within ninety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91" w:name="page192"/>
    <w:bookmarkEnd w:id="191"/>
    <w:p>
      <w:pPr>
        <w:jc w:val="both"/>
        <w:ind w:right="100" w:firstLine="1297"/>
        <w:spacing w:after="0" w:line="264" w:lineRule="auto"/>
        <w:tabs>
          <w:tab w:leader="none" w:pos="194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At such time that the Trustee has completed the liquidation of the Trust Account in accordance with the provisions of paragraph 1(i) hereof, and distributed the Property in accordance with the provisions of the Termination Letter, this Agreement shall terminate except with respect to Paragraph 3(b).</w:t>
      </w:r>
    </w:p>
    <w:p>
      <w:pPr>
        <w:spacing w:after="0" w:line="181" w:lineRule="exact"/>
        <w:rPr>
          <w:rFonts w:ascii="Arial" w:cs="Arial" w:eastAsia="Arial" w:hAnsi="Arial"/>
          <w:sz w:val="18"/>
          <w:szCs w:val="18"/>
          <w:color w:val="auto"/>
        </w:rPr>
      </w:pPr>
    </w:p>
    <w:p>
      <w:pPr>
        <w:ind w:left="580" w:hanging="580"/>
        <w:spacing w:after="0"/>
        <w:tabs>
          <w:tab w:leader="none" w:pos="58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297"/>
        <w:spacing w:after="0" w:line="293" w:lineRule="auto"/>
        <w:tabs>
          <w:tab w:leader="none" w:pos="1943"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information, or of any change in its authorized personnel. In executing funds transfers, the Trustee will rely upon all information supplied to it by the Company, including account names, account numbers and all other identifying information relating to a beneficiary, beneficiary’s bank or intermediary bank. The Trustee shall not be liable for any loss, liability or expense resulting from any error in the information or transmission of the wire.</w:t>
      </w:r>
    </w:p>
    <w:p>
      <w:pPr>
        <w:spacing w:after="0" w:line="164" w:lineRule="exact"/>
        <w:rPr>
          <w:rFonts w:ascii="Arial" w:cs="Arial" w:eastAsia="Arial" w:hAnsi="Arial"/>
          <w:sz w:val="16"/>
          <w:szCs w:val="16"/>
          <w:color w:val="auto"/>
        </w:rPr>
      </w:pPr>
    </w:p>
    <w:p>
      <w:pPr>
        <w:ind w:right="60" w:firstLine="1297"/>
        <w:spacing w:after="0" w:line="286" w:lineRule="auto"/>
        <w:tabs>
          <w:tab w:leader="none" w:pos="1953"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enforced in accordance with the laws of the State of New York, without giving effect to conflicts of law principles that would result in the application of the substantive laws of another jurisdiction. It may be executed in several original or facsimile counterparts, each one of which shall constitute an original, and together shall constitute but one instrument.</w:t>
      </w:r>
    </w:p>
    <w:p>
      <w:pPr>
        <w:spacing w:after="0" w:line="165" w:lineRule="exact"/>
        <w:rPr>
          <w:rFonts w:ascii="Arial" w:cs="Arial" w:eastAsia="Arial" w:hAnsi="Arial"/>
          <w:sz w:val="17"/>
          <w:szCs w:val="17"/>
          <w:color w:val="auto"/>
        </w:rPr>
      </w:pPr>
    </w:p>
    <w:p>
      <w:pPr>
        <w:ind w:firstLine="1297"/>
        <w:spacing w:after="0" w:line="255" w:lineRule="auto"/>
        <w:tabs>
          <w:tab w:leader="none" w:pos="194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This Agreement contains the entire agreement and understanding of the parties hereto with respect to the subject matter hereof. Except for Section 1(i) (which may only be amended with the approval of the holders of a majority of the shares of Common Stock sold in the IPO), this Agreement or any provision hereof may only be changed, amended or modified by a writing signed by each of the parties hereto; provided, however, that no such change, amendment or modification may be made without the prior written consent of Chardan. As to any claim, cross-claim or counterclaim in any way relating to this Agreement, each party waives the right to trial by jury. The Trustee may require from Company counsel an opinion as to the propriety of any proposed amendment.</w:t>
      </w:r>
    </w:p>
    <w:p>
      <w:pPr>
        <w:spacing w:after="0" w:line="193" w:lineRule="exact"/>
        <w:rPr>
          <w:rFonts w:ascii="Arial" w:cs="Arial" w:eastAsia="Arial" w:hAnsi="Arial"/>
          <w:sz w:val="18"/>
          <w:szCs w:val="18"/>
          <w:color w:val="auto"/>
        </w:rPr>
      </w:pPr>
    </w:p>
    <w:p>
      <w:pPr>
        <w:ind w:right="20" w:firstLine="1297"/>
        <w:spacing w:after="0" w:line="277" w:lineRule="auto"/>
        <w:tabs>
          <w:tab w:leader="none" w:pos="195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of New York, Borough of Manhattan, for purposes of resolving any disputes hereunder.</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92" w:name="page193"/>
    <w:bookmarkEnd w:id="192"/>
    <w:p>
      <w:pPr>
        <w:ind w:firstLine="1297"/>
        <w:spacing w:after="0" w:line="264" w:lineRule="auto"/>
        <w:tabs>
          <w:tab w:leader="none" w:pos="193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facsimile transmission: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No.:</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Joshua Sason, Chief Executive Officer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No.: (___) ___-____</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either case with a copy (which copy shall not constitute notice)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(646) 465 9039</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Mitchell S. Nussbaum, Esq.</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No.: (212) 407-4990</w:t>
      </w:r>
    </w:p>
    <w:p>
      <w:pPr>
        <w:spacing w:after="0" w:line="211" w:lineRule="exact"/>
        <w:rPr>
          <w:sz w:val="20"/>
          <w:szCs w:val="20"/>
          <w:color w:val="auto"/>
        </w:rPr>
      </w:pPr>
    </w:p>
    <w:p>
      <w:pPr>
        <w:ind w:left="1920" w:hanging="623"/>
        <w:spacing w:after="0"/>
        <w:tabs>
          <w:tab w:leader="none" w:pos="19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This Agreement may not be assigned by the Trustee without the prior consent of the Company.</w:t>
      </w:r>
    </w:p>
    <w:p>
      <w:pPr>
        <w:spacing w:after="0" w:line="225" w:lineRule="exact"/>
        <w:rPr>
          <w:rFonts w:ascii="Arial" w:cs="Arial" w:eastAsia="Arial" w:hAnsi="Arial"/>
          <w:sz w:val="18"/>
          <w:szCs w:val="18"/>
          <w:color w:val="auto"/>
        </w:rPr>
      </w:pPr>
    </w:p>
    <w:p>
      <w:pPr>
        <w:ind w:right="60" w:firstLine="1297"/>
        <w:spacing w:after="0" w:line="277" w:lineRule="auto"/>
        <w:tabs>
          <w:tab w:leader="none" w:pos="195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Each of the Trustee and the Company hereby represents that it has the full right and power and has been duly authorized to enter into this Agreement and to perform its respective obligations as contemplated hereunder.</w:t>
      </w:r>
    </w:p>
    <w:p>
      <w:pPr>
        <w:spacing w:after="0" w:line="170" w:lineRule="exact"/>
        <w:rPr>
          <w:rFonts w:ascii="Arial" w:cs="Arial" w:eastAsia="Arial" w:hAnsi="Arial"/>
          <w:sz w:val="18"/>
          <w:szCs w:val="18"/>
          <w:color w:val="auto"/>
        </w:rPr>
      </w:pPr>
    </w:p>
    <w:p>
      <w:pPr>
        <w:ind w:left="4720" w:right="760" w:hanging="3423"/>
        <w:spacing w:after="0" w:line="528" w:lineRule="auto"/>
        <w:tabs>
          <w:tab w:leader="none" w:pos="195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Each of the Company and the Trustee hereby acknowledge that Chardan is a third party beneficiary of this Agreement. [Signature Page Follows]</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93" w:name="page194"/>
    <w:bookmarkEnd w:id="193"/>
    <w:p>
      <w:pPr>
        <w:spacing w:after="0"/>
        <w:rPr>
          <w:sz w:val="20"/>
          <w:szCs w:val="20"/>
          <w:color w:val="auto"/>
        </w:rPr>
      </w:pPr>
      <w:r>
        <w:rPr>
          <w:rFonts w:ascii="Arial" w:cs="Arial" w:eastAsia="Arial" w:hAnsi="Arial"/>
          <w:sz w:val="16"/>
          <w:szCs w:val="16"/>
          <w:color w:val="auto"/>
        </w:rPr>
        <w:t>IN WITNESS WHEREOF, the parties have duly executed this Investment Management Trust Agreement as of the date first written above.</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CONTINENTAL STOCK TRANSFER &amp; TRUST COMPANY, as</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-130810</wp:posOffset>
            </wp:positionV>
            <wp:extent cx="295846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-130810</wp:posOffset>
            </wp:positionV>
            <wp:extent cx="295846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0"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139"/>
          </w:cols>
          <w:pgMar w:left="320" w:top="909" w:right="1440"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gridSpan w:val="2"/>
          </w:tcPr>
          <w:p>
            <w:pPr>
              <w:ind w:left="660"/>
              <w:spacing w:after="0"/>
              <w:rPr>
                <w:sz w:val="20"/>
                <w:szCs w:val="20"/>
                <w:color w:val="auto"/>
              </w:rPr>
            </w:pPr>
            <w:r>
              <w:rPr>
                <w:rFonts w:ascii="Arial" w:cs="Arial" w:eastAsia="Arial" w:hAnsi="Arial"/>
                <w:sz w:val="18"/>
                <w:szCs w:val="18"/>
                <w:b w:val="1"/>
                <w:bCs w:val="1"/>
                <w:color w:val="auto"/>
              </w:rPr>
              <w:t>SCHEDULE A</w:t>
            </w:r>
          </w:p>
        </w:tc>
        <w:tc>
          <w:tcPr>
            <w:tcW w:w="2480" w:type="dxa"/>
            <w:vAlign w:val="bottom"/>
          </w:tcPr>
          <w:p>
            <w:pPr>
              <w:spacing w:after="0"/>
              <w:rPr>
                <w:sz w:val="20"/>
                <w:szCs w:val="20"/>
                <w:color w:val="auto"/>
              </w:rPr>
            </w:pPr>
          </w:p>
        </w:tc>
      </w:tr>
      <w:tr>
        <w:trPr>
          <w:trHeight w:val="648"/>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Fee Item</w:t>
            </w:r>
          </w:p>
        </w:tc>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Time and method of payment</w:t>
            </w:r>
          </w:p>
        </w:tc>
        <w:tc>
          <w:tcPr>
            <w:tcW w:w="2480" w:type="dxa"/>
            <w:vAlign w:val="bottom"/>
          </w:tcPr>
          <w:p>
            <w:pPr>
              <w:ind w:left="20"/>
              <w:spacing w:after="0"/>
              <w:rPr>
                <w:sz w:val="20"/>
                <w:szCs w:val="20"/>
                <w:color w:val="auto"/>
              </w:rPr>
            </w:pPr>
            <w:r>
              <w:rPr>
                <w:rFonts w:ascii="Arial" w:cs="Arial" w:eastAsia="Arial" w:hAnsi="Arial"/>
                <w:sz w:val="18"/>
                <w:szCs w:val="18"/>
                <w:b w:val="1"/>
                <w:bCs w:val="1"/>
                <w:color w:val="auto"/>
              </w:rPr>
              <w:t>Amount</w:t>
            </w: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Initial acceptance fee</w:t>
            </w:r>
          </w:p>
        </w:tc>
        <w:tc>
          <w:tcPr>
            <w:tcW w:w="120" w:type="dxa"/>
            <w:vAlign w:val="bottom"/>
            <w:tcBorders>
              <w:top w:val="single" w:sz="8" w:color="CCEEFF"/>
            </w:tcBorders>
            <w:shd w:val="clear" w:color="auto" w:fill="CCEEFF"/>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Initial closing of IPO by wire transfer</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[$2,000]</w:t>
            </w:r>
          </w:p>
        </w:tc>
      </w:tr>
      <w:tr>
        <w:trPr>
          <w:trHeight w:val="202"/>
        </w:trPr>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rPr>
              <w:t>Annual fee</w:t>
            </w:r>
          </w:p>
        </w:tc>
        <w:tc>
          <w:tcPr>
            <w:tcW w:w="4380" w:type="dxa"/>
            <w:vAlign w:val="bottom"/>
            <w:gridSpan w:val="2"/>
          </w:tcPr>
          <w:p>
            <w:pPr>
              <w:spacing w:after="0" w:line="201" w:lineRule="exact"/>
              <w:rPr>
                <w:sz w:val="20"/>
                <w:szCs w:val="20"/>
                <w:color w:val="auto"/>
              </w:rPr>
            </w:pPr>
            <w:r>
              <w:rPr>
                <w:rFonts w:ascii="Arial" w:cs="Arial" w:eastAsia="Arial" w:hAnsi="Arial"/>
                <w:sz w:val="18"/>
                <w:szCs w:val="18"/>
                <w:color w:val="auto"/>
                <w:w w:val="95"/>
              </w:rPr>
              <w:t>First year, initial closing of IPO by wire transfer; thereafter</w:t>
            </w:r>
          </w:p>
        </w:tc>
        <w:tc>
          <w:tcPr>
            <w:tcW w:w="2480" w:type="dxa"/>
            <w:vAlign w:val="bottom"/>
          </w:tcPr>
          <w:p>
            <w:pPr>
              <w:ind w:left="20"/>
              <w:spacing w:after="0" w:line="201" w:lineRule="exact"/>
              <w:rPr>
                <w:sz w:val="20"/>
                <w:szCs w:val="20"/>
                <w:color w:val="auto"/>
              </w:rPr>
            </w:pPr>
            <w:r>
              <w:rPr>
                <w:rFonts w:ascii="Arial" w:cs="Arial" w:eastAsia="Arial" w:hAnsi="Arial"/>
                <w:sz w:val="18"/>
                <w:szCs w:val="18"/>
                <w:color w:val="auto"/>
              </w:rPr>
              <w:t>[$10,000]</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5"/>
              </w:rPr>
              <w:t>on the anniversary of the effective date of the IPO by wire</w:t>
            </w:r>
          </w:p>
        </w:tc>
        <w:tc>
          <w:tcPr>
            <w:tcW w:w="2480" w:type="dxa"/>
            <w:vAlign w:val="bottom"/>
          </w:tcPr>
          <w:p>
            <w:pPr>
              <w:spacing w:after="0"/>
              <w:rPr>
                <w:sz w:val="18"/>
                <w:szCs w:val="18"/>
                <w:color w:val="auto"/>
              </w:rPr>
            </w:pPr>
          </w:p>
        </w:tc>
      </w:tr>
      <w:tr>
        <w:trPr>
          <w:trHeight w:val="230"/>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transfer or check</w:t>
            </w:r>
          </w:p>
        </w:tc>
        <w:tc>
          <w:tcPr>
            <w:tcW w:w="2480" w:type="dxa"/>
            <w:vAlign w:val="bottom"/>
          </w:tcPr>
          <w:p>
            <w:pPr>
              <w:spacing w:after="0"/>
              <w:rPr>
                <w:sz w:val="20"/>
                <w:szCs w:val="20"/>
                <w:color w:val="auto"/>
              </w:rPr>
            </w:pPr>
          </w:p>
        </w:tc>
      </w:tr>
      <w:tr>
        <w:trPr>
          <w:trHeight w:val="202"/>
        </w:trPr>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Transaction processing fee for disbursements to Company</w:t>
            </w:r>
          </w:p>
        </w:tc>
        <w:tc>
          <w:tcPr>
            <w:tcW w:w="4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Deduction by Trustee from accumulated income following</w:t>
            </w:r>
          </w:p>
        </w:tc>
        <w:tc>
          <w:tcPr>
            <w:tcW w:w="24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[$250]</w:t>
            </w:r>
          </w:p>
        </w:tc>
      </w:tr>
      <w:tr>
        <w:trPr>
          <w:trHeight w:val="23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 Section 2</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disbursement made to Company under Section 2</w:t>
            </w:r>
          </w:p>
        </w:tc>
        <w:tc>
          <w:tcPr>
            <w:tcW w:w="2480" w:type="dxa"/>
            <w:vAlign w:val="bottom"/>
            <w:shd w:val="clear" w:color="auto" w:fill="CCEEFF"/>
          </w:tcPr>
          <w:p>
            <w:pPr>
              <w:spacing w:after="0"/>
              <w:rPr>
                <w:sz w:val="20"/>
                <w:szCs w:val="20"/>
                <w:color w:val="auto"/>
              </w:rPr>
            </w:pPr>
          </w:p>
        </w:tc>
      </w:tr>
      <w:tr>
        <w:trPr>
          <w:trHeight w:val="202"/>
        </w:trPr>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w w:val="94"/>
              </w:rPr>
              <w:t>Paying Agent services as required pursuant to section 1(i)</w:t>
            </w:r>
          </w:p>
        </w:tc>
        <w:tc>
          <w:tcPr>
            <w:tcW w:w="4380" w:type="dxa"/>
            <w:vAlign w:val="bottom"/>
            <w:gridSpan w:val="2"/>
          </w:tcPr>
          <w:p>
            <w:pPr>
              <w:spacing w:after="0" w:line="201" w:lineRule="exact"/>
              <w:rPr>
                <w:sz w:val="20"/>
                <w:szCs w:val="20"/>
                <w:color w:val="auto"/>
              </w:rPr>
            </w:pPr>
            <w:r>
              <w:rPr>
                <w:rFonts w:ascii="Arial" w:cs="Arial" w:eastAsia="Arial" w:hAnsi="Arial"/>
                <w:sz w:val="18"/>
                <w:szCs w:val="18"/>
                <w:color w:val="auto"/>
              </w:rPr>
              <w:t>Billed to Company upon delivery of service pursuant to</w:t>
            </w:r>
          </w:p>
        </w:tc>
        <w:tc>
          <w:tcPr>
            <w:tcW w:w="2480" w:type="dxa"/>
            <w:vAlign w:val="bottom"/>
          </w:tcPr>
          <w:p>
            <w:pPr>
              <w:ind w:left="20"/>
              <w:spacing w:after="0" w:line="201" w:lineRule="exact"/>
              <w:rPr>
                <w:sz w:val="20"/>
                <w:szCs w:val="20"/>
                <w:color w:val="auto"/>
              </w:rPr>
            </w:pPr>
            <w:r>
              <w:rPr>
                <w:rFonts w:ascii="Arial" w:cs="Arial" w:eastAsia="Arial" w:hAnsi="Arial"/>
                <w:sz w:val="18"/>
                <w:szCs w:val="18"/>
                <w:color w:val="auto"/>
              </w:rPr>
              <w:t>Prevailing rates</w:t>
            </w:r>
          </w:p>
        </w:tc>
      </w:tr>
      <w:tr>
        <w:trPr>
          <w:trHeight w:val="230"/>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section 1(i)</w:t>
            </w:r>
          </w:p>
        </w:tc>
        <w:tc>
          <w:tcPr>
            <w:tcW w:w="2480" w:type="dxa"/>
            <w:vAlign w:val="bottom"/>
          </w:tcPr>
          <w:p>
            <w:pPr>
              <w:spacing w:after="0"/>
              <w:rPr>
                <w:sz w:val="20"/>
                <w:szCs w:val="20"/>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195" w:name="page196"/>
    <w:bookmarkEnd w:id="195"/>
    <w:p>
      <w:pPr>
        <w:ind w:left="1032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Attn:</w:t>
            </w:r>
          </w:p>
        </w:tc>
        <w:tc>
          <w:tcPr>
            <w:tcW w:w="4180" w:type="dxa"/>
            <w:vAlign w:val="bottom"/>
          </w:tcPr>
          <w:p>
            <w:pPr>
              <w:spacing w:after="0"/>
              <w:rPr>
                <w:sz w:val="20"/>
                <w:szCs w:val="20"/>
                <w:color w:val="auto"/>
              </w:rPr>
            </w:pPr>
          </w:p>
        </w:tc>
      </w:tr>
      <w:tr>
        <w:trPr>
          <w:trHeight w:val="392"/>
        </w:trPr>
        <w:tc>
          <w:tcPr>
            <w:tcW w:w="1940" w:type="dxa"/>
            <w:vAlign w:val="bottom"/>
          </w:tcPr>
          <w:p>
            <w:pPr>
              <w:ind w:left="1300"/>
              <w:spacing w:after="0"/>
              <w:rPr>
                <w:sz w:val="20"/>
                <w:szCs w:val="20"/>
                <w:color w:val="auto"/>
              </w:rPr>
            </w:pPr>
            <w:r>
              <w:rPr>
                <w:rFonts w:ascii="Arial" w:cs="Arial" w:eastAsia="Arial" w:hAnsi="Arial"/>
                <w:sz w:val="18"/>
                <w:szCs w:val="18"/>
                <w:color w:val="auto"/>
              </w:rPr>
              <w:t>Re:</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Trust Account No. [_____________] - Termination Letter</w:t>
            </w:r>
          </w:p>
        </w:tc>
      </w:tr>
      <w:tr>
        <w:trPr>
          <w:trHeight w:val="453"/>
        </w:trPr>
        <w:tc>
          <w:tcPr>
            <w:tcW w:w="1940" w:type="dxa"/>
            <w:vAlign w:val="bottom"/>
          </w:tcPr>
          <w:p>
            <w:pPr>
              <w:spacing w:after="0"/>
              <w:rPr>
                <w:sz w:val="20"/>
                <w:szCs w:val="20"/>
                <w:color w:val="auto"/>
              </w:rPr>
            </w:pPr>
            <w:r>
              <w:rPr>
                <w:rFonts w:ascii="Arial" w:cs="Arial" w:eastAsia="Arial" w:hAnsi="Arial"/>
                <w:sz w:val="18"/>
                <w:szCs w:val="18"/>
                <w:color w:val="auto"/>
              </w:rPr>
              <w:t>Gentlemen:</w:t>
            </w:r>
          </w:p>
        </w:tc>
        <w:tc>
          <w:tcPr>
            <w:tcW w:w="4180" w:type="dxa"/>
            <w:vAlign w:val="bottom"/>
          </w:tcPr>
          <w:p>
            <w:pPr>
              <w:spacing w:after="0"/>
              <w:rPr>
                <w:sz w:val="24"/>
                <w:szCs w:val="24"/>
                <w:color w:val="auto"/>
              </w:rPr>
            </w:pPr>
          </w:p>
        </w:tc>
      </w:tr>
    </w:tbl>
    <w:p>
      <w:pPr>
        <w:spacing w:after="0" w:line="20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Pursuant to paragraph 1(i) of the Investment Management Trust Agreement between M I Acquisitions, Inc. (“Company”) and Continental Stock Transfer &amp; Trust Company (“Trustee”), dated as of [________], 2016 (“Trust Agreement”), this is to advise you that the Company has entered into an</w:t>
      </w:r>
    </w:p>
    <w:p>
      <w:pPr>
        <w:spacing w:after="0"/>
        <w:rPr>
          <w:sz w:val="20"/>
          <w:szCs w:val="20"/>
          <w:color w:val="auto"/>
        </w:rPr>
      </w:pPr>
      <w:r>
        <w:rPr>
          <w:rFonts w:ascii="Arial" w:cs="Arial" w:eastAsia="Arial" w:hAnsi="Arial"/>
          <w:sz w:val="16"/>
          <w:szCs w:val="16"/>
          <w:color w:val="auto"/>
        </w:rPr>
        <w:t>agreement with [__________________] (“Target Business”) to consummate a business combination with Target Business (“Business Combination”) on or</w:t>
      </w:r>
    </w:p>
    <w:p>
      <w:pPr>
        <w:spacing w:after="0" w:line="3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about </w:t>
      </w:r>
      <w:r>
        <w:rPr>
          <w:rFonts w:ascii="Arial" w:cs="Arial" w:eastAsia="Arial" w:hAnsi="Arial"/>
          <w:sz w:val="17"/>
          <w:szCs w:val="17"/>
          <w:b w:val="1"/>
          <w:bCs w:val="1"/>
          <w:color w:val="auto"/>
        </w:rPr>
        <w:t>[insert date]</w:t>
      </w:r>
      <w:r>
        <w:rPr>
          <w:rFonts w:ascii="Arial" w:cs="Arial" w:eastAsia="Arial" w:hAnsi="Arial"/>
          <w:sz w:val="17"/>
          <w:szCs w:val="17"/>
          <w:color w:val="auto"/>
        </w:rPr>
        <w:t>. The Company shall notify you at least 48 hours in advance of the actual date of the consummation of the Business Combination (“Consummation Date”). Capitalized terms used herein and not otherwise defined shall have the meanings set forth in the Trust Agreement.</w:t>
      </w:r>
    </w:p>
    <w:p>
      <w:pPr>
        <w:spacing w:after="0" w:line="16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In accordance with the terms of the Trust Agreement, we hereby authorize you to liquidate the Trust Account investments on [__________] and to transfer the proceeds to the above-referenced account at [______________] to the effect that, on the Consummation Date, all of funds</w:t>
      </w:r>
    </w:p>
    <w:p>
      <w:pPr>
        <w:jc w:val="both"/>
        <w:spacing w:after="0" w:line="255" w:lineRule="auto"/>
        <w:rPr>
          <w:sz w:val="20"/>
          <w:szCs w:val="20"/>
          <w:color w:val="auto"/>
        </w:rPr>
      </w:pPr>
      <w:r>
        <w:rPr>
          <w:rFonts w:ascii="Arial" w:cs="Arial" w:eastAsia="Arial" w:hAnsi="Arial"/>
          <w:sz w:val="18"/>
          <w:szCs w:val="18"/>
          <w:color w:val="auto"/>
        </w:rPr>
        <w:t>held in the Trust Account will be immediately available for transfer to the account or accounts that the Company shall direct on the Consummation Date. It is acknowledged and agreed that while the funds are on deposit in the trust account awaiting distribution, the Company will not earn any interest or dividends.</w:t>
      </w:r>
    </w:p>
    <w:p>
      <w:pPr>
        <w:spacing w:after="0" w:line="190"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color w:val="auto"/>
        </w:rPr>
        <w:t>On the Consummation Date (i) counsel for the Company shall deliver to you written notification that the Business Combination has been consummated and (ii) the Company shall deliver to you (a) [an affidavit] [a certificate] of [__________________], which verifies the vote of the</w:t>
      </w:r>
    </w:p>
    <w:p>
      <w:pPr>
        <w:jc w:val="both"/>
        <w:spacing w:after="0" w:line="252" w:lineRule="auto"/>
        <w:rPr>
          <w:sz w:val="20"/>
          <w:szCs w:val="20"/>
          <w:color w:val="auto"/>
        </w:rPr>
      </w:pPr>
      <w:r>
        <w:rPr>
          <w:rFonts w:ascii="Arial" w:cs="Arial" w:eastAsia="Arial" w:hAnsi="Arial"/>
          <w:sz w:val="18"/>
          <w:szCs w:val="18"/>
          <w:color w:val="auto"/>
        </w:rPr>
        <w:t>Company’s shareholders in connection with the Business Combination if a vote is held and (b) joint written instructions from the Company and Chardan Capital Markets LLC with respect to the transfer of the funds held in the Trust Account (“Instruction Letter”). You are hereby directed and authorized to transfer the funds held in the Trust Account immediately upon your receipt of the counsel’s letter and the Instruction Letter, in accordance with the terms of the Instruction Letter. In the event that certain deposits held in the Trust Account may not be liquidated by the Consummation Date without penalty, you will notify the Company of the same and the Company shall direct you as to whether such funds should remain in the Trust Account and distributed after the Consummation Date to the Company. Upon the distribution of all the funds in the Trust Account pursuant to the terms hereof, the Trust Agreement shall be terminated.</w:t>
      </w:r>
    </w:p>
    <w:p>
      <w:pPr>
        <w:spacing w:after="0" w:line="19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the Trust Agreement on the business day immediately following the Consummation Date as set forth in the notice.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196" w:name="page197"/>
    <w:bookmarkEnd w:id="196"/>
    <w:p>
      <w:pPr>
        <w:ind w:left="4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_______________,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-116205</wp:posOffset>
            </wp:positionV>
            <wp:extent cx="30187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-130810</wp:posOffset>
            </wp:positionV>
            <wp:extent cx="30187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-130810</wp:posOffset>
            </wp:positionV>
            <wp:extent cx="185229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[______________]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Pursuant to paragraph 1(i) of the Investment Management Trust Agreement between M I Acquisitions, Inc. (“Company”) and Continental Stock Transfer &amp; Trust Company (“Trustee”), dated as of [________], 2016 (“Trust Agreement”), this is to advise you that the Company has been unable to</w:t>
      </w:r>
    </w:p>
    <w:p>
      <w:pPr>
        <w:jc w:val="both"/>
        <w:spacing w:after="0" w:line="255" w:lineRule="auto"/>
        <w:rPr>
          <w:sz w:val="20"/>
          <w:szCs w:val="20"/>
          <w:color w:val="auto"/>
        </w:rPr>
      </w:pPr>
      <w:r>
        <w:rPr>
          <w:rFonts w:ascii="Arial" w:cs="Arial" w:eastAsia="Arial" w:hAnsi="Arial"/>
          <w:sz w:val="18"/>
          <w:szCs w:val="18"/>
          <w:color w:val="auto"/>
        </w:rPr>
        <w:t>effect a Business Combination with a Target Company within the time frame specified in the Company’s Amended and Restated Certificate of Incorporation, as described in the Company’s prospectus relating to its IPO. Capitalized terms used herein and not otherwise defined shall have the meanings set forth in the Trust Agreement.</w:t>
      </w:r>
    </w:p>
    <w:p>
      <w:pPr>
        <w:spacing w:after="0" w:line="19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In accordance with the terms of the Trust Agreement, we hereby authorize you to liquidate all the Trust Account investments on [______________] and to transfer the total proceeds to the Trust Checking Account at [_________] to await distribution to the Public Shareholders. The</w:t>
      </w:r>
    </w:p>
    <w:p>
      <w:pPr>
        <w:spacing w:after="0"/>
        <w:rPr>
          <w:sz w:val="20"/>
          <w:szCs w:val="20"/>
          <w:color w:val="auto"/>
        </w:rPr>
      </w:pPr>
      <w:r>
        <w:rPr>
          <w:rFonts w:ascii="Arial" w:cs="Arial" w:eastAsia="Arial" w:hAnsi="Arial"/>
          <w:sz w:val="16"/>
          <w:szCs w:val="16"/>
          <w:color w:val="auto"/>
        </w:rPr>
        <w:t>Company has selected [____________, 20__] as the record date for the purpose of determining the Public Shareholders entitled to receive their share of the</w:t>
      </w:r>
    </w:p>
    <w:p>
      <w:pPr>
        <w:spacing w:after="0" w:line="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liquidation proceeds. It is acknowledged that no interest will be earned by the Company on the liquidation proceeds while on deposit in the Trust Checking Account. You agree to be the Paying Agent of record and in your separate capacity as Paying Agent, to distribute said funds directly to the Public Shareholders in accordance with the terms of the Trust Agreement and the Amended and Restated Certificate of Incorporation of the Company. Upon the distribution of all the funds in the Trust Account, your obligations under the Trust Agreement shall be terminated.</w:t>
      </w:r>
    </w:p>
    <w:p>
      <w:pPr>
        <w:spacing w:after="0" w:line="1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_______________,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-130810</wp:posOffset>
            </wp:positionV>
            <wp:extent cx="30187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-130810</wp:posOffset>
            </wp:positionV>
            <wp:extent cx="30187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Attn:</w:t>
            </w:r>
          </w:p>
        </w:tc>
        <w:tc>
          <w:tcPr>
            <w:tcW w:w="2500" w:type="dxa"/>
            <w:vAlign w:val="bottom"/>
          </w:tcPr>
          <w:p>
            <w:pPr>
              <w:spacing w:after="0"/>
              <w:rPr>
                <w:sz w:val="20"/>
                <w:szCs w:val="20"/>
                <w:color w:val="auto"/>
              </w:rPr>
            </w:pPr>
          </w:p>
        </w:tc>
      </w:tr>
      <w:tr>
        <w:trPr>
          <w:trHeight w:val="392"/>
        </w:trPr>
        <w:tc>
          <w:tcPr>
            <w:tcW w:w="1940" w:type="dxa"/>
            <w:vAlign w:val="bottom"/>
          </w:tcPr>
          <w:p>
            <w:pPr>
              <w:ind w:left="1300"/>
              <w:spacing w:after="0"/>
              <w:rPr>
                <w:sz w:val="20"/>
                <w:szCs w:val="20"/>
                <w:color w:val="auto"/>
              </w:rPr>
            </w:pPr>
            <w:r>
              <w:rPr>
                <w:rFonts w:ascii="Arial" w:cs="Arial" w:eastAsia="Arial" w:hAnsi="Arial"/>
                <w:sz w:val="18"/>
                <w:szCs w:val="18"/>
                <w:color w:val="auto"/>
              </w:rPr>
              <w:t>Re:</w:t>
            </w:r>
          </w:p>
        </w:tc>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Trust Account No. [___________]</w:t>
            </w:r>
          </w:p>
        </w:tc>
      </w:tr>
      <w:tr>
        <w:trPr>
          <w:trHeight w:val="453"/>
        </w:trPr>
        <w:tc>
          <w:tcPr>
            <w:tcW w:w="1940" w:type="dxa"/>
            <w:vAlign w:val="bottom"/>
          </w:tcPr>
          <w:p>
            <w:pPr>
              <w:spacing w:after="0"/>
              <w:rPr>
                <w:sz w:val="20"/>
                <w:szCs w:val="20"/>
                <w:color w:val="auto"/>
              </w:rPr>
            </w:pPr>
            <w:r>
              <w:rPr>
                <w:rFonts w:ascii="Arial" w:cs="Arial" w:eastAsia="Arial" w:hAnsi="Arial"/>
                <w:sz w:val="18"/>
                <w:szCs w:val="18"/>
                <w:color w:val="auto"/>
              </w:rPr>
              <w:t>Gentlemen:</w:t>
            </w:r>
          </w:p>
        </w:tc>
        <w:tc>
          <w:tcPr>
            <w:tcW w:w="2500" w:type="dxa"/>
            <w:vAlign w:val="bottom"/>
          </w:tcPr>
          <w:p>
            <w:pPr>
              <w:spacing w:after="0"/>
              <w:rPr>
                <w:sz w:val="24"/>
                <w:szCs w:val="24"/>
                <w:color w:val="auto"/>
              </w:rPr>
            </w:pPr>
          </w:p>
        </w:tc>
      </w:tr>
    </w:tbl>
    <w:p>
      <w:pPr>
        <w:spacing w:after="0" w:line="202"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Pursuant to paragraph 2(a) of the Investment Management Trust Agreement between M I Acquisitions, Inc. (“Company”) and Continental Stock Transfer &amp; Trust Company (“Trustee”), dated as of [________], 2016 (“Trust Agreement”), the Company hereby requests that you deliver to the</w:t>
      </w:r>
    </w:p>
    <w:p>
      <w:pPr>
        <w:spacing w:after="0"/>
        <w:rPr>
          <w:sz w:val="20"/>
          <w:szCs w:val="20"/>
          <w:color w:val="auto"/>
        </w:rPr>
      </w:pPr>
      <w:r>
        <w:rPr>
          <w:rFonts w:ascii="Arial" w:cs="Arial" w:eastAsia="Arial" w:hAnsi="Arial"/>
          <w:sz w:val="16"/>
          <w:szCs w:val="16"/>
          <w:color w:val="auto"/>
        </w:rPr>
        <w:t>Company [$_______] of the interest income earned on the Property as of the date hereof. The Company needs such funds to pay for its tax obligations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of such interest income. In accordance with the terms of the Trust Agreement, you are hereby directed and authorized to transfer (via wire transfer)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funds promptly upon your receipt of this letter to the Company’s operating account at: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[WIRE INSTRUCTION INFORMATION]</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_______________,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-130810</wp:posOffset>
            </wp:positionV>
            <wp:extent cx="30187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-130810</wp:posOffset>
            </wp:positionV>
            <wp:extent cx="30187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Attn:</w:t>
            </w:r>
          </w:p>
        </w:tc>
        <w:tc>
          <w:tcPr>
            <w:tcW w:w="2760" w:type="dxa"/>
            <w:vAlign w:val="bottom"/>
          </w:tcPr>
          <w:p>
            <w:pPr>
              <w:spacing w:after="0"/>
              <w:rPr>
                <w:sz w:val="20"/>
                <w:szCs w:val="20"/>
                <w:color w:val="auto"/>
              </w:rPr>
            </w:pPr>
          </w:p>
        </w:tc>
      </w:tr>
      <w:tr>
        <w:trPr>
          <w:trHeight w:val="392"/>
        </w:trPr>
        <w:tc>
          <w:tcPr>
            <w:tcW w:w="1940" w:type="dxa"/>
            <w:vAlign w:val="bottom"/>
          </w:tcPr>
          <w:p>
            <w:pPr>
              <w:ind w:left="1300"/>
              <w:spacing w:after="0"/>
              <w:rPr>
                <w:sz w:val="20"/>
                <w:szCs w:val="20"/>
                <w:color w:val="auto"/>
              </w:rPr>
            </w:pPr>
            <w:r>
              <w:rPr>
                <w:rFonts w:ascii="Arial" w:cs="Arial" w:eastAsia="Arial" w:hAnsi="Arial"/>
                <w:sz w:val="18"/>
                <w:szCs w:val="18"/>
                <w:color w:val="auto"/>
              </w:rPr>
              <w:t>Re:</w:t>
            </w:r>
          </w:p>
        </w:tc>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Trust Account No. [______________]</w:t>
            </w:r>
          </w:p>
        </w:tc>
      </w:tr>
      <w:tr>
        <w:trPr>
          <w:trHeight w:val="453"/>
        </w:trPr>
        <w:tc>
          <w:tcPr>
            <w:tcW w:w="1940" w:type="dxa"/>
            <w:vAlign w:val="bottom"/>
          </w:tcPr>
          <w:p>
            <w:pPr>
              <w:spacing w:after="0"/>
              <w:rPr>
                <w:sz w:val="20"/>
                <w:szCs w:val="20"/>
                <w:color w:val="auto"/>
              </w:rPr>
            </w:pPr>
            <w:r>
              <w:rPr>
                <w:rFonts w:ascii="Arial" w:cs="Arial" w:eastAsia="Arial" w:hAnsi="Arial"/>
                <w:sz w:val="18"/>
                <w:szCs w:val="18"/>
                <w:color w:val="auto"/>
              </w:rPr>
              <w:t>Gentlemen:</w:t>
            </w:r>
          </w:p>
        </w:tc>
        <w:tc>
          <w:tcPr>
            <w:tcW w:w="2760" w:type="dxa"/>
            <w:vAlign w:val="bottom"/>
          </w:tcPr>
          <w:p>
            <w:pPr>
              <w:spacing w:after="0"/>
              <w:rPr>
                <w:sz w:val="24"/>
                <w:szCs w:val="24"/>
                <w:color w:val="auto"/>
              </w:rPr>
            </w:pPr>
          </w:p>
        </w:tc>
      </w:tr>
    </w:tbl>
    <w:p>
      <w:pPr>
        <w:spacing w:after="0" w:line="202"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Pursuant to paragraph 2(b) of the Investment Management Trust Agreement between M I Acquisitions, Inc. (“Company”) and Continental Stock Transfer &amp; Trust Company (“Trustee”), dated as of [________], 2016 (“Trust Agreement”), the Company hereby requests that you deliver to the</w:t>
      </w:r>
    </w:p>
    <w:p>
      <w:pPr>
        <w:spacing w:after="0"/>
        <w:rPr>
          <w:sz w:val="20"/>
          <w:szCs w:val="20"/>
          <w:color w:val="auto"/>
        </w:rPr>
      </w:pPr>
      <w:r>
        <w:rPr>
          <w:rFonts w:ascii="Arial" w:cs="Arial" w:eastAsia="Arial" w:hAnsi="Arial"/>
          <w:sz w:val="16"/>
          <w:szCs w:val="16"/>
          <w:color w:val="auto"/>
        </w:rPr>
        <w:t>Company [$_______] of the interest income earned on the Property as of the date hereof. The Company needs such funds to cover its expenses relating to</w:t>
      </w:r>
    </w:p>
    <w:p>
      <w:pPr>
        <w:spacing w:after="0" w:line="32"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investigating and selecting a target business and other working capital requirements. In accordance with the terms of the Trust Agreement, you are hereby directed and authorized to transfer (via wire transfer) such funds promptly upon your receipt of this letter to the Company’s operating account at: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[WIRE INSTRUCTION INFORMATION]</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_______________,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-130810</wp:posOffset>
            </wp:positionV>
            <wp:extent cx="30187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-130810</wp:posOffset>
            </wp:positionV>
            <wp:extent cx="30187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200" w:name="page201"/>
    <w:bookmarkEnd w:id="200"/>
    <w:p>
      <w:pPr>
        <w:jc w:val="right"/>
        <w:spacing w:after="0"/>
        <w:rPr>
          <w:sz w:val="20"/>
          <w:szCs w:val="20"/>
          <w:color w:val="auto"/>
        </w:rPr>
      </w:pPr>
      <w:r>
        <w:rPr>
          <w:rFonts w:ascii="Arial" w:cs="Arial" w:eastAsia="Arial" w:hAnsi="Arial"/>
          <w:sz w:val="22"/>
          <w:szCs w:val="22"/>
          <w:b w:val="1"/>
          <w:bCs w:val="1"/>
          <w:color w:val="auto"/>
        </w:rPr>
        <w:t>Exhibit 10.4</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ESCROW AGREEMENT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STOCK ESCROW AGREEMENT, dated as of [________], 2016 (“Agreement”), by and among M I ACQUISITIONS, INC., a Delaware</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corporation (“Company”), M SPAC LLC, a Delaware Company (“M SPAC”), M SPAC Holdings I LLC, a Delaware Company (“M SPAC I”) and M SPAC Holdings II LLC, a Delaware Company (“M SPAC II”), (M SPAC, M SPAC I and M SPAC II, each an “Initial Shareholder”, collectively “Initial Shareholders”) and CONTINENTAL STOCK TRANSFER &amp; TRUST COMPANY, a New York corporation (“Escrow Agent”).</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Company has entered into an Underwriting Agreement, dated as of [________], 2016 (“Underwriting Agreement”), with</w:t>
      </w:r>
    </w:p>
    <w:p>
      <w:pPr>
        <w:spacing w:after="0" w:line="4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Chardan Capital Markets LLC (“Chardan”) acting as representative of the several underwriters (collectively, the “Underwriters”), pursuant to which, among other matters, the Underwriters have agreed to purchase 5,000,000 units (“Units”) of the Company, plus an additional 750,000 Units if the Underwriters exercise their over-allotment option in full. Each Unit consists of one share of Common Stock of the Company, par value $0.001 per share (the “Common Stock”), one warrant entitling the holder thereof to purchase one share of our Common Stock at an exercise price of $12.00 per share, all as more fully described in the Company’s final Prospectus, dated [________], 2016 (“Prospectus”), comprising part of the Company’s Registration Statement on Form 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1 (File No. 333-_______) under the Securities Act of 1933, as amended (“Registration Statement”), declared effective on [________], 2016 (“Effective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200" w:firstLine="1297"/>
        <w:spacing w:after="0" w:line="342" w:lineRule="auto"/>
        <w:rPr>
          <w:sz w:val="20"/>
          <w:szCs w:val="20"/>
          <w:color w:val="auto"/>
        </w:rPr>
      </w:pPr>
      <w:r>
        <w:rPr>
          <w:rFonts w:ascii="Arial" w:cs="Arial" w:eastAsia="Arial" w:hAnsi="Arial"/>
          <w:sz w:val="16"/>
          <w:szCs w:val="16"/>
          <w:color w:val="auto"/>
        </w:rPr>
        <w:t>WHEREAS, the Initial Shareholders have agreed as a condition of the sale of the Units to deposit their Insider Shares (as defined in the Prospectus), as set forth opposite their respective names in Exhibit A attached hereto (collectively “Escrow Shares”), in escrow as hereinafter provided.</w:t>
      </w:r>
    </w:p>
    <w:p>
      <w:pPr>
        <w:spacing w:after="0" w:line="124"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WHEREAS, the Company and the Initial Shareholders desire that the Escrow Agent accept the Escrow Shares, in escrow, to be held and disbursed as hereinafter provided.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 IS AGREED:</w:t>
      </w:r>
    </w:p>
    <w:p>
      <w:pPr>
        <w:spacing w:after="0" w:line="225" w:lineRule="exact"/>
        <w:rPr>
          <w:sz w:val="20"/>
          <w:szCs w:val="20"/>
          <w:color w:val="auto"/>
        </w:rPr>
      </w:pPr>
    </w:p>
    <w:p>
      <w:pPr>
        <w:ind w:right="20" w:firstLine="648"/>
        <w:spacing w:after="0" w:line="264" w:lineRule="auto"/>
        <w:tabs>
          <w:tab w:leader="none" w:pos="1278"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Appointment of Escrow Agent</w:t>
      </w:r>
      <w:r>
        <w:rPr>
          <w:rFonts w:ascii="Arial" w:cs="Arial" w:eastAsia="Arial" w:hAnsi="Arial"/>
          <w:sz w:val="18"/>
          <w:szCs w:val="18"/>
          <w:color w:val="auto"/>
        </w:rPr>
        <w:t>. The Company and the Initial Shareholders hereby appoint the Escrow Agent to act in accordance with and subject to the terms of this Agreement and the Escrow Agent hereby accepts such appointment and agrees to act in accordance with and subject to such terms.</w:t>
      </w:r>
    </w:p>
    <w:p>
      <w:pPr>
        <w:spacing w:after="0" w:line="181" w:lineRule="exact"/>
        <w:rPr>
          <w:rFonts w:ascii="Arial" w:cs="Arial" w:eastAsia="Arial" w:hAnsi="Arial"/>
          <w:sz w:val="18"/>
          <w:szCs w:val="18"/>
          <w:color w:val="auto"/>
        </w:rPr>
      </w:pPr>
    </w:p>
    <w:p>
      <w:pPr>
        <w:ind w:right="180" w:firstLine="648"/>
        <w:spacing w:after="0" w:line="259" w:lineRule="auto"/>
        <w:tabs>
          <w:tab w:leader="none" w:pos="1278"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Deposit of Escrow Shares</w:t>
      </w:r>
      <w:r>
        <w:rPr>
          <w:rFonts w:ascii="Arial" w:cs="Arial" w:eastAsia="Arial" w:hAnsi="Arial"/>
          <w:sz w:val="18"/>
          <w:szCs w:val="18"/>
          <w:color w:val="auto"/>
        </w:rPr>
        <w:t>. On or prior to the date hereof, each of the Initial Shareholders delivered to the Escrow Agent certificates representing such Initial Shareholder’s respective Escrow Shares, together with applicable share powers, to be held and disbursed subject to the terms and conditions of this Agreement. Each of the Initial Shareholders acknowledges that the certificate representing such Initial Shareholder’s Escrow Shares is legended to reflect the deposit of such Escrow Shares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419100</wp:posOffset>
            </wp:positionV>
            <wp:extent cx="716089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201" w:name="page202"/>
    <w:bookmarkEnd w:id="201"/>
    <w:p>
      <w:pPr>
        <w:ind w:left="1280" w:hanging="632"/>
        <w:spacing w:after="0"/>
        <w:tabs>
          <w:tab w:leader="none" w:pos="128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Disbursement of the Escrow Shares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3.1 The Escrow Agent shall hold the Escrow Shares during the period (the “Escrow Period”) commencing on the date hereof and (i) for 50% of the Escrow Shares, ending on the earlier of (x) six months after the date of the consummation of the Company’s initial business combination (as described in the Registration Statement, hereinafter a “Business Combination”) and (y) the date on which the closing price of the Common Stock equals or exceeds $12.50 per share (as adjusted for stock splits, stock dividends, reorganizations and recapitalizations) for any 20 trading days within any 30-trading day period commencing after the Company’s initial Business Combination and (ii) for the remaining 50% of the Escrow Shares, ending six months after the date of the consummation of an initial Business Combination. The Company shall promptly provide notice of the consummation of a Business Combination to the Escrow Agent. Upon completion of the Escrow Period, the Escrow Agent shall disburse such amount of each Initial Shareholder’s Escrow Shares (and any applicable share power) to such Initial Shareholder; provided, however, that if the Escrow Agent is notified by the Company pursuant to Section 6.7 hereof that the Company is being liquidated at any time during the Escrow Period, then the Escrow Agent shall promptly destroy the certificates representing the Escrow Shares; provided further, however, that if, within six months after the Company consummates a Business Combination, the Company (or the surviving entity) subsequently consummates a liquidation, merger, stock exchange or other similar transaction which results in all of the shareholders of such entity having the right to exchange their shares of Common Stock for cash, securities or other property, then the Escrow Agent will, upon receipt of a notice executed by the Chairman of the Board, Chief Executive Officer or other authorized officer of the Company, in form reasonably acceptable to the Escrow Agent, certifying that such transaction is then being consummated or such conditions have been achieved, as applicable, release the Escrow Shares to the Initial Shareholders. The Escrow Agent shall have no further duties hereunder after the disbursement or destruction of the Escrow Shares in accordance with this Section 3.</w:t>
      </w:r>
    </w:p>
    <w:p>
      <w:pPr>
        <w:spacing w:after="0" w:line="181"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3.2 Notwithstanding Section 3.1, if the Underwriters do not exercise their over-allotment option to purchase an additional 750,000 Units of the Company in full within 45 days of the date of the Prospectus (as described in the Underwriting Agreement), the Initial Shareholders agree that the Escrow Agent shall return to the Company for cancellation, at no cost, the number of Escrow Shares held by each such holder determined by multiplying (a) the product of (i) 187,500 multiplied by (ii) a fraction, (x) the numerator of which is the number of Escrow Shares held by each such holder, and (y) the denominator of which is the total number of Escrow Shares, by (b) a fraction, (i) the numerator of which is 750,000 minus the number of shares of Common Stock purchased by the Underwriters upon the exercise of their over-allotment option, and (ii) the denominator of which is 750,000. The Company shall promptly provide notice to the Escrow Agent of the expiration or termination of the Underwriters’ over-allotment option and the number of Units, if any, purchased by the Underwriters in connection with their exercise thereof.</w:t>
      </w:r>
    </w:p>
    <w:p>
      <w:pPr>
        <w:spacing w:after="0" w:line="179" w:lineRule="exact"/>
        <w:rPr>
          <w:sz w:val="20"/>
          <w:szCs w:val="20"/>
          <w:color w:val="auto"/>
        </w:rPr>
      </w:pPr>
    </w:p>
    <w:p>
      <w:pPr>
        <w:ind w:left="1280" w:hanging="632"/>
        <w:spacing w:after="0"/>
        <w:tabs>
          <w:tab w:leader="none" w:pos="12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Rights of Initial Shareholders in Escrow Shares</w:t>
      </w:r>
      <w:r>
        <w:rPr>
          <w:rFonts w:ascii="Arial" w:cs="Arial" w:eastAsia="Arial" w:hAnsi="Arial"/>
          <w:sz w:val="18"/>
          <w:szCs w:val="18"/>
          <w:color w:val="auto"/>
        </w:rPr>
        <w:t>.</w:t>
      </w:r>
    </w:p>
    <w:p>
      <w:pPr>
        <w:spacing w:after="0" w:line="225"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Voting Rights as a Shareholder</w:t>
      </w:r>
      <w:r>
        <w:rPr>
          <w:rFonts w:ascii="Arial" w:cs="Arial" w:eastAsia="Arial" w:hAnsi="Arial"/>
          <w:sz w:val="18"/>
          <w:szCs w:val="18"/>
          <w:color w:val="auto"/>
        </w:rPr>
        <w:t>. Subject to the terms of the Insider Letters described in Section 4.4 hereof and except as herein provided, the Initial Shareholders shall retain all of their rights as shareholders of the Company during the Escrow Period, including, without limitation, the right to vote such shares.</w:t>
      </w:r>
    </w:p>
    <w:p>
      <w:pPr>
        <w:spacing w:after="0" w:line="181"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Dividends and Other Distributions in Respect of the Escrow Shares</w:t>
      </w:r>
      <w:r>
        <w:rPr>
          <w:rFonts w:ascii="Arial" w:cs="Arial" w:eastAsia="Arial" w:hAnsi="Arial"/>
          <w:sz w:val="18"/>
          <w:szCs w:val="18"/>
          <w:color w:val="auto"/>
        </w:rPr>
        <w:t>. During the Escrow Period, all dividends payable in cash with respect to the Escrow Shares shall be paid to the Initial Shareholders, but all dividends payable in stock or other non-cash property (“Non-Cash Dividends”) shall be delivered to the Escrow Agent to hold in accordance with the terms hereof. As used herein, the term “Escrow Shares” shall be deemed to include the Non-Cash Dividends distributed thereon, if any.</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202" w:name="page203"/>
    <w:bookmarkEnd w:id="202"/>
    <w:p>
      <w:pPr>
        <w:ind w:firstLine="1297"/>
        <w:spacing w:after="0" w:line="270"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Restrictions on Transfer</w:t>
      </w:r>
      <w:r>
        <w:rPr>
          <w:rFonts w:ascii="Arial" w:cs="Arial" w:eastAsia="Arial" w:hAnsi="Arial"/>
          <w:sz w:val="17"/>
          <w:szCs w:val="17"/>
          <w:color w:val="auto"/>
        </w:rPr>
        <w:t>. During the Escrow Period, the only permitted transfers of the Escrow Shares will be (i) to the Company’s pre-IPO stockholders, or to the Company’s officers, directors, advisors and employees, (ii) if the Initial Shareholder is an entity, as a distribution to partners, members or shareholders of the Initial Shareholder upon the liquidation and dissolution of the Initial Shareholder, (iii) by bona fide gift to a member of the Initial Shareholder’s immediate family or to a trust, the beneficiary of which is the Initial Shareholder or a member of the Initial Shareholder’s immediate family for estate planning purposes, (iv) by virtue of the laws of descent and distribution upon death of the Initial Shareholder, (v) pursuant to a qualified domestic relations order, (vi) by private sales made in connection with the consummation of a Business Combination at prices no greater than the price at which the Private Units were originally purchased or (vii) to the Company for cancellation in accordance with Section 3.2 above or in connection with the consummation of a Business Combination, in each case, except for clause (vii), on the condition that such transfers may be implemented only upon the respective transferee’s written agreement to be bound by the terms and conditions of this Agreement and of the Insider Letter (as defined below) signed by the Initial Shareholder transferring the Escrow Shares.</w:t>
      </w:r>
    </w:p>
    <w:p>
      <w:pPr>
        <w:spacing w:after="0" w:line="178" w:lineRule="exact"/>
        <w:rPr>
          <w:sz w:val="20"/>
          <w:szCs w:val="20"/>
          <w:color w:val="auto"/>
        </w:rPr>
      </w:pPr>
    </w:p>
    <w:p>
      <w:pPr>
        <w:ind w:right="520" w:firstLine="1297"/>
        <w:spacing w:after="0" w:line="28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Insider Letters</w:t>
      </w:r>
      <w:r>
        <w:rPr>
          <w:rFonts w:ascii="Arial" w:cs="Arial" w:eastAsia="Arial" w:hAnsi="Arial"/>
          <w:sz w:val="17"/>
          <w:szCs w:val="17"/>
          <w:color w:val="auto"/>
        </w:rPr>
        <w:t>. Each of the Initial Shareholders has executed a letter agreement with Chardan and the Company, dated as indicated on Exhibit A hereto, and the form of which is filed as an exhibit to the Registration Statement (“Insider Letter”), respecting the rights and obligations of such Initial Shareholder in certain events, including but not limited to the liquidation of the Company.</w:t>
      </w:r>
    </w:p>
    <w:p>
      <w:pPr>
        <w:spacing w:after="0" w:line="166" w:lineRule="exact"/>
        <w:rPr>
          <w:sz w:val="20"/>
          <w:szCs w:val="20"/>
          <w:color w:val="auto"/>
        </w:rPr>
      </w:pPr>
    </w:p>
    <w:p>
      <w:pPr>
        <w:ind w:left="1280" w:hanging="632"/>
        <w:spacing w:after="0"/>
        <w:tabs>
          <w:tab w:leader="none" w:pos="128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Concerning the Escrow Agent</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Good Faith Reliance</w:t>
      </w:r>
      <w:r>
        <w:rPr>
          <w:rFonts w:ascii="Arial" w:cs="Arial" w:eastAsia="Arial" w:hAnsi="Arial"/>
          <w:sz w:val="16"/>
          <w:szCs w:val="16"/>
          <w:color w:val="auto"/>
        </w:rPr>
        <w:t>. The Escrow Agent shall not be liable for any action taken or omitted by it in good faith and in the exercise of its own best judgment,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03" w:name="page204"/>
    <w:bookmarkEnd w:id="203"/>
    <w:p>
      <w:pPr>
        <w:ind w:firstLine="1297"/>
        <w:spacing w:after="0" w:line="27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Escrow Agent shall be indemnified and held harmless by the Company from and against any expenses, including counsel fees and disbursements, or loss suffered by the Escrow Agent in connection with any action, suit or other proceeding involving any claim which in any way, directly or indirectly, arises out of or relates to this Agreement, the services of the Escrow Agent hereunder, or the Escrow Shares held by it hereunder, other than expenses or losses arising from the gross negligence or willful misconduct of the Escrow Agent. Promptly after the receipt by the Escrow Agent of notice of any demand or claim or the commencement of any action, suit or proceeding, the Escrow Agent shall notify the other parties hereto in writing. In the event of the receipt of such notice, the Escrow Agent, in its sole discretion, may commence an action in the nature of interpleader in an appropriate court to determine ownership or disposition of the Escrow Shares or it may deposit the Escrow Shares with the clerk of any appropriate court or it may retain the Escrow Shares pending receipt of a final, non appealable order of a court having jurisdiction over all of the parties hereto directing to whom and under what circumstances the Escrow Shares are to be disbursed and delivered. The provisions of this Section 5.2 shall survive in the event the Escrow Agent resigns or is discharged pursuant to Sections 5.5 or 5.6 below.</w:t>
      </w:r>
    </w:p>
    <w:p>
      <w:pPr>
        <w:spacing w:after="0" w:line="178" w:lineRule="exact"/>
        <w:rPr>
          <w:sz w:val="20"/>
          <w:szCs w:val="20"/>
          <w:color w:val="auto"/>
        </w:rPr>
      </w:pPr>
    </w:p>
    <w:p>
      <w:pPr>
        <w:jc w:val="both"/>
        <w:ind w:right="40" w:firstLine="1297"/>
        <w:spacing w:after="0" w:line="31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Compensation</w:t>
      </w:r>
      <w:r>
        <w:rPr>
          <w:rFonts w:ascii="Arial" w:cs="Arial" w:eastAsia="Arial" w:hAnsi="Arial"/>
          <w:sz w:val="16"/>
          <w:szCs w:val="16"/>
          <w:color w:val="auto"/>
        </w:rPr>
        <w:t>. The Escrow Agent shall be entitled to reasonable compensation from the Company for all services rendered by it hereunder. The Escrow Agent shall also be entitled to reimbursement from the Company for all expenses paid or incurred by it in the administration of its duties hereunder including, but not limited to, all counsel, advisors’ and agents’ fees and disbursements and all taxes or other governmental charges.</w:t>
      </w:r>
    </w:p>
    <w:p>
      <w:pPr>
        <w:spacing w:after="0" w:line="147"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on and after the date hereof, the Company and the Initial Shareholders shall deliver or cause to be delivered to the Escrow Agent such further documents and instruments and shall do or cause to be done such further acts as the Escrow Agent shall reasonably request to carry out more effectively the provisions and purposes of this Agreement, to evidence compliance herewith or to assure itself that it is protected in acting hereunder.</w:t>
      </w:r>
    </w:p>
    <w:p>
      <w:pPr>
        <w:spacing w:after="0" w:line="187"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Resignation</w:t>
      </w:r>
      <w:r>
        <w:rPr>
          <w:rFonts w:ascii="Arial" w:cs="Arial" w:eastAsia="Arial" w:hAnsi="Arial"/>
          <w:sz w:val="18"/>
          <w:szCs w:val="18"/>
          <w:color w:val="auto"/>
        </w:rPr>
        <w:t>. The Escrow Agent may resign at any time and be discharged from its duties as escrow agent hereunder by its giving the other parties hereto written notice and such resignation shall become effective as hereinafter provided. Such resignation shall become effective at such time that the Escrow Agent shall turn over to a successor escrow agent appointed by the Company, the Escrow Shares held hereunder. If no new escrow agent is so appointed within the 60 day period following the giving of such notice of resignation, the Escrow Agent may deposit the Escrow Shares with any court it reasonably deems appropriate.</w:t>
      </w:r>
    </w:p>
    <w:p>
      <w:pPr>
        <w:spacing w:after="0" w:line="188"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Discharge of Escrow Agent</w:t>
      </w:r>
      <w:r>
        <w:rPr>
          <w:rFonts w:ascii="Arial" w:cs="Arial" w:eastAsia="Arial" w:hAnsi="Arial"/>
          <w:sz w:val="18"/>
          <w:szCs w:val="18"/>
          <w:color w:val="auto"/>
        </w:rPr>
        <w:t>. The Escrow Agent shall resign and be discharged from its duties as escrow agent hereunder if so requested in writing at any time by the other parties hereto, jointly, provided, however, that such resignation shall become effective only upon acceptance of appointment by a successor escrow agent as provided in Section 5.5.</w:t>
      </w:r>
    </w:p>
    <w:p>
      <w:pPr>
        <w:spacing w:after="0" w:line="181"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Liability</w:t>
      </w:r>
      <w:r>
        <w:rPr>
          <w:rFonts w:ascii="Arial" w:cs="Arial" w:eastAsia="Arial" w:hAnsi="Arial"/>
          <w:sz w:val="18"/>
          <w:szCs w:val="18"/>
          <w:color w:val="auto"/>
        </w:rPr>
        <w:t>. Notwithstanding anything herein to the contrary, the Escrow Agent shall not be relieved from liability hereunder for its own gross negligence or its own willful misconduct.</w:t>
      </w:r>
    </w:p>
    <w:p>
      <w:pPr>
        <w:spacing w:after="0" w:line="170"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Waiver</w:t>
      </w:r>
      <w:r>
        <w:rPr>
          <w:rFonts w:ascii="Arial" w:cs="Arial" w:eastAsia="Arial" w:hAnsi="Arial"/>
          <w:sz w:val="18"/>
          <w:szCs w:val="18"/>
          <w:color w:val="auto"/>
        </w:rPr>
        <w:t>. The Escrow Agent hereby waives any right of set-off or any other right, title, interest or claim of any kind (“Claim”) in, or to any distribution of, the Trust Account (as defined in that certain Investment Management Trust Agreement, dated as of the date hereof, by and between the Company and the Escrow Agent as trustee thereunder) and hereby agrees not to seek recourse, reimbursement, payment or satisfaction for any Claim against the Trust Account for any reason whatsoever.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04" w:name="page205"/>
    <w:bookmarkEnd w:id="204"/>
    <w:p>
      <w:pPr>
        <w:ind w:left="1280" w:hanging="632"/>
        <w:spacing w:after="0"/>
        <w:tabs>
          <w:tab w:leader="none" w:pos="128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for all purposes be deemed to be made under and shall be construed in accordance with the laws of the State of New York, without giving effect to conflicts of law principles that would result in the application of the substantive laws of another jurisdiction.</w:t>
      </w:r>
    </w:p>
    <w:p>
      <w:pPr>
        <w:spacing w:after="0" w:line="181"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Each of the Initial Shareholders hereby acknowledges that Chardan is a third party beneficiaries of this Agreement and this Agreement may not be modified or changed without the prior written consent of Chardan.</w:t>
      </w:r>
    </w:p>
    <w:p>
      <w:pPr>
        <w:spacing w:after="0" w:line="170" w:lineRule="exact"/>
        <w:rPr>
          <w:sz w:val="20"/>
          <w:szCs w:val="20"/>
          <w:color w:val="auto"/>
        </w:rPr>
      </w:pPr>
    </w:p>
    <w:p>
      <w:pPr>
        <w:ind w:right="40" w:firstLine="1297"/>
        <w:spacing w:after="0" w:line="34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contains the entire agreement of the parties hereto with respect to the subject matter hereof and, except as expressly provided herein, may not be changed or modified except by an instrument in writing signed by the party to the charged.</w:t>
      </w:r>
    </w:p>
    <w:p>
      <w:pPr>
        <w:spacing w:after="0" w:line="124"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affect in any way the meaning or interpretation thereof.</w:t>
      </w:r>
    </w:p>
    <w:p>
      <w:pPr>
        <w:spacing w:after="0" w:line="170"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respective parties hereto and their legal representatives, successors and assigns.</w:t>
      </w:r>
    </w:p>
    <w:p>
      <w:pPr>
        <w:spacing w:after="0" w:line="170"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which may be given hereunder shall be in writing and either be delivered personally or be mailed, certified or registered mail, or by private national courier service, return receipt requested, postage prepaid, and shall be deemed given when so delivered personally or, if mailed, two days after the date of mailing, as follows: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Chief Executive Officer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a Shareholder, to his address set forth in Exhibit 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if to the Escrow Agent,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160"/>
          </w:cols>
          <w:pgMar w:left="320" w:top="909" w:right="419" w:bottom="1440" w:gutter="0" w:footer="0" w:header="0"/>
        </w:sectPr>
      </w:pPr>
    </w:p>
    <w:bookmarkStart w:id="205" w:name="page206"/>
    <w:bookmarkEnd w:id="205"/>
    <w:p>
      <w:pPr>
        <w:ind w:left="1300"/>
        <w:spacing w:after="0"/>
        <w:rPr>
          <w:sz w:val="20"/>
          <w:szCs w:val="20"/>
          <w:color w:val="auto"/>
        </w:rPr>
      </w:pPr>
      <w:r>
        <w:rPr>
          <w:rFonts w:ascii="Arial" w:cs="Arial" w:eastAsia="Arial" w:hAnsi="Arial"/>
          <w:sz w:val="18"/>
          <w:szCs w:val="18"/>
          <w:color w:val="auto"/>
        </w:rPr>
        <w:t>A copy (which copy shall not constitute notice) sent hereunder shall be sent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Chardan Capital Markets LLC</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[_______________________]</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Mitchell S. Nussbaum, Esq.</w:t>
      </w:r>
    </w:p>
    <w:p>
      <w:pPr>
        <w:spacing w:after="0" w:line="21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parties may change the persons and addresses to which the notices or other communications are to be sent by giving written notice to any such change in the manner provided herein for giving notice.</w:t>
      </w:r>
    </w:p>
    <w:p>
      <w:pPr>
        <w:spacing w:after="0" w:line="170" w:lineRule="exact"/>
        <w:rPr>
          <w:sz w:val="20"/>
          <w:szCs w:val="20"/>
          <w:color w:val="auto"/>
        </w:rPr>
      </w:pPr>
    </w:p>
    <w:p>
      <w:pPr>
        <w:ind w:right="100" w:firstLine="1297"/>
        <w:spacing w:after="0" w:line="308"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Liquidation of the Company</w:t>
      </w:r>
      <w:r>
        <w:rPr>
          <w:rFonts w:ascii="Arial" w:cs="Arial" w:eastAsia="Arial" w:hAnsi="Arial"/>
          <w:sz w:val="17"/>
          <w:szCs w:val="17"/>
          <w:color w:val="auto"/>
        </w:rPr>
        <w:t>. The Company shall give the Escrow Agent written notification of the liquidation and dissolution of the Company in the event that the Company fails to consummate a Business Combination within the time period specified in the Prospectus.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00"/>
          </w:cols>
          <w:pgMar w:left="320" w:top="909" w:right="379" w:bottom="1440" w:gutter="0" w:footer="0" w:header="0"/>
        </w:sectPr>
      </w:pPr>
    </w:p>
    <w:bookmarkStart w:id="206" w:name="page207"/>
    <w:bookmarkEnd w:id="206"/>
    <w:p>
      <w:pPr>
        <w:ind w:left="180"/>
        <w:spacing w:after="0"/>
        <w:rPr>
          <w:sz w:val="20"/>
          <w:szCs w:val="20"/>
          <w:color w:val="auto"/>
        </w:rPr>
      </w:pPr>
      <w:r>
        <w:rPr>
          <w:rFonts w:ascii="Arial" w:cs="Arial" w:eastAsia="Arial" w:hAnsi="Arial"/>
          <w:sz w:val="18"/>
          <w:szCs w:val="18"/>
          <w:color w:val="auto"/>
        </w:rPr>
        <w:t>WITNESS the execution of this Agreement as of the date first above written.</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-130810</wp:posOffset>
            </wp:positionV>
            <wp:extent cx="321564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INITIAL SHAREHOLDERS:</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 SPAC LLC</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-130810</wp:posOffset>
            </wp:positionV>
            <wp:extent cx="321564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 SPAC Holdings I LLC</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-130810</wp:posOffset>
            </wp:positionV>
            <wp:extent cx="321564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 SPAC Holdings II LLC</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-130810</wp:posOffset>
            </wp:positionV>
            <wp:extent cx="321564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-130810</wp:posOffset>
            </wp:positionV>
            <wp:extent cx="321564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0"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7620</wp:posOffset>
            </wp:positionV>
            <wp:extent cx="716089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9660"/>
          </w:cols>
          <w:pgMar w:left="1440" w:top="908" w:right="79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3980" w:type="dxa"/>
            <w:vAlign w:val="bottom"/>
            <w:gridSpan w:val="4"/>
          </w:tcPr>
          <w:p>
            <w:pPr>
              <w:ind w:left="1800"/>
              <w:spacing w:after="0"/>
              <w:rPr>
                <w:sz w:val="20"/>
                <w:szCs w:val="20"/>
                <w:color w:val="auto"/>
              </w:rPr>
            </w:pPr>
            <w:r>
              <w:rPr>
                <w:rFonts w:ascii="Arial" w:cs="Arial" w:eastAsia="Arial" w:hAnsi="Arial"/>
                <w:sz w:val="18"/>
                <w:szCs w:val="18"/>
                <w:b w:val="1"/>
                <w:bCs w:val="1"/>
                <w:color w:val="auto"/>
              </w:rPr>
              <w:t>EXHIBIT A</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Name and Address of</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Number</w:t>
            </w: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Share</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Date of</w:t>
            </w:r>
          </w:p>
        </w:tc>
        <w:tc>
          <w:tcPr>
            <w:tcW w:w="20" w:type="dxa"/>
            <w:vAlign w:val="bottom"/>
          </w:tcPr>
          <w:p>
            <w:pPr>
              <w:spacing w:after="0"/>
              <w:rPr>
                <w:sz w:val="24"/>
                <w:szCs w:val="24"/>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Initial Shareholder</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of Shares</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Certificate Number</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Insider Letter</w:t>
            </w:r>
          </w:p>
        </w:tc>
        <w:tc>
          <w:tcPr>
            <w:tcW w:w="20" w:type="dxa"/>
            <w:vAlign w:val="bottom"/>
          </w:tcPr>
          <w:p>
            <w:pPr>
              <w:spacing w:after="0"/>
              <w:rPr>
                <w:sz w:val="20"/>
                <w:szCs w:val="20"/>
                <w:color w:val="auto"/>
              </w:rPr>
            </w:pPr>
          </w:p>
        </w:tc>
      </w:tr>
      <w:tr>
        <w:trPr>
          <w:trHeight w:val="196"/>
        </w:trPr>
        <w:tc>
          <w:tcPr>
            <w:tcW w:w="336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675"/>
        </w:trPr>
        <w:tc>
          <w:tcPr>
            <w:tcW w:w="3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20" w:top="689" w:right="29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REGISTRATION RIGHTS AGREEMENT (this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is entered into as of the [__] day of [________], 2016, by and among M I</w:t>
      </w:r>
    </w:p>
    <w:p>
      <w:pPr>
        <w:spacing w:after="0" w:line="39"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Acquisitions,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the undersigned parties listed under Investor on the signature page hereto (each, an “Investor” and collectively, the “</w:t>
      </w:r>
      <w:r>
        <w:rPr>
          <w:rFonts w:ascii="Arial" w:cs="Arial" w:eastAsia="Arial" w:hAnsi="Arial"/>
          <w:sz w:val="18"/>
          <w:szCs w:val="18"/>
          <w:b w:val="1"/>
          <w:bCs w:val="1"/>
          <w:u w:val="single" w:color="auto"/>
          <w:color w:val="auto"/>
        </w:rPr>
        <w:t>Investors</w:t>
      </w:r>
      <w:r>
        <w:rPr>
          <w:rFonts w:ascii="Arial" w:cs="Arial" w:eastAsia="Arial" w:hAnsi="Arial"/>
          <w:sz w:val="18"/>
          <w:szCs w:val="18"/>
          <w:color w:val="auto"/>
        </w:rPr>
        <w:t>”).</w:t>
      </w:r>
    </w:p>
    <w:p>
      <w:pPr>
        <w:spacing w:after="0" w:line="184"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WHEREAS, the Investors and the Company desire to enter into this Agreement to provide the Investors with certain rights relating to the registration of the securities held by them as of the date hereof;</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1240" w:hanging="592"/>
        <w:spacing w:after="0"/>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capitalized terms used herein have the following meanings:</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Agreement, as amended, restated, supplemented, or otherwise modified from time to time.</w:t>
      </w:r>
    </w:p>
    <w:p>
      <w:pPr>
        <w:spacing w:after="0" w:line="225" w:lineRule="exact"/>
        <w:rPr>
          <w:sz w:val="20"/>
          <w:szCs w:val="20"/>
          <w:color w:val="auto"/>
        </w:rPr>
      </w:pPr>
    </w:p>
    <w:p>
      <w:pPr>
        <w:ind w:right="6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Business Combination</w:t>
      </w:r>
      <w:r>
        <w:rPr>
          <w:rFonts w:ascii="Arial" w:cs="Arial" w:eastAsia="Arial" w:hAnsi="Arial"/>
          <w:sz w:val="17"/>
          <w:szCs w:val="17"/>
          <w:color w:val="auto"/>
        </w:rPr>
        <w:t>” means the acquisition of direct or indirect ownership through a merger, share exchange, asset acquisition, share purchase, recapitalization, reorganization or other similar type of transaction, of one or more businesses or entities.</w:t>
      </w:r>
    </w:p>
    <w:p>
      <w:pPr>
        <w:spacing w:after="0" w:line="138"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Securities and Exchange Commission, or any other Federal agency then administering the Securities Act or the Exchange Act.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par value $0.001 per share, of the Company.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 Registration</w:t>
      </w:r>
      <w:r>
        <w:rPr>
          <w:rFonts w:ascii="Arial" w:cs="Arial" w:eastAsia="Arial" w:hAnsi="Arial"/>
          <w:sz w:val="18"/>
          <w:szCs w:val="18"/>
          <w:color w:val="auto"/>
        </w:rPr>
        <w:t>” is defined in Section 2.1.1.</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Demanding Holder</w:t>
      </w:r>
      <w:r>
        <w:rPr>
          <w:rFonts w:ascii="Arial" w:cs="Arial" w:eastAsia="Arial" w:hAnsi="Arial"/>
          <w:sz w:val="18"/>
          <w:szCs w:val="18"/>
          <w:color w:val="auto"/>
        </w:rPr>
        <w:t>” is defined in Section 2.1.1.</w:t>
      </w:r>
    </w:p>
    <w:p>
      <w:pPr>
        <w:spacing w:after="0" w:line="225"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and the rules and regulations of the Commission promulgated thereunder, all as the same shall be in effect at the time.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S-3</w:t>
      </w:r>
      <w:r>
        <w:rPr>
          <w:rFonts w:ascii="Arial" w:cs="Arial" w:eastAsia="Arial" w:hAnsi="Arial"/>
          <w:sz w:val="18"/>
          <w:szCs w:val="18"/>
          <w:color w:val="auto"/>
        </w:rPr>
        <w:t>” is defined in Section 2.3.</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Shares</w:t>
      </w:r>
      <w:r>
        <w:rPr>
          <w:rFonts w:ascii="Arial" w:cs="Arial" w:eastAsia="Arial" w:hAnsi="Arial"/>
          <w:sz w:val="18"/>
          <w:szCs w:val="18"/>
          <w:color w:val="auto"/>
        </w:rPr>
        <w:t>” means all of the outstanding shares of Common Stock issued prior to the consummation of its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446405</wp:posOffset>
            </wp:positionV>
            <wp:extent cx="716089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09" w:name="page210"/>
    <w:bookmarkEnd w:id="209"/>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 Indemnified Party</w:t>
      </w:r>
      <w:r>
        <w:rPr>
          <w:rFonts w:ascii="Arial" w:cs="Arial" w:eastAsia="Arial" w:hAnsi="Arial"/>
          <w:sz w:val="18"/>
          <w:szCs w:val="18"/>
          <w:color w:val="auto"/>
        </w:rPr>
        <w:t>” is defined in Section 4.1.</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Number of Shares</w:t>
      </w:r>
      <w:r>
        <w:rPr>
          <w:rFonts w:ascii="Arial" w:cs="Arial" w:eastAsia="Arial" w:hAnsi="Arial"/>
          <w:sz w:val="18"/>
          <w:szCs w:val="18"/>
          <w:color w:val="auto"/>
        </w:rPr>
        <w:t>” is defined in Section 2.1.4.</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is defined in Section 6.3.</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is defined in Section 2.2.1.</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Over-Allotment Units</w:t>
      </w:r>
      <w:r>
        <w:rPr>
          <w:rFonts w:ascii="Arial" w:cs="Arial" w:eastAsia="Arial" w:hAnsi="Arial"/>
          <w:sz w:val="16"/>
          <w:szCs w:val="16"/>
          <w:color w:val="auto"/>
        </w:rPr>
        <w:t>” means the additional number of Private Units the Investors will be required to purchase in the event that the underwriters in the Company’s initial public offering exercise their over-allotment option, as described in the prospectus relating to the Company’s initial public offering.</w:t>
      </w:r>
    </w:p>
    <w:p>
      <w:pPr>
        <w:spacing w:after="0" w:line="116"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Private Units</w:t>
      </w:r>
      <w:r>
        <w:rPr>
          <w:rFonts w:ascii="Arial" w:cs="Arial" w:eastAsia="Arial" w:hAnsi="Arial"/>
          <w:sz w:val="18"/>
          <w:szCs w:val="18"/>
          <w:color w:val="auto"/>
        </w:rPr>
        <w:t>” means the 402,500 Units the Investors are privately purchasing simultaneously with the consummation of the Company’s initial public offering.</w:t>
      </w:r>
    </w:p>
    <w:p>
      <w:pPr>
        <w:spacing w:after="0" w:line="162"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Register</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Registered</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Registration</w:t>
      </w:r>
      <w:r>
        <w:rPr>
          <w:rFonts w:ascii="Arial" w:cs="Arial" w:eastAsia="Arial" w:hAnsi="Arial"/>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Registrable Securities</w:t>
      </w:r>
      <w:r>
        <w:rPr>
          <w:rFonts w:ascii="Arial" w:cs="Arial" w:eastAsia="Arial" w:hAnsi="Arial"/>
          <w:sz w:val="17"/>
          <w:szCs w:val="17"/>
          <w:color w:val="auto"/>
        </w:rPr>
        <w:t>” means (i) the Initial Shares, (ii) the Private Units (and underlying shares of Common Stock), (iii) the Over-Allotment Units (and underlying shares of Common Stock), if any, and (iv) any shares issuable upon conversion of loans from Investors to the Company for the Company’s payment of its working capital, if any (the “Working Capital Loan Shares”). Registrable Securities include any warrants, shares of capital stock or other securities of the Company issued as a dividend or other distribution with respect to or in exchange for or in replacement of such Initial Shares, Private Units (and underlying shares of Common Stock), Over-Allotment Units (and underlying shares of Common Stock) and Working Capital Loan Shares.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under Rule 144 without volume limitations.</w:t>
      </w:r>
    </w:p>
    <w:p>
      <w:pPr>
        <w:spacing w:after="0" w:line="174"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407670</wp:posOffset>
            </wp:positionV>
            <wp:extent cx="716089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210" w:name="page211"/>
    <w:bookmarkEnd w:id="210"/>
    <w:p>
      <w:pPr>
        <w:ind w:right="76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Release Date</w:t>
      </w:r>
      <w:r>
        <w:rPr>
          <w:rFonts w:ascii="Arial" w:cs="Arial" w:eastAsia="Arial" w:hAnsi="Arial"/>
          <w:sz w:val="17"/>
          <w:szCs w:val="17"/>
          <w:color w:val="auto"/>
        </w:rPr>
        <w:t>” means the date on which the Initial Shares are disbursed from escrow pursuant to Section 3 of that certain Stock Escrow Agreement dated as of [________], 2016 by and among the Investors and Continental Stock Transfer &amp; Trust Company.</w:t>
      </w:r>
    </w:p>
    <w:p>
      <w:pPr>
        <w:spacing w:after="0" w:line="138"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and the rules and regulations of the Commission promulgated thereunder, all as the same shall be in effect at the time.</w:t>
      </w:r>
    </w:p>
    <w:p>
      <w:pPr>
        <w:spacing w:after="0" w:line="16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Units</w:t>
      </w:r>
      <w:r>
        <w:rPr>
          <w:rFonts w:ascii="Arial" w:cs="Arial" w:eastAsia="Arial" w:hAnsi="Arial"/>
          <w:sz w:val="18"/>
          <w:szCs w:val="18"/>
          <w:color w:val="auto"/>
        </w:rPr>
        <w:t>” means the units of the Company, each comprised of one shares of Common Stock and one warrant entitling its holder to purchase one share of Common Stock.</w:t>
      </w:r>
    </w:p>
    <w:p>
      <w:pPr>
        <w:spacing w:after="0" w:line="166" w:lineRule="exact"/>
        <w:rPr>
          <w:sz w:val="20"/>
          <w:szCs w:val="20"/>
          <w:color w:val="auto"/>
        </w:rPr>
      </w:pPr>
    </w:p>
    <w:p>
      <w:pPr>
        <w:ind w:left="1280" w:hanging="632"/>
        <w:spacing w:after="0"/>
        <w:tabs>
          <w:tab w:leader="none" w:pos="128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At any time and from time to time on or after (i) the date that the Company consummates a Business Combination with respect to the Private Units (or underlying shares of common stock), Over-Allotment Units (or underlying shares of Common Stock) and Working Capital Loan Shares or (ii) three months prior to the Release Date with respect to all other Registrable Securities, the holders of a majority-in-interest of the Registrable Securities, as the case may be, held by the Investors, officers or directors of the Company or their affiliates, or the transferees of the Investors, may make a written demand, on no more than two occasions, for registration under the Securities Act of all or part of their Registrable Securities, as the case may be (a “</w:t>
      </w:r>
      <w:r>
        <w:rPr>
          <w:rFonts w:ascii="Arial" w:cs="Arial" w:eastAsia="Arial" w:hAnsi="Arial"/>
          <w:sz w:val="16"/>
          <w:szCs w:val="16"/>
          <w:b w:val="1"/>
          <w:bCs w:val="1"/>
          <w:u w:val="single" w:color="auto"/>
          <w:color w:val="auto"/>
        </w:rPr>
        <w:t>Demand Registration</w:t>
      </w:r>
      <w:r>
        <w:rPr>
          <w:rFonts w:ascii="Arial" w:cs="Arial" w:eastAsia="Arial" w:hAnsi="Arial"/>
          <w:sz w:val="16"/>
          <w:szCs w:val="16"/>
          <w:color w:val="auto"/>
        </w:rPr>
        <w:t>”). Any demand for a Demand Registration shall specify the number of shares of Registrable Securities proposed to be sold and the intended method(s) of distribution thereof. The Company will notify all holders of Registrable Securities of the demand, and each holder of Registrable Securities who wishes to include all or a portion of such holder’s Registrable Securities in the Demand Registration (each such holder including shares of Registrable Securities in such registration, a “</w:t>
      </w:r>
      <w:r>
        <w:rPr>
          <w:rFonts w:ascii="Arial" w:cs="Arial" w:eastAsia="Arial" w:hAnsi="Arial"/>
          <w:sz w:val="16"/>
          <w:szCs w:val="16"/>
          <w:b w:val="1"/>
          <w:bCs w:val="1"/>
          <w:u w:val="single" w:color="auto"/>
          <w:color w:val="auto"/>
        </w:rPr>
        <w:t>Demanding Holder</w:t>
      </w:r>
      <w:r>
        <w:rPr>
          <w:rFonts w:ascii="Arial" w:cs="Arial" w:eastAsia="Arial" w:hAnsi="Arial"/>
          <w:sz w:val="16"/>
          <w:szCs w:val="16"/>
          <w:color w:val="auto"/>
        </w:rPr>
        <w:t>”) shall so notify the Company within fifteen (15) days after the receipt by the holder of the notice from the Company. Upon any such request, the Demanding Holders shall be entitled to have their Registrable Securities included in the Demand Registration, subject to Section 2.1.4 and the provisos set forth in Section 3.1.1. The Company shall not be obligated to effect more than an aggregate of two (2) Demand Registrations under this Section 2.1.1 in respect of all Registrable Securities.</w:t>
      </w:r>
    </w:p>
    <w:p>
      <w:pPr>
        <w:spacing w:after="0" w:line="169" w:lineRule="exact"/>
        <w:rPr>
          <w:sz w:val="20"/>
          <w:szCs w:val="20"/>
          <w:color w:val="auto"/>
        </w:rPr>
      </w:pPr>
    </w:p>
    <w:p>
      <w:pPr>
        <w:ind w:right="60" w:firstLine="1297"/>
        <w:spacing w:after="0" w:line="271"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414020</wp:posOffset>
            </wp:positionV>
            <wp:extent cx="716089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211" w:name="page212"/>
    <w:bookmarkEnd w:id="211"/>
    <w:p>
      <w:pPr>
        <w:ind w:right="120" w:firstLine="1297"/>
        <w:spacing w:after="0" w:line="255"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If a majority-in-interest of the Demanding Holders so elect and such holders so advise the Company as part of their written demand for a Demand Registration, the offering of such Registrable Securities pursuant to such Demand Registration shall be in the form of an underwritten offering.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a majority-in-interest of the holders initiating the Demand Registration.</w:t>
      </w:r>
    </w:p>
    <w:p>
      <w:pPr>
        <w:spacing w:after="0" w:line="189"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Offering</w:t>
      </w:r>
      <w:r>
        <w:rPr>
          <w:rFonts w:ascii="Arial" w:cs="Arial" w:eastAsia="Arial" w:hAnsi="Arial"/>
          <w:sz w:val="16"/>
          <w:szCs w:val="16"/>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shares of Common stock or other securities which the Company desires to sell and the shares of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6"/>
          <w:szCs w:val="16"/>
          <w:b w:val="1"/>
          <w:bCs w:val="1"/>
          <w:u w:val="single" w:color="auto"/>
          <w:color w:val="auto"/>
        </w:rPr>
        <w:t>Maximum Number of Shares</w:t>
      </w:r>
      <w:r>
        <w:rPr>
          <w:rFonts w:ascii="Arial" w:cs="Arial" w:eastAsia="Arial" w:hAnsi="Arial"/>
          <w:sz w:val="16"/>
          <w:szCs w:val="16"/>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Arial" w:cs="Arial" w:eastAsia="Arial" w:hAnsi="Arial"/>
          <w:sz w:val="16"/>
          <w:szCs w:val="16"/>
          <w:b w:val="1"/>
          <w:bCs w:val="1"/>
          <w:u w:val="single" w:color="auto"/>
          <w:color w:val="auto"/>
        </w:rPr>
        <w:t>Pro Rata</w:t>
      </w:r>
      <w:r>
        <w:rPr>
          <w:rFonts w:ascii="Arial" w:cs="Arial" w:eastAsia="Arial" w:hAnsi="Arial"/>
          <w:sz w:val="16"/>
          <w:szCs w:val="16"/>
          <w:color w:val="auto"/>
        </w:rPr>
        <w:t>")) that can be sold without exceeding the Maximum Number of Shares; (ii) second, to the extent that the Maximum Number of Shares has not been reached under the foregoing clause (i), the shares of Common Stock or other securities that the Company desires to sell that can be sold without exceeding the Maximum Number of Shares; and (iii) third, to the extent that the Maximum Number of Shares has not been reached under the foregoing clauses (i) and (ii), the shares of Common Stock or other securities for the account of other persons that the Company is obligated to register pursuant to written contractual arrangements with such persons and that can be sold without exceeding the Maximum Number of Shares.</w:t>
      </w:r>
    </w:p>
    <w:p>
      <w:pPr>
        <w:spacing w:after="0" w:line="172"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Withdrawal</w:t>
      </w:r>
      <w:r>
        <w:rPr>
          <w:rFonts w:ascii="Arial" w:cs="Arial" w:eastAsia="Arial" w:hAnsi="Arial"/>
          <w:sz w:val="17"/>
          <w:szCs w:val="17"/>
          <w:color w:val="auto"/>
        </w:rPr>
        <w:t>. If a majority-in-interest of the Demanding Holders disapprove of the terms of any underwriting or are not entitled to include all of their Registrable Securities in any offering, such majority-in-interest of the Demanding Holders may elect to withdraw from such offering by giving written notice to the Company and the Underwriter or Underwriters of their request to withdraw prior to the effectiveness of the Registration Statement filed with the Commission with respect to such Demand Registration. If the majority-in-interest of the Demanding Holders withdraws from a proposed offering relating to a Demand Registration, then such registration shall not count as a Demand Registration provided for in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410210</wp:posOffset>
            </wp:positionV>
            <wp:extent cx="716089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212" w:name="page213"/>
    <w:bookmarkEnd w:id="212"/>
    <w:p>
      <w:pPr>
        <w:ind w:left="640"/>
        <w:spacing w:after="0"/>
        <w:tabs>
          <w:tab w:leader="none" w:pos="13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Piggy-Back Registration</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Section 2.1),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78"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Reduction of Offering</w:t>
      </w:r>
      <w:r>
        <w:rPr>
          <w:rFonts w:ascii="Arial" w:cs="Arial" w:eastAsia="Arial" w:hAnsi="Arial"/>
          <w:sz w:val="18"/>
          <w:szCs w:val="18"/>
          <w:color w:val="auto"/>
        </w:rPr>
        <w:t>. If the managing Underwriter or Underwriters for a Piggy-Back Registration that is to be an underwritten offering advises the Company and the holders of Registrable Securities in writing that the dollar amount or number of shares of Common Stock which the Company desires to sell, taken together with the shares of Common Stock, if any, as to which registration has been demanded pursuant to written contractual arrangements with persons other than the holders of Registrable Securities hereunder, the Registrable Securities as to which registration has been requested under this Section 2.2, and the shares of Common Stock, if any, as to which registration has been requested pursuant to the written contractual piggy-back registration rights of other shareholders of the Company, exceeds the Maximum Number of Shares, then the Company shall include in any such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421005</wp:posOffset>
            </wp:positionV>
            <wp:extent cx="716089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13" w:name="page214"/>
    <w:bookmarkEnd w:id="213"/>
    <w:p>
      <w:pPr>
        <w:ind w:left="1940" w:firstLine="653"/>
        <w:spacing w:after="0" w:line="270" w:lineRule="auto"/>
        <w:tabs>
          <w:tab w:leader="none" w:pos="317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If the registration is undertaken for the Company’s account: (A) first, the shares of Common Stock or other securities that the Company desires to sell that can be sold without exceeding the Maximum Number of Shares; (B) second,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Shares; and (C) third, to the extent that the Maximum Number of shares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Shares;</w:t>
      </w:r>
    </w:p>
    <w:p>
      <w:pPr>
        <w:spacing w:after="0" w:line="181" w:lineRule="exact"/>
        <w:rPr>
          <w:rFonts w:ascii="Arial" w:cs="Arial" w:eastAsia="Arial" w:hAnsi="Arial"/>
          <w:sz w:val="17"/>
          <w:szCs w:val="17"/>
          <w:color w:val="auto"/>
        </w:rPr>
      </w:pPr>
    </w:p>
    <w:p>
      <w:pPr>
        <w:ind w:left="1940" w:firstLine="653"/>
        <w:spacing w:after="0" w:line="287" w:lineRule="auto"/>
        <w:tabs>
          <w:tab w:leader="none" w:pos="318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If the registration is a “demand” registration undertaken at the demand of persons other than either the holders of Registrable Securities, (A) first, the shares of Common Stock or other securities for the account of the demanding persons that can be sold without exceeding the Maximum Number of Shares; (B) second, to the extent that the Maximum Number of Shares has not been reached under the foregoing clause (A), the shares of Common Stock or other securities that the Company desires to sell that can be sold without exceeding the Maximum Number of Shares; (C) third, to the extent that the Maximum Number of Shares has not been reached under the foregoing clauses (A) and (B), collectively the shares of Common Stock or other securities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173"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Withdrawal</w:t>
      </w:r>
      <w:r>
        <w:rPr>
          <w:rFonts w:ascii="Arial" w:cs="Arial" w:eastAsia="Arial" w:hAnsi="Arial"/>
          <w:sz w:val="18"/>
          <w:szCs w:val="18"/>
          <w:color w:val="auto"/>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Section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6089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14" w:name="page215"/>
    <w:bookmarkEnd w:id="214"/>
    <w:p>
      <w:pPr>
        <w:ind w:firstLine="1297"/>
        <w:spacing w:after="0" w:line="287"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The holders of Registrable Securities may at any time and from time to time, request in writing that the Company register the resale of any or all of such Registrable Securities on Form S-3 or any similar short-form registration which may be available at such time (“</w:t>
      </w:r>
      <w:r>
        <w:rPr>
          <w:rFonts w:ascii="Arial" w:cs="Arial" w:eastAsia="Arial" w:hAnsi="Arial"/>
          <w:sz w:val="16"/>
          <w:szCs w:val="16"/>
          <w:b w:val="1"/>
          <w:bCs w:val="1"/>
          <w:u w:val="single" w:color="auto"/>
          <w:color w:val="auto"/>
        </w:rPr>
        <w:t>Form S-3</w:t>
      </w:r>
      <w:r>
        <w:rPr>
          <w:rFonts w:ascii="Arial" w:cs="Arial" w:eastAsia="Arial" w:hAnsi="Arial"/>
          <w:sz w:val="16"/>
          <w:szCs w:val="16"/>
          <w:color w:val="auto"/>
        </w:rPr>
        <w:t>”); provided, however, that the Company shall not be obligated to effect such request through an underwritten offering. Upon receipt of such written request, the Company will promptly give written notice of the proposed registration to all other holders of Registrable Securities, and, as soon as practicable thereafter, effect the registration of all or such portion of such holder’s or holders’ Registrable Securities as are specified in such request, together with all or such portion of the Registrable Securities or other securities of the Company, if any, of any other holder or holders joining in such request as are specified in a written request given within fifteen (15) days after receipt of such written notice from the Company; provided, however, that the Company shall not be obligated to effect any such registration pursuant to this Section 2.3: (i) if Form S-3 is not available for such offering; or (ii) if the holders of the Registrable Securities, together with the holders of any other securities of the Company entitled to inclusion in such registration, propose to sell Registrable Securities and such other securities (if any) at any aggregate price to the public of less than $500,000. Registrations effected pursuant to this Section 2.3 shall not be counted as Demand Registrations effected pursuant to Section 2.1.</w:t>
      </w:r>
    </w:p>
    <w:p>
      <w:pPr>
        <w:spacing w:after="0" w:line="173" w:lineRule="exact"/>
        <w:rPr>
          <w:sz w:val="20"/>
          <w:szCs w:val="20"/>
          <w:color w:val="auto"/>
        </w:rPr>
      </w:pPr>
    </w:p>
    <w:p>
      <w:pPr>
        <w:ind w:left="1280" w:hanging="632"/>
        <w:spacing w:after="0"/>
        <w:tabs>
          <w:tab w:leader="none" w:pos="128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Filings; Information</w:t>
      </w:r>
      <w:r>
        <w:rPr>
          <w:rFonts w:ascii="Arial" w:cs="Arial" w:eastAsia="Arial" w:hAnsi="Arial"/>
          <w:sz w:val="18"/>
          <w:szCs w:val="18"/>
          <w:color w:val="auto"/>
        </w:rPr>
        <w:t>. Whenever the Company is required to effect the registration of any Registrable Securities pursuant to Section 2, the Company shall use its best efforts to effect the registration and sale of such Registrable Securities in accordance with the intended method(s) of distribution thereof as expeditiously as practicable, and in connection with any such request:</w:t>
      </w:r>
    </w:p>
    <w:p>
      <w:pPr>
        <w:spacing w:after="0" w:line="181"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Filing Registration Statement</w:t>
      </w:r>
      <w:r>
        <w:rPr>
          <w:rFonts w:ascii="Arial" w:cs="Arial" w:eastAsia="Arial" w:hAnsi="Arial"/>
          <w:sz w:val="16"/>
          <w:szCs w:val="16"/>
          <w:color w:val="auto"/>
        </w:rPr>
        <w:t>. The Company shall use its best efforts to, as expeditiously as possible after receipt of a request for a Demand Registration pursuant to Section 2.1,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best efforts to cause such Registration Statement to become effective and use its best efforts to keep it effective for the period required by Section 3.1.3; provided, however, that the Company shall have the right to defer any Demand Registration for up to thirty (30) days, and any Piggy-Back Registration for such period as may be applicable to deferment of any demand registration to which such Piggy-Back Registration relates, in each case if the Company shall furnish to the holders a certificate signed by Chief Executive Officer or Chairman of the Company stating that, in the good faith judgment of the Board of Directors of the Company, it would be materially detrimental to the Company and its shareholders for such Registration Statement to be effected at such time; provided further, however, that the Company shall not have the right to exercise the right set forth in this provision more than once in any 365-day period in respect of a Demand Registration hereunder.</w:t>
      </w:r>
    </w:p>
    <w:p>
      <w:pPr>
        <w:spacing w:after="0" w:line="169"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Copies</w:t>
      </w:r>
      <w:r>
        <w:rPr>
          <w:rFonts w:ascii="Arial" w:cs="Arial" w:eastAsia="Arial" w:hAnsi="Arial"/>
          <w:sz w:val="18"/>
          <w:szCs w:val="18"/>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6089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15" w:name="page216"/>
    <w:bookmarkEnd w:id="215"/>
    <w:p>
      <w:pPr>
        <w:ind w:right="100" w:firstLine="1297"/>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Amendments and Supplements</w:t>
      </w:r>
      <w:r>
        <w:rPr>
          <w:rFonts w:ascii="Arial" w:cs="Arial" w:eastAsia="Arial" w:hAnsi="Arial"/>
          <w:sz w:val="18"/>
          <w:szCs w:val="18"/>
          <w:color w:val="auto"/>
        </w:rPr>
        <w:t>.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w:t>
      </w:r>
    </w:p>
    <w:p>
      <w:pPr>
        <w:spacing w:after="0" w:line="188"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Notification</w:t>
      </w:r>
      <w:r>
        <w:rPr>
          <w:rFonts w:ascii="Arial" w:cs="Arial" w:eastAsia="Arial" w:hAnsi="Arial"/>
          <w:sz w:val="16"/>
          <w:szCs w:val="16"/>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 and the Company shall not file any Registration Statement or prospectus or amendment or supplement thereto, including documents incorporated by reference, to which such holders or their legal counsel shall object.</w:t>
      </w:r>
    </w:p>
    <w:p>
      <w:pPr>
        <w:spacing w:after="0" w:line="169"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u w:val="single" w:color="auto"/>
          <w:color w:val="auto"/>
        </w:rPr>
        <w:t>State Securities Laws Compliance</w:t>
      </w:r>
      <w:r>
        <w:rPr>
          <w:rFonts w:ascii="Arial" w:cs="Arial" w:eastAsia="Arial" w:hAnsi="Arial"/>
          <w:sz w:val="17"/>
          <w:szCs w:val="17"/>
          <w:color w:val="auto"/>
        </w:rPr>
        <w:t>. The Company shall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414020</wp:posOffset>
            </wp:positionV>
            <wp:extent cx="716089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16" w:name="page217"/>
    <w:bookmarkEnd w:id="216"/>
    <w:p>
      <w:pPr>
        <w:ind w:right="120" w:firstLine="1297"/>
        <w:spacing w:after="0" w:line="271"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Agreements for Disposition</w:t>
      </w:r>
      <w:r>
        <w:rPr>
          <w:rFonts w:ascii="Arial" w:cs="Arial" w:eastAsia="Arial" w:hAnsi="Arial"/>
          <w:sz w:val="17"/>
          <w:szCs w:val="17"/>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No holder of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spacing w:after="0" w:line="179" w:lineRule="exact"/>
        <w:rPr>
          <w:sz w:val="20"/>
          <w:szCs w:val="20"/>
          <w:color w:val="auto"/>
        </w:rPr>
      </w:pPr>
    </w:p>
    <w:p>
      <w:pPr>
        <w:ind w:right="280" w:firstLine="1297"/>
        <w:spacing w:after="0" w:line="257"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Cooperation</w:t>
      </w:r>
      <w:r>
        <w:rPr>
          <w:rFonts w:ascii="Arial" w:cs="Arial" w:eastAsia="Arial" w:hAnsi="Arial"/>
          <w:sz w:val="18"/>
          <w:szCs w:val="18"/>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w:t>
      </w:r>
    </w:p>
    <w:p>
      <w:pPr>
        <w:spacing w:after="0" w:line="188" w:lineRule="exact"/>
        <w:rPr>
          <w:sz w:val="20"/>
          <w:szCs w:val="20"/>
          <w:color w:val="auto"/>
        </w:rPr>
      </w:pPr>
    </w:p>
    <w:p>
      <w:pPr>
        <w:ind w:right="40" w:firstLine="1297"/>
        <w:spacing w:after="0" w:line="297"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Records</w:t>
      </w:r>
      <w:r>
        <w:rPr>
          <w:rFonts w:ascii="Arial" w:cs="Arial" w:eastAsia="Arial" w:hAnsi="Arial"/>
          <w:sz w:val="16"/>
          <w:szCs w:val="16"/>
          <w:color w:val="auto"/>
        </w:rPr>
        <w:t>.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58" w:lineRule="exact"/>
        <w:rPr>
          <w:sz w:val="20"/>
          <w:szCs w:val="20"/>
          <w:color w:val="auto"/>
        </w:rPr>
      </w:pPr>
    </w:p>
    <w:p>
      <w:pPr>
        <w:ind w:right="100" w:firstLine="1297"/>
        <w:spacing w:after="0" w:line="291"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Opinions and Comfort Letters</w:t>
      </w:r>
      <w:r>
        <w:rPr>
          <w:rFonts w:ascii="Arial" w:cs="Arial" w:eastAsia="Arial" w:hAnsi="Arial"/>
          <w:sz w:val="16"/>
          <w:szCs w:val="16"/>
          <w:color w:val="auto"/>
        </w:rPr>
        <w:t>. Upon request, the Company shall furnish to each holder of Registrable Securities included in any Registration Statement a signed counterpart, addressed to such holder, of (i) any opinion of counsel to the Company delivered to any Underwriter and</w:t>
      </w:r>
    </w:p>
    <w:p>
      <w:pPr>
        <w:spacing w:after="0" w:line="254" w:lineRule="auto"/>
        <w:tabs>
          <w:tab w:leader="none" w:pos="26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comfort letter from the Company’s independent public accountants delivered to any Underwriter. In the event no legal opinion is delivered to any Underwriter, the Company shall furnish to each holder of Registrable Securities included in such Registration Statement, at any time that such holder elects to use a prospectus, an opinion of counsel to the Company to the effect that the Registration Statement containing such prospectus has been declared effective and that no stop order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421005</wp:posOffset>
            </wp:positionV>
            <wp:extent cx="716089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00"/>
          </w:cols>
          <w:pgMar w:left="320" w:top="909" w:right="379" w:bottom="1440" w:gutter="0" w:footer="0" w:header="0"/>
        </w:sectPr>
      </w:pPr>
    </w:p>
    <w:bookmarkStart w:id="217" w:name="page218"/>
    <w:bookmarkEnd w:id="217"/>
    <w:p>
      <w:pPr>
        <w:jc w:val="both"/>
        <w:ind w:right="640" w:firstLine="1297"/>
        <w:spacing w:after="0" w:line="286" w:lineRule="auto"/>
        <w:rPr>
          <w:sz w:val="20"/>
          <w:szCs w:val="20"/>
          <w:color w:val="auto"/>
        </w:rPr>
      </w:pPr>
      <w:r>
        <w:rPr>
          <w:rFonts w:ascii="Arial" w:cs="Arial" w:eastAsia="Arial" w:hAnsi="Arial"/>
          <w:sz w:val="17"/>
          <w:szCs w:val="17"/>
          <w:color w:val="auto"/>
        </w:rPr>
        <w:t xml:space="preserve">3.1.10 </w:t>
      </w:r>
      <w:r>
        <w:rPr>
          <w:rFonts w:ascii="Arial" w:cs="Arial" w:eastAsia="Arial" w:hAnsi="Arial"/>
          <w:sz w:val="17"/>
          <w:szCs w:val="17"/>
          <w:u w:val="single" w:color="auto"/>
          <w:color w:val="auto"/>
        </w:rPr>
        <w:t>Earnings Statement</w:t>
      </w:r>
      <w:r>
        <w:rPr>
          <w:rFonts w:ascii="Arial" w:cs="Arial" w:eastAsia="Arial" w:hAnsi="Arial"/>
          <w:sz w:val="17"/>
          <w:szCs w:val="17"/>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66"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 xml:space="preserve">3.1.11 </w:t>
      </w:r>
      <w:r>
        <w:rPr>
          <w:rFonts w:ascii="Arial" w:cs="Arial" w:eastAsia="Arial" w:hAnsi="Arial"/>
          <w:sz w:val="18"/>
          <w:szCs w:val="18"/>
          <w:u w:val="single" w:color="auto"/>
          <w:color w:val="auto"/>
        </w:rPr>
        <w:t>Listing</w:t>
      </w:r>
      <w:r>
        <w:rPr>
          <w:rFonts w:ascii="Arial" w:cs="Arial" w:eastAsia="Arial" w:hAnsi="Arial"/>
          <w:sz w:val="18"/>
          <w:szCs w:val="18"/>
          <w:color w:val="auto"/>
        </w:rPr>
        <w:t>. The Company shall use its best efforts to cause all Registrable Securities included in any registration to be listed on such exchanges or otherwise designated for trading in the same manner as similar securities issued by the Company are then listed or designated or, if no such similar securities are then listed or designated, in a manner satisfactory to the holders of a majority of the Registrable Securities included in such registration.</w:t>
      </w:r>
    </w:p>
    <w:p>
      <w:pPr>
        <w:spacing w:after="0" w:line="187"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3.1.12</w:t>
      </w:r>
      <w:r>
        <w:rPr>
          <w:sz w:val="20"/>
          <w:szCs w:val="20"/>
          <w:color w:val="auto"/>
        </w:rPr>
        <w:tab/>
      </w:r>
      <w:r>
        <w:rPr>
          <w:rFonts w:ascii="Arial" w:cs="Arial" w:eastAsia="Arial" w:hAnsi="Arial"/>
          <w:sz w:val="16"/>
          <w:szCs w:val="16"/>
          <w:u w:val="single" w:color="auto"/>
          <w:color w:val="auto"/>
        </w:rPr>
        <w:t>Road Show</w:t>
      </w:r>
      <w:r>
        <w:rPr>
          <w:rFonts w:ascii="Arial" w:cs="Arial" w:eastAsia="Arial" w:hAnsi="Arial"/>
          <w:sz w:val="16"/>
          <w:szCs w:val="16"/>
          <w:color w:val="auto"/>
        </w:rPr>
        <w:t>. If the registration involves the registration of Registrable Securities involving gross proceeds in excess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[$25,000,000], the Company shall use its reasonable efforts to make available senior executives of the Company to participate in customary “road show”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presentations that may be reasonably requested by the Underwriter in any underwritten offering.</w:t>
      </w:r>
    </w:p>
    <w:p>
      <w:pPr>
        <w:spacing w:after="0" w:line="21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Obligation to Suspend Distribution</w:t>
      </w:r>
      <w:r>
        <w:rPr>
          <w:rFonts w:ascii="Arial" w:cs="Arial" w:eastAsia="Arial" w:hAnsi="Arial"/>
          <w:sz w:val="18"/>
          <w:szCs w:val="18"/>
          <w:color w:val="auto"/>
        </w:rPr>
        <w:t>. Upon receipt of any notice from the Company of the happening of any event of the kind described in Section 3.1.4(iv), or, in the case of a resale registration on Form S-3 pursuant to Section 2.3 hereof, upon any suspension by the Company, pursuant to a written insider trading compliance program adopted by the Company’s Board of Directors,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Section 3.1.4(iv)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19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Company shall bear all costs and expenses incurred in connection with any Demand Registration pursuant to Section 2.1, any Piggy-Back Registration pursuant to Section 2.2, and any registration on Form S-3 effected pursuant to Section 2.3,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Section 3.1.11; (vi) Financial Industry Regulatory Authority fees; (vii) fees and disbursements of counsel for the Company and fees and expenses for independent certified public accountants retained by the Company (including the expenses or costs associated with the delivery of any opinions or comfort letters requested pursuant to Section 3.1.9); (viii) the reasonable fees and expenses of any special experts retained by the Company in connection with such registration and (ix) the reasonable fees and expenses of one legal counsel selected by the holders of a majority-in-interest of the Registrable Securities included in such registration.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 pro rata in proportion to the respective amount of shares each is selling in such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409575</wp:posOffset>
            </wp:positionV>
            <wp:extent cx="716089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18" w:name="page219"/>
    <w:bookmarkEnd w:id="218"/>
    <w:p>
      <w:pPr>
        <w:ind w:right="20" w:firstLine="64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Information</w:t>
      </w:r>
      <w:r>
        <w:rPr>
          <w:rFonts w:ascii="Arial" w:cs="Arial" w:eastAsia="Arial" w:hAnsi="Arial"/>
          <w:sz w:val="18"/>
          <w:szCs w:val="18"/>
          <w:color w:val="auto"/>
        </w:rPr>
        <w:t>. The holders of Registrable Securities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Section 2 and in connection with the Company’s obligation to comply with Federal and applicable state securities laws.</w:t>
      </w:r>
    </w:p>
    <w:p>
      <w:pPr>
        <w:spacing w:after="0" w:line="187" w:lineRule="exact"/>
        <w:rPr>
          <w:sz w:val="20"/>
          <w:szCs w:val="20"/>
          <w:color w:val="auto"/>
        </w:rPr>
      </w:pPr>
    </w:p>
    <w:p>
      <w:pPr>
        <w:ind w:left="1280" w:hanging="632"/>
        <w:spacing w:after="0"/>
        <w:tabs>
          <w:tab w:leader="none" w:pos="128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Arial" w:cs="Arial" w:eastAsia="Arial" w:hAnsi="Arial"/>
          <w:sz w:val="16"/>
          <w:szCs w:val="16"/>
          <w:b w:val="1"/>
          <w:bCs w:val="1"/>
          <w:u w:val="single" w:color="auto"/>
          <w:color w:val="auto"/>
        </w:rPr>
        <w:t>Investor Indemnified Party</w:t>
      </w:r>
      <w:r>
        <w:rPr>
          <w:rFonts w:ascii="Arial" w:cs="Arial" w:eastAsia="Arial" w:hAnsi="Arial"/>
          <w:sz w:val="16"/>
          <w:szCs w:val="16"/>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also shall indemnify any Underwriter of the Registrable Securities, their officers, affiliates, directors, partners, members and agents and each person who controls such Underwriter on substantially the same basis as that of the indemnification provided above in this Section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412115</wp:posOffset>
            </wp:positionV>
            <wp:extent cx="716089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19" w:name="page220"/>
    <w:bookmarkEnd w:id="219"/>
    <w:p>
      <w:pPr>
        <w:ind w:right="20" w:firstLine="648"/>
        <w:spacing w:after="0" w:line="28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Indemnification by Holders of Registrable Securities</w:t>
      </w:r>
      <w:r>
        <w:rPr>
          <w:rFonts w:ascii="Arial" w:cs="Arial" w:eastAsia="Arial" w:hAnsi="Arial"/>
          <w:sz w:val="16"/>
          <w:szCs w:val="16"/>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Underwriter (if any), and each other selling holder and each other person, if any, who controls another selling holder or such Underwriter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17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Promptly after receipt by any person of any notice of any loss, claim, damage or liability or any action in respect of which indemnity may be sought pursuant to Section 4.1 or 4.2, such person (the “Indemnified Party”) shall, if a claim in respect thereof is to be made against any other person for indemnification hereunder, notify such other person (the “</w:t>
      </w:r>
      <w:r>
        <w:rPr>
          <w:rFonts w:ascii="Arial" w:cs="Arial" w:eastAsia="Arial" w:hAnsi="Arial"/>
          <w:sz w:val="17"/>
          <w:szCs w:val="17"/>
          <w:b w:val="1"/>
          <w:bCs w:val="1"/>
          <w:u w:val="single" w:color="auto"/>
          <w:color w:val="auto"/>
        </w:rPr>
        <w:t>Indemnifying Party</w:t>
      </w:r>
      <w:r>
        <w:rPr>
          <w:rFonts w:ascii="Arial" w:cs="Arial" w:eastAsia="Arial" w:hAnsi="Arial"/>
          <w:sz w:val="17"/>
          <w:szCs w:val="17"/>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421005</wp:posOffset>
            </wp:positionV>
            <wp:extent cx="716089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20" w:name="page221"/>
    <w:bookmarkEnd w:id="220"/>
    <w:p>
      <w:pPr>
        <w:ind w:left="640"/>
        <w:spacing w:after="0"/>
        <w:tabs>
          <w:tab w:leader="none" w:pos="13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Contribution</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color w:val="auto"/>
        </w:rPr>
        <w:t>4.4.1 If the indemnification provided for in the foregoing Sections 4.1, 4.2 and 4.3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17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Section 4.4.1.</w:t>
      </w:r>
    </w:p>
    <w:p>
      <w:pPr>
        <w:spacing w:after="0" w:line="181"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89" w:lineRule="exact"/>
        <w:rPr>
          <w:sz w:val="20"/>
          <w:szCs w:val="20"/>
          <w:color w:val="auto"/>
        </w:rPr>
      </w:pPr>
    </w:p>
    <w:p>
      <w:pPr>
        <w:ind w:left="1280" w:hanging="632"/>
        <w:spacing w:after="0"/>
        <w:tabs>
          <w:tab w:leader="none" w:pos="128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RULE 144</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Rule 144</w:t>
      </w:r>
      <w:r>
        <w:rPr>
          <w:rFonts w:ascii="Arial" w:cs="Arial" w:eastAsia="Arial" w:hAnsi="Arial"/>
          <w:sz w:val="16"/>
          <w:szCs w:val="16"/>
          <w:color w:val="auto"/>
        </w:rPr>
        <w:t>. The Company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398780</wp:posOffset>
            </wp:positionV>
            <wp:extent cx="716089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221" w:name="page222"/>
    <w:bookmarkEnd w:id="221"/>
    <w:p>
      <w:pPr>
        <w:ind w:left="1280" w:hanging="632"/>
        <w:spacing w:after="0"/>
        <w:tabs>
          <w:tab w:leader="none" w:pos="128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Other Registration Rights</w:t>
      </w:r>
      <w:r>
        <w:rPr>
          <w:rFonts w:ascii="Arial" w:cs="Arial" w:eastAsia="Arial" w:hAnsi="Arial"/>
          <w:sz w:val="16"/>
          <w:szCs w:val="16"/>
          <w:color w:val="auto"/>
        </w:rPr>
        <w:t>. The Company represents and warrants that, except as disclosed in the Company’s registration statement 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Form S-1 (File No. 333-[ ]), no person, other than the holders of the Registrable Securities, has any right to require the Company to register any shares of the Company’s capital stock for sale or to include shares of the Company’s capital stock in any registration filed by the Company for the sale of shares of capital stock for its own account or for the account of any other person.</w:t>
      </w:r>
    </w:p>
    <w:p>
      <w:pPr>
        <w:spacing w:after="0" w:line="19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transfer of Registrable Securities by any such holder. This Agreement and the provisions hereof shall be binding upon and shall inure to the benefit of each of the parties, to the permitted assigns of the Investors or holder of Registrable Securities or of any assignee of the Investors or holder of Registrable Securities. This Agreement is not intended to confer any rights or benefits on any persons that are not party hereto other than as expressly set forth in Article 4 and this Section 6.2.</w:t>
      </w:r>
    </w:p>
    <w:p>
      <w:pPr>
        <w:spacing w:after="0" w:line="16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demands, requests, consents, approvals or other communications (collectively,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Joshua Sason, Chief Executive Officer</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Mitchell S. Nussbaum,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434340</wp:posOffset>
            </wp:positionV>
            <wp:extent cx="716089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222" w:name="page223"/>
    <w:bookmarkEnd w:id="222"/>
    <w:p>
      <w:pPr>
        <w:ind w:left="640"/>
        <w:spacing w:after="0"/>
        <w:rPr>
          <w:sz w:val="20"/>
          <w:szCs w:val="20"/>
          <w:color w:val="auto"/>
        </w:rPr>
      </w:pPr>
      <w:r>
        <w:rPr>
          <w:rFonts w:ascii="Arial" w:cs="Arial" w:eastAsia="Arial" w:hAnsi="Arial"/>
          <w:sz w:val="18"/>
          <w:szCs w:val="18"/>
          <w:color w:val="auto"/>
        </w:rPr>
        <w:t>To an Investor, to the address set forth below such Investor’s name on Exhibit A hereto.</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and all of which taken together shall constitute one and the same instrument.</w:t>
      </w:r>
    </w:p>
    <w:p>
      <w:pPr>
        <w:spacing w:after="0" w:line="1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66"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No amendment, modification or termination of this Agreement shall be binding upon the Company unless executed in writing by the Company. No amendment, modification or termination of this Agreement shall be binding upon the holders of the Registrable Securities unless executed in writing by the holders of the majority Registrable Securities.</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Titles and headings of sections of this Agreement are for convenience only and shall not affect the construction of any provision of this Agreement.</w:t>
      </w:r>
    </w:p>
    <w:p>
      <w:pPr>
        <w:spacing w:after="0" w:line="170"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Waivers and Extensions</w:t>
      </w:r>
      <w:r>
        <w:rPr>
          <w:rFonts w:ascii="Arial" w:cs="Arial" w:eastAsia="Arial" w:hAnsi="Arial"/>
          <w:sz w:val="17"/>
          <w:szCs w:val="17"/>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421005</wp:posOffset>
            </wp:positionV>
            <wp:extent cx="716089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23" w:name="page224"/>
    <w:bookmarkEnd w:id="223"/>
    <w:p>
      <w:pPr>
        <w:ind w:right="40" w:firstLine="648"/>
        <w:spacing w:after="0" w:line="26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interpreted under, and construed in accordance with the internal laws of the State of New York applicable to agreements made and to be performed within the State of New York, without giving effect to any choice-of-law provisions thereof that would compel the application of the substantive laws of any other jurisdiction.</w:t>
      </w:r>
    </w:p>
    <w:p>
      <w:pPr>
        <w:spacing w:after="0" w:line="181"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u w:val="single" w:color="auto"/>
          <w:color w:val="auto"/>
        </w:rPr>
        <w:t>Waiver of Trial by Jury</w:t>
      </w:r>
      <w:r>
        <w:rPr>
          <w:rFonts w:ascii="Arial" w:cs="Arial" w:eastAsia="Arial" w:hAnsi="Arial"/>
          <w:sz w:val="16"/>
          <w:szCs w:val="16"/>
          <w:color w:val="auto"/>
        </w:rPr>
        <w:t>. Each party hereby irrevocably and unconditionally waives the right to a trial by jury in any action, suit,</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443865</wp:posOffset>
            </wp:positionV>
            <wp:extent cx="716089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24" w:name="page225"/>
    <w:bookmarkEnd w:id="224"/>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Registration Rights Agreement to be executed and delivered by their duly authorized representatives as of the date first written above.</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-130810</wp:posOffset>
            </wp:positionV>
            <wp:extent cx="326707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INITIAL SHAREHOLDERS: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 SPAC LLC</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-130810</wp:posOffset>
            </wp:positionV>
            <wp:extent cx="326707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 SPAC Holdings I LLC</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-130810</wp:posOffset>
            </wp:positionV>
            <wp:extent cx="326707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 SPAC Holdings II LLC</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-130810</wp:posOffset>
            </wp:positionV>
            <wp:extent cx="326707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434340</wp:posOffset>
            </wp:positionV>
            <wp:extent cx="716089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780"/>
          </w:cols>
          <w:pgMar w:left="320" w:top="909" w:right="79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Name and Address of Initial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458470</wp:posOffset>
            </wp:positionV>
            <wp:extent cx="716089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26" w:name="page227"/>
    <w:bookmarkEnd w:id="226"/>
    <w:p>
      <w:pPr>
        <w:jc w:val="right"/>
        <w:spacing w:after="0"/>
        <w:rPr>
          <w:sz w:val="20"/>
          <w:szCs w:val="20"/>
          <w:color w:val="auto"/>
        </w:rPr>
      </w:pPr>
      <w:r>
        <w:rPr>
          <w:rFonts w:ascii="Arial" w:cs="Arial" w:eastAsia="Arial" w:hAnsi="Arial"/>
          <w:sz w:val="22"/>
          <w:szCs w:val="22"/>
          <w:b w:val="1"/>
          <w:bCs w:val="1"/>
          <w:color w:val="auto"/>
        </w:rPr>
        <w:t>Exhibit 10.6</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INDEMNITY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THIS INDEMNITY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[____________], 2016, by and between M I Acquisitions, Inc.,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[_____________]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publicly-held corporations as directors or in other capacities unless</w:t>
      </w:r>
      <w:r>
        <w:rPr>
          <w:rFonts w:ascii="Arial" w:cs="Arial" w:eastAsia="Arial" w:hAnsi="Arial"/>
          <w:sz w:val="18"/>
          <w:szCs w:val="18"/>
          <w:b w:val="1"/>
          <w:bCs w:val="1"/>
          <w:color w:val="auto"/>
        </w:rPr>
        <w:t xml:space="preserve"> </w:t>
      </w:r>
      <w:r>
        <w:rPr>
          <w:rFonts w:ascii="Arial" w:cs="Arial" w:eastAsia="Arial" w:hAnsi="Arial"/>
          <w:sz w:val="18"/>
          <w:szCs w:val="18"/>
          <w:color w:val="auto"/>
        </w:rPr>
        <w:t>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has determined that, in order to attract and retain qualified individuals,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 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of the Company and any resolutions adopted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thereto, and shall not be deemed a substitute therefor, nor to diminish or abrogate any rights of Indemnitee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without adequate protection, and the Company desires Indemnitee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in such capacity. Indemnitee is willing to serve, continue to serve and to take on additional service for or on behalf of the Company on the condition that he be so indemnified.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left="320" w:hanging="320"/>
        <w:spacing w:after="0" w:line="289" w:lineRule="auto"/>
        <w:tabs>
          <w:tab w:leader="none" w:pos="320" w:val="left"/>
        </w:tabs>
        <w:numPr>
          <w:ilvl w:val="0"/>
          <w:numId w:val="142"/>
        </w:numPr>
        <w:rPr>
          <w:rFonts w:ascii="Arial" w:cs="Arial" w:eastAsia="Arial" w:hAnsi="Arial"/>
          <w:sz w:val="17"/>
          <w:szCs w:val="17"/>
          <w:color w:val="auto"/>
        </w:rPr>
      </w:pPr>
      <w:r>
        <w:rPr>
          <w:rFonts w:ascii="Arial" w:cs="Arial" w:eastAsia="Arial" w:hAnsi="Arial"/>
          <w:sz w:val="17"/>
          <w:szCs w:val="17"/>
          <w:b w:val="1"/>
          <w:bCs w:val="1"/>
          <w:color w:val="auto"/>
        </w:rPr>
        <w:t>SERVICES TO THE COMPANY</w:t>
      </w:r>
      <w:r>
        <w:rPr>
          <w:rFonts w:ascii="Arial" w:cs="Arial" w:eastAsia="Arial" w:hAnsi="Arial"/>
          <w:sz w:val="17"/>
          <w:szCs w:val="17"/>
          <w:color w:val="auto"/>
        </w:rPr>
        <w:t>. Indemnitee will serve or continue to serve as an officer, director or key employee of the Company for so long as</w:t>
      </w:r>
      <w:r>
        <w:rPr>
          <w:rFonts w:ascii="Arial" w:cs="Arial" w:eastAsia="Arial" w:hAnsi="Arial"/>
          <w:sz w:val="17"/>
          <w:szCs w:val="17"/>
          <w:b w:val="1"/>
          <w:bCs w:val="1"/>
          <w:color w:val="auto"/>
        </w:rPr>
        <w:t xml:space="preserve"> </w:t>
      </w:r>
      <w:r>
        <w:rPr>
          <w:rFonts w:ascii="Arial" w:cs="Arial" w:eastAsia="Arial" w:hAnsi="Arial"/>
          <w:sz w:val="17"/>
          <w:szCs w:val="17"/>
          <w:color w:val="auto"/>
        </w:rPr>
        <w:t>Indemnitee is duly elected or appointed or until Indemnitee tenders his resignation, removal or death. The foregoing notwithstanding, this Agreement shall continue in full force and effect after Indemnitee has ceased to serve as a director of the Company, as provided in Section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403860</wp:posOffset>
            </wp:positionV>
            <wp:extent cx="716089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227" w:name="page228"/>
    <w:bookmarkEnd w:id="227"/>
    <w:p>
      <w:pPr>
        <w:ind w:left="320" w:hanging="320"/>
        <w:spacing w:after="0"/>
        <w:tabs>
          <w:tab w:leader="none" w:pos="32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rFonts w:ascii="Arial" w:cs="Arial" w:eastAsia="Arial" w:hAnsi="Arial"/>
          <w:sz w:val="18"/>
          <w:szCs w:val="18"/>
          <w:color w:val="auto"/>
        </w:rPr>
      </w:pPr>
    </w:p>
    <w:p>
      <w:pPr>
        <w:jc w:val="both"/>
        <w:ind w:left="320" w:firstLine="4"/>
        <w:spacing w:after="0" w:line="259" w:lineRule="auto"/>
        <w:tabs>
          <w:tab w:leader="none" w:pos="56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auto"/>
        </w:rPr>
      </w:pPr>
    </w:p>
    <w:p>
      <w:pPr>
        <w:ind w:left="320" w:firstLine="4"/>
        <w:spacing w:after="0" w:line="277" w:lineRule="auto"/>
        <w:tabs>
          <w:tab w:leader="none" w:pos="57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560" w:hanging="236"/>
        <w:spacing w:after="0"/>
        <w:tabs>
          <w:tab w:leader="none" w:pos="56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be deemed to occur upon the earliest to occur after the date of this Agreement of any of the following events:</w:t>
      </w:r>
    </w:p>
    <w:p>
      <w:pPr>
        <w:spacing w:after="0" w:line="236" w:lineRule="exact"/>
        <w:rPr>
          <w:rFonts w:ascii="Arial" w:cs="Arial" w:eastAsia="Arial" w:hAnsi="Arial"/>
          <w:sz w:val="17"/>
          <w:szCs w:val="17"/>
          <w:color w:val="auto"/>
        </w:rPr>
      </w:pPr>
    </w:p>
    <w:p>
      <w:pPr>
        <w:jc w:val="both"/>
        <w:ind w:left="640" w:firstLine="8"/>
        <w:spacing w:after="0" w:line="286" w:lineRule="auto"/>
        <w:tabs>
          <w:tab w:leader="none" w:pos="863" w:val="left"/>
        </w:tabs>
        <w:numPr>
          <w:ilvl w:val="2"/>
          <w:numId w:val="143"/>
        </w:numPr>
        <w:rPr>
          <w:rFonts w:ascii="Arial" w:cs="Arial" w:eastAsia="Arial" w:hAnsi="Arial"/>
          <w:sz w:val="16"/>
          <w:szCs w:val="16"/>
          <w:color w:val="auto"/>
        </w:rPr>
      </w:pPr>
      <w:r>
        <w:rPr>
          <w:rFonts w:ascii="Arial" w:cs="Arial" w:eastAsia="Arial" w:hAnsi="Arial"/>
          <w:sz w:val="16"/>
          <w:szCs w:val="16"/>
          <w:color w:val="auto"/>
        </w:rPr>
        <w:t>Acquisition of Stock by Third Party.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w:t>
      </w:r>
    </w:p>
    <w:p>
      <w:pPr>
        <w:spacing w:after="0" w:line="1" w:lineRule="exact"/>
        <w:rPr>
          <w:rFonts w:ascii="Arial" w:cs="Arial" w:eastAsia="Arial" w:hAnsi="Arial"/>
          <w:sz w:val="16"/>
          <w:szCs w:val="16"/>
          <w:color w:val="auto"/>
        </w:rPr>
      </w:pPr>
    </w:p>
    <w:p>
      <w:pPr>
        <w:ind w:left="640"/>
        <w:spacing w:after="0" w:line="261" w:lineRule="auto"/>
        <w:rPr>
          <w:rFonts w:ascii="Arial" w:cs="Arial" w:eastAsia="Arial" w:hAnsi="Arial"/>
          <w:sz w:val="16"/>
          <w:szCs w:val="16"/>
          <w:color w:val="auto"/>
        </w:rPr>
      </w:pPr>
      <w:r>
        <w:rPr>
          <w:rFonts w:ascii="Arial" w:cs="Arial" w:eastAsia="Arial" w:hAnsi="Arial"/>
          <w:sz w:val="18"/>
          <w:szCs w:val="18"/>
          <w:color w:val="auto"/>
        </w:rPr>
        <w:t>(2) such acquisition was approved in advance by the Continuing Directors (as defined below) and such acquisition would not constitute a Change in Control under part (iii) of this definition;</w:t>
      </w:r>
    </w:p>
    <w:p>
      <w:pPr>
        <w:spacing w:after="0" w:line="183" w:lineRule="exact"/>
        <w:rPr>
          <w:rFonts w:ascii="Arial" w:cs="Arial" w:eastAsia="Arial" w:hAnsi="Arial"/>
          <w:sz w:val="16"/>
          <w:szCs w:val="16"/>
          <w:color w:val="auto"/>
        </w:rPr>
      </w:pPr>
    </w:p>
    <w:p>
      <w:pPr>
        <w:jc w:val="both"/>
        <w:ind w:left="640" w:firstLine="8"/>
        <w:spacing w:after="0" w:line="259" w:lineRule="auto"/>
        <w:tabs>
          <w:tab w:leader="none" w:pos="912" w:val="left"/>
        </w:tabs>
        <w:numPr>
          <w:ilvl w:val="2"/>
          <w:numId w:val="143"/>
        </w:numPr>
        <w:rPr>
          <w:rFonts w:ascii="Arial" w:cs="Arial" w:eastAsia="Arial" w:hAnsi="Arial"/>
          <w:sz w:val="18"/>
          <w:szCs w:val="18"/>
          <w:color w:val="auto"/>
        </w:rPr>
      </w:pPr>
      <w:r>
        <w:rPr>
          <w:rFonts w:ascii="Arial" w:cs="Arial" w:eastAsia="Arial" w:hAnsi="Arial"/>
          <w:sz w:val="18"/>
          <w:szCs w:val="18"/>
          <w:color w:val="auto"/>
        </w:rPr>
        <w:t>Change in Board of Directors.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“Continuing Directors”), cease for any reason to constitute at least a majority of the members of the Board;</w:t>
      </w:r>
    </w:p>
    <w:p>
      <w:pPr>
        <w:spacing w:after="0" w:line="186" w:lineRule="exact"/>
        <w:rPr>
          <w:rFonts w:ascii="Arial" w:cs="Arial" w:eastAsia="Arial" w:hAnsi="Arial"/>
          <w:sz w:val="18"/>
          <w:szCs w:val="18"/>
          <w:color w:val="auto"/>
        </w:rPr>
      </w:pPr>
    </w:p>
    <w:p>
      <w:pPr>
        <w:jc w:val="both"/>
        <w:ind w:left="640" w:firstLine="8"/>
        <w:spacing w:after="0" w:line="269" w:lineRule="auto"/>
        <w:tabs>
          <w:tab w:leader="none" w:pos="960" w:val="left"/>
        </w:tabs>
        <w:numPr>
          <w:ilvl w:val="2"/>
          <w:numId w:val="143"/>
        </w:numPr>
        <w:rPr>
          <w:rFonts w:ascii="Arial" w:cs="Arial" w:eastAsia="Arial" w:hAnsi="Arial"/>
          <w:sz w:val="17"/>
          <w:szCs w:val="17"/>
          <w:color w:val="auto"/>
        </w:rPr>
      </w:pPr>
      <w:r>
        <w:rPr>
          <w:rFonts w:ascii="Arial" w:cs="Arial" w:eastAsia="Arial" w:hAnsi="Arial"/>
          <w:sz w:val="17"/>
          <w:szCs w:val="17"/>
          <w:color w:val="auto"/>
        </w:rPr>
        <w:t>Corporate Transactions. The effective date of a reorganization, merger or consolidation of the Company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79" w:lineRule="exact"/>
        <w:rPr>
          <w:rFonts w:ascii="Arial" w:cs="Arial" w:eastAsia="Arial" w:hAnsi="Arial"/>
          <w:sz w:val="17"/>
          <w:szCs w:val="17"/>
          <w:color w:val="auto"/>
        </w:rPr>
      </w:pPr>
    </w:p>
    <w:p>
      <w:pPr>
        <w:jc w:val="both"/>
        <w:ind w:left="640" w:firstLine="8"/>
        <w:spacing w:after="0" w:line="259" w:lineRule="auto"/>
        <w:tabs>
          <w:tab w:leader="none" w:pos="976" w:val="left"/>
        </w:tabs>
        <w:numPr>
          <w:ilvl w:val="2"/>
          <w:numId w:val="143"/>
        </w:numPr>
        <w:rPr>
          <w:rFonts w:ascii="Arial" w:cs="Arial" w:eastAsia="Arial" w:hAnsi="Arial"/>
          <w:sz w:val="18"/>
          <w:szCs w:val="18"/>
          <w:color w:val="auto"/>
        </w:rPr>
      </w:pPr>
      <w:r>
        <w:rPr>
          <w:rFonts w:ascii="Arial" w:cs="Arial" w:eastAsia="Arial" w:hAnsi="Arial"/>
          <w:sz w:val="18"/>
          <w:szCs w:val="18"/>
          <w:color w:val="auto"/>
        </w:rPr>
        <w:t>Liquidation.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228" w:name="page229"/>
    <w:bookmarkEnd w:id="228"/>
    <w:p>
      <w:pPr>
        <w:jc w:val="both"/>
        <w:ind w:left="320" w:firstLine="8"/>
        <w:spacing w:after="0" w:line="264" w:lineRule="auto"/>
        <w:tabs>
          <w:tab w:leader="none" w:pos="59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81" w:lineRule="exact"/>
        <w:rPr>
          <w:rFonts w:ascii="Arial" w:cs="Arial" w:eastAsia="Arial" w:hAnsi="Arial"/>
          <w:sz w:val="18"/>
          <w:szCs w:val="18"/>
          <w:color w:val="auto"/>
        </w:rPr>
      </w:pPr>
    </w:p>
    <w:p>
      <w:pPr>
        <w:ind w:firstLine="4"/>
        <w:spacing w:after="0" w:line="342" w:lineRule="auto"/>
        <w:tabs>
          <w:tab w:leader="none" w:pos="28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Status</w:t>
      </w:r>
      <w:r>
        <w:rPr>
          <w:rFonts w:ascii="Arial" w:cs="Arial" w:eastAsia="Arial" w:hAnsi="Arial"/>
          <w:sz w:val="16"/>
          <w:szCs w:val="16"/>
          <w:color w:val="auto"/>
        </w:rPr>
        <w:t>” describes the status of a person who is or was a director, officer, trustee, general partner, managing member, fiduciary, employee or agent of the Company or of any other Enterprise (as defined below) which such person is or was serving at the request of the Company.</w:t>
      </w:r>
    </w:p>
    <w:p>
      <w:pPr>
        <w:spacing w:after="0" w:line="123" w:lineRule="exact"/>
        <w:rPr>
          <w:rFonts w:ascii="Arial" w:cs="Arial" w:eastAsia="Arial" w:hAnsi="Arial"/>
          <w:sz w:val="16"/>
          <w:szCs w:val="16"/>
          <w:color w:val="auto"/>
        </w:rPr>
      </w:pPr>
    </w:p>
    <w:p>
      <w:pPr>
        <w:ind w:left="240" w:hanging="236"/>
        <w:spacing w:after="0"/>
        <w:tabs>
          <w:tab w:leader="none" w:pos="2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shall mean the Court of Chancery of the State of Delaware.</w:t>
      </w:r>
    </w:p>
    <w:p>
      <w:pPr>
        <w:spacing w:after="0" w:line="225" w:lineRule="exact"/>
        <w:rPr>
          <w:rFonts w:ascii="Arial" w:cs="Arial" w:eastAsia="Arial" w:hAnsi="Arial"/>
          <w:sz w:val="18"/>
          <w:szCs w:val="18"/>
          <w:color w:val="auto"/>
        </w:rPr>
      </w:pPr>
    </w:p>
    <w:p>
      <w:pPr>
        <w:ind w:firstLine="4"/>
        <w:spacing w:after="0" w:line="277" w:lineRule="auto"/>
        <w:tabs>
          <w:tab w:leader="none" w:pos="22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firstLine="4"/>
        <w:spacing w:after="0" w:line="259" w:lineRule="auto"/>
        <w:tabs>
          <w:tab w:leader="none" w:pos="2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260" w:hanging="256"/>
        <w:spacing w:after="0"/>
        <w:tabs>
          <w:tab w:leader="none" w:pos="2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jc w:val="both"/>
        <w:ind w:firstLine="4"/>
        <w:spacing w:after="0" w:line="289" w:lineRule="auto"/>
        <w:tabs>
          <w:tab w:leader="none" w:pos="24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shall include all direct and indirect costs, fees and expenses of any type or nature whatsoever, including, without limitation, all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the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supersedes bond, or other appeal bond or its equivalent. Expenses, however, shall not include amounts paid in settlement by Indemnitee or the amount of judgments or fines against Indemnitee.</w:t>
      </w:r>
    </w:p>
    <w:p>
      <w:pPr>
        <w:spacing w:after="0" w:line="166" w:lineRule="exact"/>
        <w:rPr>
          <w:rFonts w:ascii="Arial" w:cs="Arial" w:eastAsia="Arial" w:hAnsi="Arial"/>
          <w:sz w:val="16"/>
          <w:szCs w:val="16"/>
          <w:color w:val="auto"/>
        </w:rPr>
      </w:pPr>
    </w:p>
    <w:p>
      <w:pPr>
        <w:jc w:val="both"/>
        <w:ind w:firstLine="4"/>
        <w:spacing w:after="0" w:line="255" w:lineRule="auto"/>
        <w:tabs>
          <w:tab w:leader="none" w:pos="22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193" w:lineRule="exact"/>
        <w:rPr>
          <w:rFonts w:ascii="Arial" w:cs="Arial" w:eastAsia="Arial" w:hAnsi="Arial"/>
          <w:sz w:val="18"/>
          <w:szCs w:val="18"/>
          <w:color w:val="auto"/>
        </w:rPr>
      </w:pPr>
    </w:p>
    <w:p>
      <w:pPr>
        <w:jc w:val="both"/>
        <w:ind w:firstLine="4"/>
        <w:spacing w:after="0" w:line="293" w:lineRule="auto"/>
        <w:tabs>
          <w:tab w:leader="none" w:pos="25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374"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7620</wp:posOffset>
            </wp:positionV>
            <wp:extent cx="716089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940"/>
          </w:cols>
          <w:pgMar w:left="640" w:top="909" w:right="319" w:bottom="1440" w:gutter="0" w:footer="0" w:header="0"/>
        </w:sectPr>
      </w:pPr>
    </w:p>
    <w:bookmarkStart w:id="229" w:name="page230"/>
    <w:bookmarkEnd w:id="229"/>
    <w:p>
      <w:pPr>
        <w:jc w:val="both"/>
        <w:ind w:left="320" w:firstLine="4"/>
        <w:spacing w:after="0" w:line="293" w:lineRule="auto"/>
        <w:tabs>
          <w:tab w:leader="none" w:pos="544"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64" w:lineRule="exact"/>
        <w:rPr>
          <w:rFonts w:ascii="Arial" w:cs="Arial" w:eastAsia="Arial" w:hAnsi="Arial"/>
          <w:sz w:val="16"/>
          <w:szCs w:val="16"/>
          <w:color w:val="auto"/>
        </w:rPr>
      </w:pPr>
    </w:p>
    <w:p>
      <w:pPr>
        <w:jc w:val="both"/>
        <w:ind w:left="320" w:firstLine="4"/>
        <w:spacing w:after="0" w:line="272" w:lineRule="auto"/>
        <w:tabs>
          <w:tab w:leader="none" w:pos="665"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77" w:lineRule="exact"/>
        <w:rPr>
          <w:rFonts w:ascii="Arial" w:cs="Arial" w:eastAsia="Arial" w:hAnsi="Arial"/>
          <w:sz w:val="17"/>
          <w:szCs w:val="17"/>
          <w:color w:val="auto"/>
        </w:rPr>
      </w:pPr>
    </w:p>
    <w:p>
      <w:pPr>
        <w:ind w:left="320" w:firstLine="4"/>
        <w:spacing w:after="0" w:line="277" w:lineRule="auto"/>
        <w:tabs>
          <w:tab w:leader="none" w:pos="57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with respect to any Person, shall mean any corporation or other entity of which a majority of the voting power of the voting equity securities or equity interest is owned, directly or indirectly, by that Person.</w:t>
      </w:r>
    </w:p>
    <w:p>
      <w:pPr>
        <w:spacing w:after="0" w:line="166" w:lineRule="exact"/>
        <w:rPr>
          <w:rFonts w:ascii="Arial" w:cs="Arial" w:eastAsia="Arial" w:hAnsi="Arial"/>
          <w:sz w:val="18"/>
          <w:szCs w:val="18"/>
          <w:color w:val="auto"/>
        </w:rPr>
      </w:pPr>
    </w:p>
    <w:p>
      <w:pPr>
        <w:jc w:val="both"/>
        <w:ind w:left="320" w:hanging="320"/>
        <w:spacing w:after="0" w:line="272" w:lineRule="auto"/>
        <w:tabs>
          <w:tab w:leader="none" w:pos="320" w:val="left"/>
        </w:tabs>
        <w:numPr>
          <w:ilvl w:val="0"/>
          <w:numId w:val="147"/>
        </w:numPr>
        <w:rPr>
          <w:rFonts w:ascii="Arial" w:cs="Arial" w:eastAsia="Arial" w:hAnsi="Arial"/>
          <w:sz w:val="17"/>
          <w:szCs w:val="17"/>
          <w:color w:val="auto"/>
        </w:rPr>
      </w:pPr>
      <w:r>
        <w:rPr>
          <w:rFonts w:ascii="Arial" w:cs="Arial" w:eastAsia="Arial" w:hAnsi="Arial"/>
          <w:sz w:val="17"/>
          <w:szCs w:val="17"/>
          <w:b w:val="1"/>
          <w:bCs w:val="1"/>
          <w:color w:val="auto"/>
        </w:rPr>
        <w:t>INDEMNITY IN THIRD-PARTY PROCEEDINGS</w:t>
      </w:r>
      <w:r>
        <w:rPr>
          <w:rFonts w:ascii="Arial" w:cs="Arial" w:eastAsia="Arial" w:hAnsi="Arial"/>
          <w:sz w:val="17"/>
          <w:szCs w:val="17"/>
          <w:color w:val="auto"/>
        </w:rPr>
        <w:t>. To the fullest extent permitted by applicable law, the Company shall indemnify, hold harmless</w:t>
      </w:r>
      <w:r>
        <w:rPr>
          <w:rFonts w:ascii="Arial" w:cs="Arial" w:eastAsia="Arial" w:hAnsi="Arial"/>
          <w:sz w:val="17"/>
          <w:szCs w:val="17"/>
          <w:b w:val="1"/>
          <w:bCs w:val="1"/>
          <w:color w:val="auto"/>
        </w:rPr>
        <w:t xml:space="preserve"> </w:t>
      </w:r>
      <w:r>
        <w:rPr>
          <w:rFonts w:ascii="Arial" w:cs="Arial" w:eastAsia="Arial" w:hAnsi="Arial"/>
          <w:sz w:val="17"/>
          <w:szCs w:val="17"/>
          <w:color w:val="auto"/>
        </w:rPr>
        <w:t>and exonerate Indemnitee in accordance with the provisions of this Section 3 if Indemnitee was, is, or is threatened to be made, a party to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behalf in 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his conduct was unlawful.</w:t>
      </w:r>
    </w:p>
    <w:p>
      <w:pPr>
        <w:spacing w:after="0" w:line="172" w:lineRule="exact"/>
        <w:rPr>
          <w:rFonts w:ascii="Arial" w:cs="Arial" w:eastAsia="Arial" w:hAnsi="Arial"/>
          <w:sz w:val="17"/>
          <w:szCs w:val="17"/>
          <w:color w:val="auto"/>
        </w:rPr>
      </w:pPr>
    </w:p>
    <w:p>
      <w:pPr>
        <w:jc w:val="both"/>
        <w:ind w:left="320" w:hanging="320"/>
        <w:spacing w:after="0" w:line="290" w:lineRule="auto"/>
        <w:tabs>
          <w:tab w:leader="none" w:pos="320" w:val="left"/>
        </w:tabs>
        <w:numPr>
          <w:ilvl w:val="0"/>
          <w:numId w:val="147"/>
        </w:numPr>
        <w:rPr>
          <w:rFonts w:ascii="Arial" w:cs="Arial" w:eastAsia="Arial" w:hAnsi="Arial"/>
          <w:sz w:val="16"/>
          <w:szCs w:val="16"/>
          <w:color w:val="auto"/>
        </w:rPr>
      </w:pPr>
      <w:r>
        <w:rPr>
          <w:rFonts w:ascii="Arial" w:cs="Arial" w:eastAsia="Arial" w:hAnsi="Arial"/>
          <w:sz w:val="16"/>
          <w:szCs w:val="16"/>
          <w:b w:val="1"/>
          <w:bCs w:val="1"/>
          <w:color w:val="auto"/>
        </w:rPr>
        <w:t>INDEMNITY IN PROCEEDINGS BY OR IN THE RIGHT OF THE COMPANY</w:t>
      </w:r>
      <w:r>
        <w:rPr>
          <w:rFonts w:ascii="Arial" w:cs="Arial" w:eastAsia="Arial" w:hAnsi="Arial"/>
          <w:sz w:val="16"/>
          <w:szCs w:val="16"/>
          <w:color w:val="auto"/>
        </w:rPr>
        <w:t>. To the fullest extent permitted by applicable law,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shall indemnify, hold harmless and exonerate Indemnitee in accordance with the provisions of this Section 4 if Indemnitee was, is, or is threatened to be made, a party to any Proceeding by or in the right of the Company to procure a judgment in its favor. Pursuant to this Section 4, Indemnitee shall be indemnified against all Expenses actually and reasonably incurred by him or on his behalf in connection with such Proceeding or any claim, issue or matter therein, if Indemnitee acted in good faith and in a manner 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159" w:lineRule="exact"/>
        <w:rPr>
          <w:rFonts w:ascii="Arial" w:cs="Arial" w:eastAsia="Arial" w:hAnsi="Arial"/>
          <w:sz w:val="16"/>
          <w:szCs w:val="16"/>
          <w:color w:val="auto"/>
        </w:rPr>
      </w:pPr>
    </w:p>
    <w:p>
      <w:pPr>
        <w:jc w:val="both"/>
        <w:ind w:left="320" w:hanging="320"/>
        <w:spacing w:after="0" w:line="270" w:lineRule="auto"/>
        <w:tabs>
          <w:tab w:leader="none" w:pos="320" w:val="left"/>
        </w:tabs>
        <w:numPr>
          <w:ilvl w:val="0"/>
          <w:numId w:val="147"/>
        </w:numPr>
        <w:rPr>
          <w:rFonts w:ascii="Arial" w:cs="Arial" w:eastAsia="Arial" w:hAnsi="Arial"/>
          <w:sz w:val="17"/>
          <w:szCs w:val="17"/>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to the extent that Indemnitee is a party to and is successful, on the merits or otherwise, in any Proceeding or in defense of any claim, issue or matter therein, in whole or in part, the Company shall, to the fullest extent permitted by applicable law, indemnify Indemnitee against all Expenses actually and reasonably incurred by him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on his behalf in connection with each successfully resolved claim, issue or matter. If the Indemnitee is not wholly successful in such Proceeding, the Company also shall, to the fullest extent permitted by applicable law, indemnify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30" w:name="page231"/>
    <w:bookmarkEnd w:id="230"/>
    <w:p>
      <w:pPr>
        <w:jc w:val="both"/>
        <w:ind w:left="320" w:hanging="320"/>
        <w:spacing w:after="0" w:line="289" w:lineRule="auto"/>
        <w:tabs>
          <w:tab w:leader="none" w:pos="320" w:val="left"/>
        </w:tabs>
        <w:numPr>
          <w:ilvl w:val="0"/>
          <w:numId w:val="148"/>
        </w:numPr>
        <w:rPr>
          <w:rFonts w:ascii="Arial" w:cs="Arial" w:eastAsia="Arial" w:hAnsi="Arial"/>
          <w:sz w:val="17"/>
          <w:szCs w:val="17"/>
          <w:color w:val="auto"/>
        </w:rPr>
      </w:pPr>
      <w:r>
        <w:rPr>
          <w:rFonts w:ascii="Arial" w:cs="Arial" w:eastAsia="Arial" w:hAnsi="Arial"/>
          <w:sz w:val="17"/>
          <w:szCs w:val="17"/>
          <w:b w:val="1"/>
          <w:bCs w:val="1"/>
          <w:color w:val="auto"/>
        </w:rPr>
        <w:t>INDEMNIFICATION FOR EXPENSES OF A WITNESS</w:t>
      </w:r>
      <w:r>
        <w:rPr>
          <w:rFonts w:ascii="Arial" w:cs="Arial" w:eastAsia="Arial" w:hAnsi="Arial"/>
          <w:sz w:val="17"/>
          <w:szCs w:val="17"/>
          <w:color w:val="auto"/>
        </w:rPr>
        <w:t>. Notwithstanding any other provision of this Agreement, to the extent that Indemnitee is,</w:t>
      </w:r>
      <w:r>
        <w:rPr>
          <w:rFonts w:ascii="Arial" w:cs="Arial" w:eastAsia="Arial" w:hAnsi="Arial"/>
          <w:sz w:val="17"/>
          <w:szCs w:val="17"/>
          <w:b w:val="1"/>
          <w:bCs w:val="1"/>
          <w:color w:val="auto"/>
        </w:rPr>
        <w:t xml:space="preserve"> </w:t>
      </w:r>
      <w:r>
        <w:rPr>
          <w:rFonts w:ascii="Arial" w:cs="Arial" w:eastAsia="Arial" w:hAnsi="Arial"/>
          <w:sz w:val="17"/>
          <w:szCs w:val="17"/>
          <w:color w:val="auto"/>
        </w:rPr>
        <w:t>a participant (as a witness or otherwise) in any Proceeding to which Indemnitee is not a party, he shall, to the fullest extent permitted by applicable law, be indemnified against all Expenses actually and reasonably incurred by him or on his behalf in connection therewith.</w:t>
      </w:r>
    </w:p>
    <w:p>
      <w:pPr>
        <w:spacing w:after="0" w:line="158" w:lineRule="exact"/>
        <w:rPr>
          <w:rFonts w:ascii="Arial" w:cs="Arial" w:eastAsia="Arial" w:hAnsi="Arial"/>
          <w:sz w:val="17"/>
          <w:szCs w:val="17"/>
          <w:color w:val="auto"/>
        </w:rPr>
      </w:pPr>
    </w:p>
    <w:p>
      <w:pPr>
        <w:ind w:left="320" w:hanging="320"/>
        <w:spacing w:after="0"/>
        <w:tabs>
          <w:tab w:leader="none" w:pos="32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ADDITIONAL INDEMNIFICATION, HOLD HARMLESS AND EXONERATION RIGHTS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20"/>
        <w:spacing w:after="0" w:line="291" w:lineRule="auto"/>
        <w:rPr>
          <w:rFonts w:ascii="Arial" w:cs="Arial" w:eastAsia="Arial" w:hAnsi="Arial"/>
          <w:sz w:val="18"/>
          <w:szCs w:val="18"/>
          <w:color w:val="auto"/>
        </w:rPr>
      </w:pPr>
      <w:r>
        <w:rPr>
          <w:rFonts w:ascii="Arial" w:cs="Arial" w:eastAsia="Arial" w:hAnsi="Arial"/>
          <w:sz w:val="16"/>
          <w:szCs w:val="16"/>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7(a) on account of Indemnitee’s conduct which constitutes a breach of Indemnitee’s duty of loyalty to the Company or its stockholders, including an act or omission of it not in good faith, or which involves intentional misconduct or a violation of the law.</w:t>
      </w:r>
    </w:p>
    <w:p>
      <w:pPr>
        <w:spacing w:after="0" w:line="163" w:lineRule="exact"/>
        <w:rPr>
          <w:rFonts w:ascii="Arial" w:cs="Arial" w:eastAsia="Arial" w:hAnsi="Arial"/>
          <w:sz w:val="18"/>
          <w:szCs w:val="18"/>
          <w:color w:val="auto"/>
        </w:rPr>
      </w:pPr>
    </w:p>
    <w:p>
      <w:pPr>
        <w:ind w:left="320" w:hanging="320"/>
        <w:spacing w:after="0"/>
        <w:tabs>
          <w:tab w:leader="none" w:pos="32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20" w:firstLine="4"/>
        <w:spacing w:after="0" w:line="297" w:lineRule="auto"/>
        <w:tabs>
          <w:tab w:leader="none" w:pos="606" w:val="left"/>
        </w:tabs>
        <w:numPr>
          <w:ilvl w:val="1"/>
          <w:numId w:val="148"/>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58" w:lineRule="exact"/>
        <w:rPr>
          <w:rFonts w:ascii="Arial" w:cs="Arial" w:eastAsia="Arial" w:hAnsi="Arial"/>
          <w:sz w:val="16"/>
          <w:szCs w:val="16"/>
          <w:color w:val="auto"/>
        </w:rPr>
      </w:pPr>
    </w:p>
    <w:p>
      <w:pPr>
        <w:ind w:left="320" w:firstLine="4"/>
        <w:spacing w:after="0" w:line="277" w:lineRule="auto"/>
        <w:tabs>
          <w:tab w:leader="none" w:pos="57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auto"/>
        </w:rPr>
      </w:pPr>
    </w:p>
    <w:p>
      <w:pPr>
        <w:ind w:left="320" w:firstLine="4"/>
        <w:spacing w:after="0" w:line="277" w:lineRule="auto"/>
        <w:tabs>
          <w:tab w:leader="none" w:pos="56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rFonts w:ascii="Arial" w:cs="Arial" w:eastAsia="Arial" w:hAnsi="Arial"/>
          <w:sz w:val="18"/>
          <w:szCs w:val="18"/>
          <w:color w:val="auto"/>
        </w:rPr>
      </w:pPr>
    </w:p>
    <w:p>
      <w:pPr>
        <w:ind w:left="320" w:hanging="320"/>
        <w:spacing w:after="0" w:line="282" w:lineRule="auto"/>
        <w:tabs>
          <w:tab w:leader="none" w:pos="32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the Company shall not be obligated under this Agreement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hold harmless or exoneration payment in connection with any claim made against Indemnitee:</w:t>
      </w:r>
    </w:p>
    <w:p>
      <w:pPr>
        <w:spacing w:after="0" w:line="165" w:lineRule="exact"/>
        <w:rPr>
          <w:rFonts w:ascii="Arial" w:cs="Arial" w:eastAsia="Arial" w:hAnsi="Arial"/>
          <w:sz w:val="18"/>
          <w:szCs w:val="18"/>
          <w:color w:val="auto"/>
        </w:rPr>
      </w:pPr>
    </w:p>
    <w:p>
      <w:pPr>
        <w:ind w:left="320" w:firstLine="4"/>
        <w:spacing w:after="0" w:line="342" w:lineRule="auto"/>
        <w:tabs>
          <w:tab w:leader="none" w:pos="572" w:val="left"/>
        </w:tabs>
        <w:numPr>
          <w:ilvl w:val="1"/>
          <w:numId w:val="148"/>
        </w:numPr>
        <w:rPr>
          <w:rFonts w:ascii="Arial" w:cs="Arial" w:eastAsia="Arial" w:hAnsi="Arial"/>
          <w:sz w:val="16"/>
          <w:szCs w:val="16"/>
          <w:color w:val="auto"/>
        </w:rPr>
      </w:pPr>
      <w:r>
        <w:rPr>
          <w:rFonts w:ascii="Arial" w:cs="Arial" w:eastAsia="Arial" w:hAnsi="Arial"/>
          <w:sz w:val="16"/>
          <w:szCs w:val="16"/>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23" w:lineRule="exact"/>
        <w:rPr>
          <w:rFonts w:ascii="Arial" w:cs="Arial" w:eastAsia="Arial" w:hAnsi="Arial"/>
          <w:sz w:val="16"/>
          <w:szCs w:val="16"/>
          <w:color w:val="auto"/>
        </w:rPr>
      </w:pPr>
    </w:p>
    <w:p>
      <w:pPr>
        <w:ind w:left="320" w:firstLine="4"/>
        <w:spacing w:after="0" w:line="277" w:lineRule="auto"/>
        <w:tabs>
          <w:tab w:leader="none" w:pos="57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231" w:name="page232"/>
    <w:bookmarkEnd w:id="231"/>
    <w:p>
      <w:pPr>
        <w:jc w:val="both"/>
        <w:ind w:left="320" w:firstLine="4"/>
        <w:spacing w:after="0" w:line="257" w:lineRule="auto"/>
        <w:tabs>
          <w:tab w:leader="none" w:pos="585"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agent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84" w:lineRule="exact"/>
        <w:rPr>
          <w:rFonts w:ascii="Arial" w:cs="Arial" w:eastAsia="Arial" w:hAnsi="Arial"/>
          <w:sz w:val="18"/>
          <w:szCs w:val="18"/>
          <w:color w:val="auto"/>
        </w:rPr>
      </w:pPr>
    </w:p>
    <w:p>
      <w:pPr>
        <w:ind w:left="320" w:hanging="320"/>
        <w:spacing w:after="0"/>
        <w:tabs>
          <w:tab w:leader="none" w:pos="3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ADVANCES OF EXPENSES; DEFENSE OF CLAIM</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20" w:firstLine="4"/>
        <w:spacing w:after="0" w:line="269" w:lineRule="auto"/>
        <w:tabs>
          <w:tab w:leader="none" w:pos="571" w:val="left"/>
        </w:tabs>
        <w:numPr>
          <w:ilvl w:val="1"/>
          <w:numId w:val="150"/>
        </w:numPr>
        <w:rPr>
          <w:rFonts w:ascii="Arial" w:cs="Arial" w:eastAsia="Arial" w:hAnsi="Arial"/>
          <w:sz w:val="17"/>
          <w:szCs w:val="17"/>
          <w:color w:val="auto"/>
        </w:rPr>
      </w:pPr>
      <w:r>
        <w:rPr>
          <w:rFonts w:ascii="Arial" w:cs="Arial" w:eastAsia="Arial" w:hAnsi="Arial"/>
          <w:sz w:val="17"/>
          <w:szCs w:val="17"/>
          <w:color w:val="auto"/>
        </w:rPr>
        <w:t>Notwithstanding any provision of this Agreement to the contrary,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79" w:lineRule="exact"/>
        <w:rPr>
          <w:rFonts w:ascii="Arial" w:cs="Arial" w:eastAsia="Arial" w:hAnsi="Arial"/>
          <w:sz w:val="17"/>
          <w:szCs w:val="17"/>
          <w:color w:val="auto"/>
        </w:rPr>
      </w:pPr>
    </w:p>
    <w:p>
      <w:pPr>
        <w:ind w:left="580" w:hanging="256"/>
        <w:spacing w:after="0"/>
        <w:tabs>
          <w:tab w:leader="none" w:pos="5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320" w:firstLine="4"/>
        <w:spacing w:after="0" w:line="308" w:lineRule="auto"/>
        <w:tabs>
          <w:tab w:leader="none" w:pos="577" w:val="left"/>
        </w:tabs>
        <w:numPr>
          <w:ilvl w:val="1"/>
          <w:numId w:val="150"/>
        </w:numPr>
        <w:rPr>
          <w:rFonts w:ascii="Arial" w:cs="Arial" w:eastAsia="Arial" w:hAnsi="Arial"/>
          <w:sz w:val="17"/>
          <w:szCs w:val="17"/>
          <w:color w:val="auto"/>
        </w:rPr>
      </w:pPr>
      <w:r>
        <w:rPr>
          <w:rFonts w:ascii="Arial" w:cs="Arial" w:eastAsia="Arial" w:hAnsi="Arial"/>
          <w:sz w:val="17"/>
          <w:szCs w:val="17"/>
          <w:color w:val="auto"/>
        </w:rPr>
        <w:t>The Company shall not settle any action, claim or Proceeding (in whole or in part) which would impose any Expense, judgment, fine, penalty or limitation that are not entitled to be indemnified under this Agreement on the Indemnitee without the Indemnitee’s prior written consent.</w:t>
      </w:r>
    </w:p>
    <w:p>
      <w:pPr>
        <w:spacing w:after="0" w:line="142" w:lineRule="exact"/>
        <w:rPr>
          <w:rFonts w:ascii="Arial" w:cs="Arial" w:eastAsia="Arial" w:hAnsi="Arial"/>
          <w:sz w:val="17"/>
          <w:szCs w:val="17"/>
          <w:color w:val="auto"/>
        </w:rPr>
      </w:pPr>
    </w:p>
    <w:p>
      <w:pPr>
        <w:ind w:left="320" w:hanging="320"/>
        <w:spacing w:after="0"/>
        <w:tabs>
          <w:tab w:leader="none" w:pos="3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PROCEDURE FOR NOTIFICATION AND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20" w:firstLine="4"/>
        <w:spacing w:after="0" w:line="259" w:lineRule="auto"/>
        <w:tabs>
          <w:tab w:leader="none" w:pos="58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186" w:lineRule="exact"/>
        <w:rPr>
          <w:rFonts w:ascii="Arial" w:cs="Arial" w:eastAsia="Arial" w:hAnsi="Arial"/>
          <w:sz w:val="18"/>
          <w:szCs w:val="18"/>
          <w:color w:val="auto"/>
        </w:rPr>
      </w:pPr>
    </w:p>
    <w:p>
      <w:pPr>
        <w:jc w:val="both"/>
        <w:ind w:left="320" w:firstLine="4"/>
        <w:spacing w:after="0" w:line="259" w:lineRule="auto"/>
        <w:tabs>
          <w:tab w:leader="none" w:pos="61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sole discretion. Following such a written application for indemnification by Indemnitee, the Indemnitee’s entitlement to indemnification shall be determined according to Section 12(a) of this Agreement.</w:t>
      </w:r>
    </w:p>
    <w:p>
      <w:pPr>
        <w:spacing w:after="0" w:line="182" w:lineRule="exact"/>
        <w:rPr>
          <w:rFonts w:ascii="Arial" w:cs="Arial" w:eastAsia="Arial" w:hAnsi="Arial"/>
          <w:sz w:val="18"/>
          <w:szCs w:val="18"/>
          <w:color w:val="auto"/>
        </w:rPr>
      </w:pPr>
    </w:p>
    <w:p>
      <w:pPr>
        <w:ind w:left="320" w:hanging="320"/>
        <w:spacing w:after="0"/>
        <w:tabs>
          <w:tab w:leader="none" w:pos="3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PROCEDURE UPON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20" w:firstLine="4"/>
        <w:spacing w:after="0" w:line="269" w:lineRule="auto"/>
        <w:tabs>
          <w:tab w:leader="none" w:pos="567" w:val="left"/>
        </w:tabs>
        <w:numPr>
          <w:ilvl w:val="1"/>
          <w:numId w:val="150"/>
        </w:numPr>
        <w:rPr>
          <w:rFonts w:ascii="Arial" w:cs="Arial" w:eastAsia="Arial" w:hAnsi="Arial"/>
          <w:sz w:val="17"/>
          <w:szCs w:val="17"/>
          <w:color w:val="auto"/>
        </w:rPr>
      </w:pPr>
      <w:r>
        <w:rPr>
          <w:rFonts w:ascii="Arial" w:cs="Arial" w:eastAsia="Arial" w:hAnsi="Arial"/>
          <w:sz w:val="17"/>
          <w:szCs w:val="17"/>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or (ii)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232" w:name="page233"/>
    <w:bookmarkEnd w:id="232"/>
    <w:p>
      <w:pPr>
        <w:jc w:val="both"/>
        <w:ind w:left="320" w:firstLine="4"/>
        <w:spacing w:after="0" w:line="285" w:lineRule="auto"/>
        <w:tabs>
          <w:tab w:leader="none" w:pos="604" w:val="left"/>
        </w:tabs>
        <w:numPr>
          <w:ilvl w:val="1"/>
          <w:numId w:val="151"/>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11(a)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70" w:lineRule="exact"/>
        <w:rPr>
          <w:rFonts w:ascii="Arial" w:cs="Arial" w:eastAsia="Arial" w:hAnsi="Arial"/>
          <w:sz w:val="16"/>
          <w:szCs w:val="16"/>
          <w:color w:val="auto"/>
        </w:rPr>
      </w:pPr>
    </w:p>
    <w:p>
      <w:pPr>
        <w:ind w:left="320" w:firstLine="4"/>
        <w:spacing w:after="0" w:line="342" w:lineRule="auto"/>
        <w:tabs>
          <w:tab w:leader="none" w:pos="573"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19" w:lineRule="exact"/>
        <w:rPr>
          <w:rFonts w:ascii="Arial" w:cs="Arial" w:eastAsia="Arial" w:hAnsi="Arial"/>
          <w:sz w:val="16"/>
          <w:szCs w:val="16"/>
          <w:color w:val="auto"/>
        </w:rPr>
      </w:pPr>
    </w:p>
    <w:p>
      <w:pPr>
        <w:ind w:left="320" w:hanging="320"/>
        <w:spacing w:after="0"/>
        <w:tabs>
          <w:tab w:leader="none" w:pos="320" w:val="left"/>
        </w:tabs>
        <w:numPr>
          <w:ilvl w:val="0"/>
          <w:numId w:val="152"/>
        </w:numPr>
        <w:rPr>
          <w:rFonts w:ascii="Arial" w:cs="Arial" w:eastAsia="Arial" w:hAnsi="Arial"/>
          <w:sz w:val="18"/>
          <w:szCs w:val="18"/>
          <w:color w:val="auto"/>
        </w:rPr>
      </w:pPr>
      <w:r>
        <w:rPr>
          <w:rFonts w:ascii="Arial" w:cs="Arial" w:eastAsia="Arial" w:hAnsi="Arial"/>
          <w:sz w:val="18"/>
          <w:szCs w:val="18"/>
          <w:b w:val="1"/>
          <w:bCs w:val="1"/>
          <w:color w:val="auto"/>
        </w:rPr>
        <w:t>PRESUMPTIONS AND EFFECT OF CERTAIN PROCEEDINGS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20" w:firstLine="4"/>
        <w:spacing w:after="0" w:line="271" w:lineRule="auto"/>
        <w:tabs>
          <w:tab w:leader="none" w:pos="574" w:val="left"/>
        </w:tabs>
        <w:numPr>
          <w:ilvl w:val="1"/>
          <w:numId w:val="152"/>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33" w:name="page234"/>
    <w:bookmarkEnd w:id="233"/>
    <w:p>
      <w:pPr>
        <w:jc w:val="both"/>
        <w:ind w:left="320" w:firstLine="4"/>
        <w:spacing w:after="0" w:line="271" w:lineRule="auto"/>
        <w:tabs>
          <w:tab w:leader="none" w:pos="612" w:val="left"/>
        </w:tabs>
        <w:numPr>
          <w:ilvl w:val="1"/>
          <w:numId w:val="153"/>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auto"/>
        </w:rPr>
      </w:pPr>
    </w:p>
    <w:p>
      <w:pPr>
        <w:jc w:val="both"/>
        <w:ind w:left="320" w:firstLine="4"/>
        <w:spacing w:after="0" w:line="257" w:lineRule="auto"/>
        <w:tabs>
          <w:tab w:leader="none" w:pos="5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reasonably believed to be in or not opposed to the best interests of the Company, with respect to any criminal Proceeding, that Indemnitee had reasonable cause to believe that his conduct was unlawful, in each case.</w:t>
      </w:r>
    </w:p>
    <w:p>
      <w:pPr>
        <w:spacing w:after="0" w:line="188" w:lineRule="exact"/>
        <w:rPr>
          <w:rFonts w:ascii="Arial" w:cs="Arial" w:eastAsia="Arial" w:hAnsi="Arial"/>
          <w:sz w:val="18"/>
          <w:szCs w:val="18"/>
          <w:color w:val="auto"/>
        </w:rPr>
      </w:pPr>
    </w:p>
    <w:p>
      <w:pPr>
        <w:jc w:val="both"/>
        <w:ind w:left="320" w:firstLine="4"/>
        <w:spacing w:after="0" w:line="290" w:lineRule="auto"/>
        <w:tabs>
          <w:tab w:leader="none" w:pos="593" w:val="left"/>
        </w:tabs>
        <w:numPr>
          <w:ilvl w:val="1"/>
          <w:numId w:val="153"/>
        </w:numPr>
        <w:rPr>
          <w:rFonts w:ascii="Arial" w:cs="Arial" w:eastAsia="Arial" w:hAnsi="Arial"/>
          <w:sz w:val="16"/>
          <w:szCs w:val="16"/>
          <w:color w:val="auto"/>
        </w:rPr>
      </w:pPr>
      <w:r>
        <w:rPr>
          <w:rFonts w:ascii="Arial" w:cs="Arial" w:eastAsia="Arial" w:hAnsi="Arial"/>
          <w:sz w:val="16"/>
          <w:szCs w:val="16"/>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or officers of the Enterprise in the course of their duties, or on the advice of legal counsel for the Enterprise, its Board, any committee of the Board or any director, or on information or records given or reports made to the Enterprise, its Board, any committee of the Board or any director, by an independent certified public accountant or by an appraiser or other expert selected by the Enterprise, its Board, any committee of the Board or any director, absent a misstatement by Indemnitee of a material fact, or an omission of a material fact necessary to make Indemnitee’s statement not materially misleading, in connection with the determination.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66" w:lineRule="exact"/>
        <w:rPr>
          <w:rFonts w:ascii="Arial" w:cs="Arial" w:eastAsia="Arial" w:hAnsi="Arial"/>
          <w:sz w:val="16"/>
          <w:szCs w:val="16"/>
          <w:color w:val="auto"/>
        </w:rPr>
      </w:pPr>
    </w:p>
    <w:p>
      <w:pPr>
        <w:ind w:left="320" w:firstLine="4"/>
        <w:spacing w:after="0" w:line="308" w:lineRule="auto"/>
        <w:tabs>
          <w:tab w:leader="none" w:pos="565"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42" w:lineRule="exact"/>
        <w:rPr>
          <w:rFonts w:ascii="Arial" w:cs="Arial" w:eastAsia="Arial" w:hAnsi="Arial"/>
          <w:sz w:val="17"/>
          <w:szCs w:val="17"/>
          <w:color w:val="auto"/>
        </w:rPr>
      </w:pPr>
    </w:p>
    <w:p>
      <w:pPr>
        <w:ind w:left="320" w:hanging="320"/>
        <w:spacing w:after="0"/>
        <w:tabs>
          <w:tab w:leader="none" w:pos="32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REMEDIES OF INDEMNITEE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20" w:firstLine="4"/>
        <w:spacing w:after="0" w:line="269" w:lineRule="auto"/>
        <w:tabs>
          <w:tab w:leader="none" w:pos="573" w:val="left"/>
        </w:tabs>
        <w:numPr>
          <w:ilvl w:val="1"/>
          <w:numId w:val="154"/>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the Agreement, (iv) payment of indemnification is not made pursuant to Section 5, 6, 7 or the last sentence of Section 12(a) of this Agreement within the timeline set forth in the Agreement, (v) a contribution payment is not made in a timely manner pursuant to Section 8 of this Agreement, (vi) payment of indemnification pursuant to Section 3 or 4 of this Agreement is not made within the timeline set forth in the Agreement, or (vii) payment to Indemnitee pursuant to any hold harmless or exoneration rights under this Agreement or otherwise is not made within the timeline set forth in the Agreement, Indemnitee shall be entitled to an adjudication by the Delaware Court to such indemnification, hold harmless, exoneration, contribution or advancement rights. Alternatively, Indemnitee, at his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179" w:lineRule="exact"/>
        <w:rPr>
          <w:rFonts w:ascii="Arial" w:cs="Arial" w:eastAsia="Arial" w:hAnsi="Arial"/>
          <w:sz w:val="17"/>
          <w:szCs w:val="17"/>
          <w:color w:val="auto"/>
        </w:rPr>
      </w:pPr>
    </w:p>
    <w:p>
      <w:pPr>
        <w:jc w:val="both"/>
        <w:ind w:left="320" w:firstLine="4"/>
        <w:spacing w:after="0" w:line="290" w:lineRule="auto"/>
        <w:tabs>
          <w:tab w:leader="none" w:pos="626" w:val="left"/>
        </w:tabs>
        <w:numPr>
          <w:ilvl w:val="1"/>
          <w:numId w:val="154"/>
        </w:numPr>
        <w:rPr>
          <w:rFonts w:ascii="Arial" w:cs="Arial" w:eastAsia="Arial" w:hAnsi="Arial"/>
          <w:sz w:val="16"/>
          <w:szCs w:val="16"/>
          <w:color w:val="auto"/>
        </w:rPr>
      </w:pPr>
      <w:r>
        <w:rPr>
          <w:rFonts w:ascii="Arial" w:cs="Arial" w:eastAsia="Arial" w:hAnsi="Arial"/>
          <w:sz w:val="16"/>
          <w:szCs w:val="16"/>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34" w:name="page235"/>
    <w:bookmarkEnd w:id="234"/>
    <w:p>
      <w:pPr>
        <w:jc w:val="both"/>
        <w:ind w:left="320" w:firstLine="4"/>
        <w:spacing w:after="0" w:line="259" w:lineRule="auto"/>
        <w:tabs>
          <w:tab w:leader="none" w:pos="577"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jc w:val="both"/>
        <w:ind w:left="320" w:firstLine="4"/>
        <w:spacing w:after="0" w:line="264" w:lineRule="auto"/>
        <w:tabs>
          <w:tab w:leader="none" w:pos="57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81" w:lineRule="exact"/>
        <w:rPr>
          <w:rFonts w:ascii="Arial" w:cs="Arial" w:eastAsia="Arial" w:hAnsi="Arial"/>
          <w:sz w:val="18"/>
          <w:szCs w:val="18"/>
          <w:color w:val="auto"/>
        </w:rPr>
      </w:pPr>
    </w:p>
    <w:p>
      <w:pPr>
        <w:jc w:val="both"/>
        <w:ind w:left="320" w:firstLine="4"/>
        <w:spacing w:after="0" w:line="271" w:lineRule="auto"/>
        <w:tabs>
          <w:tab w:leader="none" w:pos="593"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rights under, or to recover damages for breach of, this Agreement or any other indemnification, hold harmless, exoneration, advancement or contribution agreement or provision of the Charter, or the Company’s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7"/>
          <w:szCs w:val="17"/>
          <w:color w:val="auto"/>
        </w:rPr>
      </w:pPr>
    </w:p>
    <w:p>
      <w:pPr>
        <w:jc w:val="both"/>
        <w:ind w:left="320" w:firstLine="4"/>
        <w:spacing w:after="0" w:line="279" w:lineRule="auto"/>
        <w:tabs>
          <w:tab w:leader="none" w:pos="568" w:val="left"/>
        </w:tabs>
        <w:numPr>
          <w:ilvl w:val="1"/>
          <w:numId w:val="155"/>
        </w:numPr>
        <w:rPr>
          <w:rFonts w:ascii="Arial" w:cs="Arial" w:eastAsia="Arial" w:hAnsi="Arial"/>
          <w:sz w:val="17"/>
          <w:szCs w:val="17"/>
          <w:color w:val="auto"/>
        </w:rPr>
      </w:pPr>
      <w:r>
        <w:rPr>
          <w:rFonts w:ascii="Arial" w:cs="Arial" w:eastAsia="Arial" w:hAnsi="Arial"/>
          <w:sz w:val="17"/>
          <w:szCs w:val="17"/>
          <w:color w:val="auto"/>
        </w:rPr>
        <w:t>Interest shall be paid by the Company to Indemnitee at the legal rate under Delaware law for amounts which the Company indemnifies, holds harmless or exonerates, or is obliged to indemnify, hold harmless or exonerate for the period commencing with the date on which the determination is made that the Indemnitee is entitled to such indemnification, to be held harmless, exonerated, contribution, reimbursement or advancement of any Expenses and ending with the date on which such payment is made to Indemnitee by the Company.</w:t>
      </w:r>
    </w:p>
    <w:p>
      <w:pPr>
        <w:spacing w:after="0" w:line="167" w:lineRule="exact"/>
        <w:rPr>
          <w:rFonts w:ascii="Arial" w:cs="Arial" w:eastAsia="Arial" w:hAnsi="Arial"/>
          <w:sz w:val="17"/>
          <w:szCs w:val="17"/>
          <w:color w:val="auto"/>
        </w:rPr>
      </w:pPr>
    </w:p>
    <w:p>
      <w:pPr>
        <w:jc w:val="both"/>
        <w:ind w:left="320" w:hanging="320"/>
        <w:spacing w:after="0" w:line="261" w:lineRule="auto"/>
        <w:tabs>
          <w:tab w:leader="none" w:pos="32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to the extent requested by the Indemnitee and approved by the Board,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80" w:lineRule="exact"/>
        <w:rPr>
          <w:rFonts w:ascii="Arial" w:cs="Arial" w:eastAsia="Arial" w:hAnsi="Arial"/>
          <w:sz w:val="18"/>
          <w:szCs w:val="18"/>
          <w:color w:val="auto"/>
        </w:rPr>
      </w:pPr>
    </w:p>
    <w:p>
      <w:pPr>
        <w:ind w:left="320" w:hanging="320"/>
        <w:spacing w:after="0"/>
        <w:tabs>
          <w:tab w:leader="none" w:pos="32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NON-EXCLUSIVITY; SURVIVAL OF RIGHTS; INSURANCE; SUBROGATION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20" w:firstLine="4"/>
        <w:spacing w:after="0" w:line="286" w:lineRule="auto"/>
        <w:tabs>
          <w:tab w:leader="none" w:pos="57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The rights of Indemnitee as provided by this Agreement shall not be deemed exclusive of any other rights to which Indemnitee may at any time be entitled under applicable law, the Charter, the Company’s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Company’s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to the extent of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the Indemnitee. The assertion or employment of any right or remedy hereunder, or otherwise, shall not prevent the concurrent assertion or employment of any other right or remedy.</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35" w:name="page236"/>
    <w:bookmarkEnd w:id="235"/>
    <w:p>
      <w:pPr>
        <w:jc w:val="both"/>
        <w:ind w:left="320" w:firstLine="4"/>
        <w:spacing w:after="0" w:line="271" w:lineRule="auto"/>
        <w:tabs>
          <w:tab w:leader="none" w:pos="604" w:val="left"/>
        </w:tabs>
        <w:numPr>
          <w:ilvl w:val="1"/>
          <w:numId w:val="157"/>
        </w:numPr>
        <w:rPr>
          <w:rFonts w:ascii="Arial" w:cs="Arial" w:eastAsia="Arial" w:hAnsi="Arial"/>
          <w:sz w:val="17"/>
          <w:szCs w:val="17"/>
          <w:color w:val="auto"/>
        </w:rPr>
      </w:pPr>
      <w:r>
        <w:rPr>
          <w:rFonts w:ascii="Arial" w:cs="Arial" w:eastAsia="Arial" w:hAnsi="Arial"/>
          <w:sz w:val="17"/>
          <w:szCs w:val="17"/>
          <w:color w:val="auto"/>
        </w:rPr>
        <w:t>The DGCL and the Company’s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7"/>
          <w:szCs w:val="17"/>
          <w:b w:val="1"/>
          <w:bCs w:val="1"/>
          <w:i w:val="1"/>
          <w:iCs w:val="1"/>
          <w:color w:val="auto"/>
        </w:rPr>
        <w:t>Indemnification Arrangements</w:t>
      </w:r>
      <w:r>
        <w:rPr>
          <w:rFonts w:ascii="Arial" w:cs="Arial" w:eastAsia="Arial" w:hAnsi="Arial"/>
          <w:sz w:val="17"/>
          <w:szCs w:val="17"/>
          <w:color w:val="auto"/>
        </w:rPr>
        <w:t>”) on behalf of Indemnitee against any liability asserted against him or incurred by or on behalf of him or in such capacity as a director, officer, employee or agent of the Company, or arising out of his status as such, whether or not the Company would have the power to indemnify him against such liability under the provisions of this Agreement.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178" w:lineRule="exact"/>
        <w:rPr>
          <w:rFonts w:ascii="Arial" w:cs="Arial" w:eastAsia="Arial" w:hAnsi="Arial"/>
          <w:sz w:val="17"/>
          <w:szCs w:val="17"/>
          <w:color w:val="auto"/>
        </w:rPr>
      </w:pPr>
    </w:p>
    <w:p>
      <w:pPr>
        <w:jc w:val="both"/>
        <w:ind w:left="320" w:firstLine="4"/>
        <w:spacing w:after="0" w:line="290" w:lineRule="auto"/>
        <w:tabs>
          <w:tab w:leader="none" w:pos="586" w:val="left"/>
        </w:tabs>
        <w:numPr>
          <w:ilvl w:val="1"/>
          <w:numId w:val="157"/>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trustees, partners,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managing member, fiduciary, employee or agent under such policy or policies. If, at the time the Company receives notice from any source of a Proceeding as to which Indemnitee is a party or a participant (as a witness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66" w:lineRule="exact"/>
        <w:rPr>
          <w:rFonts w:ascii="Arial" w:cs="Arial" w:eastAsia="Arial" w:hAnsi="Arial"/>
          <w:sz w:val="16"/>
          <w:szCs w:val="16"/>
          <w:color w:val="auto"/>
        </w:rPr>
      </w:pPr>
    </w:p>
    <w:p>
      <w:pPr>
        <w:jc w:val="both"/>
        <w:ind w:left="320" w:firstLine="4"/>
        <w:spacing w:after="0" w:line="264" w:lineRule="auto"/>
        <w:tabs>
          <w:tab w:leader="none" w:pos="575"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81" w:lineRule="exact"/>
        <w:rPr>
          <w:rFonts w:ascii="Arial" w:cs="Arial" w:eastAsia="Arial" w:hAnsi="Arial"/>
          <w:sz w:val="18"/>
          <w:szCs w:val="18"/>
          <w:color w:val="auto"/>
        </w:rPr>
      </w:pPr>
    </w:p>
    <w:p>
      <w:pPr>
        <w:jc w:val="both"/>
        <w:ind w:left="320" w:firstLine="4"/>
        <w:spacing w:after="0" w:line="273" w:lineRule="auto"/>
        <w:tabs>
          <w:tab w:leader="none" w:pos="589" w:val="left"/>
        </w:tabs>
        <w:numPr>
          <w:ilvl w:val="1"/>
          <w:numId w:val="157"/>
        </w:numPr>
        <w:rPr>
          <w:rFonts w:ascii="Arial" w:cs="Arial" w:eastAsia="Arial" w:hAnsi="Arial"/>
          <w:sz w:val="17"/>
          <w:szCs w:val="17"/>
          <w:color w:val="auto"/>
        </w:rPr>
      </w:pPr>
      <w:r>
        <w:rPr>
          <w:rFonts w:ascii="Arial" w:cs="Arial" w:eastAsia="Arial" w:hAnsi="Arial"/>
          <w:sz w:val="17"/>
          <w:szCs w:val="17"/>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74" w:lineRule="exact"/>
        <w:rPr>
          <w:rFonts w:ascii="Arial" w:cs="Arial" w:eastAsia="Arial" w:hAnsi="Arial"/>
          <w:sz w:val="17"/>
          <w:szCs w:val="17"/>
          <w:color w:val="auto"/>
        </w:rPr>
      </w:pPr>
    </w:p>
    <w:p>
      <w:pPr>
        <w:jc w:val="both"/>
        <w:ind w:left="320" w:hanging="320"/>
        <w:spacing w:after="0" w:line="274" w:lineRule="auto"/>
        <w:tabs>
          <w:tab w:leader="none" w:pos="320" w:val="left"/>
        </w:tabs>
        <w:numPr>
          <w:ilvl w:val="0"/>
          <w:numId w:val="158"/>
        </w:numPr>
        <w:rPr>
          <w:rFonts w:ascii="Arial" w:cs="Arial" w:eastAsia="Arial" w:hAnsi="Arial"/>
          <w:sz w:val="17"/>
          <w:szCs w:val="17"/>
          <w:color w:val="auto"/>
        </w:rPr>
      </w:pPr>
      <w:r>
        <w:rPr>
          <w:rFonts w:ascii="Arial" w:cs="Arial" w:eastAsia="Arial" w:hAnsi="Arial"/>
          <w:sz w:val="17"/>
          <w:szCs w:val="17"/>
          <w:b w:val="1"/>
          <w:bCs w:val="1"/>
          <w:color w:val="auto"/>
        </w:rPr>
        <w:t>DURATION OF AGREEMENT</w:t>
      </w:r>
      <w:r>
        <w:rPr>
          <w:rFonts w:ascii="Arial" w:cs="Arial" w:eastAsia="Arial" w:hAnsi="Arial"/>
          <w:sz w:val="17"/>
          <w:szCs w:val="17"/>
          <w:color w:val="auto"/>
        </w:rPr>
        <w:t>. All agreements and obligations of the Company contained herein shall continue during the period Indemnitee serves</w:t>
      </w:r>
      <w:r>
        <w:rPr>
          <w:rFonts w:ascii="Arial" w:cs="Arial" w:eastAsia="Arial" w:hAnsi="Arial"/>
          <w:sz w:val="17"/>
          <w:szCs w:val="17"/>
          <w:b w:val="1"/>
          <w:bCs w:val="1"/>
          <w:color w:val="auto"/>
        </w:rPr>
        <w:t xml:space="preserve"> </w:t>
      </w:r>
      <w:r>
        <w:rPr>
          <w:rFonts w:ascii="Arial" w:cs="Arial" w:eastAsia="Arial" w:hAnsi="Arial"/>
          <w:sz w:val="17"/>
          <w:szCs w:val="17"/>
          <w:color w:val="auto"/>
        </w:rPr>
        <w:t>as a director or officer of the Company or as a director, officer, trustee, partner,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can be provided under this Agreement.</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36" w:name="page237"/>
    <w:bookmarkEnd w:id="236"/>
    <w:p>
      <w:pPr>
        <w:jc w:val="both"/>
        <w:ind w:left="320" w:hanging="320"/>
        <w:spacing w:after="0" w:line="272" w:lineRule="auto"/>
        <w:tabs>
          <w:tab w:leader="none" w:pos="320" w:val="left"/>
        </w:tabs>
        <w:numPr>
          <w:ilvl w:val="0"/>
          <w:numId w:val="159"/>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(a)</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2" w:lineRule="exact"/>
        <w:rPr>
          <w:rFonts w:ascii="Arial" w:cs="Arial" w:eastAsia="Arial" w:hAnsi="Arial"/>
          <w:sz w:val="17"/>
          <w:szCs w:val="17"/>
          <w:color w:val="auto"/>
        </w:rPr>
      </w:pPr>
    </w:p>
    <w:p>
      <w:pPr>
        <w:ind w:left="320" w:hanging="320"/>
        <w:spacing w:after="0"/>
        <w:tabs>
          <w:tab w:leader="none" w:pos="32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20" w:firstLine="4"/>
        <w:spacing w:after="0" w:line="264" w:lineRule="auto"/>
        <w:tabs>
          <w:tab w:leader="none" w:pos="57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1" w:lineRule="exact"/>
        <w:rPr>
          <w:rFonts w:ascii="Arial" w:cs="Arial" w:eastAsia="Arial" w:hAnsi="Arial"/>
          <w:sz w:val="18"/>
          <w:szCs w:val="18"/>
          <w:color w:val="auto"/>
        </w:rPr>
      </w:pPr>
    </w:p>
    <w:p>
      <w:pPr>
        <w:jc w:val="both"/>
        <w:ind w:left="320" w:firstLine="4"/>
        <w:spacing w:after="0" w:line="286" w:lineRule="auto"/>
        <w:tabs>
          <w:tab w:leader="none" w:pos="592" w:val="left"/>
        </w:tabs>
        <w:numPr>
          <w:ilvl w:val="1"/>
          <w:numId w:val="159"/>
        </w:numPr>
        <w:rPr>
          <w:rFonts w:ascii="Arial" w:cs="Arial" w:eastAsia="Arial" w:hAnsi="Arial"/>
          <w:sz w:val="17"/>
          <w:szCs w:val="17"/>
          <w:color w:val="auto"/>
        </w:rPr>
      </w:pPr>
      <w:r>
        <w:rPr>
          <w:rFonts w:ascii="Arial" w:cs="Arial" w:eastAsia="Arial" w:hAnsi="Arial"/>
          <w:sz w:val="17"/>
          <w:szCs w:val="17"/>
          <w:color w:val="auto"/>
        </w:rPr>
        <w:t>Without limiting any of the rights of Indemnitee under the Charter or Bylaws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65" w:lineRule="exact"/>
        <w:rPr>
          <w:rFonts w:ascii="Arial" w:cs="Arial" w:eastAsia="Arial" w:hAnsi="Arial"/>
          <w:sz w:val="17"/>
          <w:szCs w:val="17"/>
          <w:color w:val="auto"/>
        </w:rPr>
      </w:pPr>
    </w:p>
    <w:p>
      <w:pPr>
        <w:jc w:val="both"/>
        <w:ind w:left="320" w:firstLine="4"/>
        <w:spacing w:after="0" w:line="276" w:lineRule="auto"/>
        <w:tabs>
          <w:tab w:leader="none" w:pos="578" w:val="left"/>
        </w:tabs>
        <w:numPr>
          <w:ilvl w:val="1"/>
          <w:numId w:val="159"/>
        </w:numPr>
        <w:rPr>
          <w:rFonts w:ascii="Arial" w:cs="Arial" w:eastAsia="Arial" w:hAnsi="Arial"/>
          <w:sz w:val="17"/>
          <w:szCs w:val="17"/>
          <w:color w:val="auto"/>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of any other Enterprise at the Company’s request, and shall inure to the benefit of Indemnitee and his spouse, assigns, heirs, devisees, executors and administrators and other legal representatives.</w:t>
      </w:r>
    </w:p>
    <w:p>
      <w:pPr>
        <w:spacing w:after="0" w:line="172" w:lineRule="exact"/>
        <w:rPr>
          <w:rFonts w:ascii="Arial" w:cs="Arial" w:eastAsia="Arial" w:hAnsi="Arial"/>
          <w:sz w:val="17"/>
          <w:szCs w:val="17"/>
          <w:color w:val="auto"/>
        </w:rPr>
      </w:pPr>
    </w:p>
    <w:p>
      <w:pPr>
        <w:jc w:val="both"/>
        <w:ind w:left="320" w:firstLine="4"/>
        <w:spacing w:after="0" w:line="259" w:lineRule="auto"/>
        <w:tabs>
          <w:tab w:leader="none" w:pos="607"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Company shall use its best efforts to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auto"/>
        </w:rPr>
      </w:pPr>
    </w:p>
    <w:p>
      <w:pPr>
        <w:jc w:val="both"/>
        <w:ind w:left="320" w:firstLine="4"/>
        <w:spacing w:after="0" w:line="253" w:lineRule="auto"/>
        <w:tabs>
          <w:tab w:leader="none" w:pos="60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such a bond or undertaking.</w:t>
      </w:r>
    </w:p>
    <w:p>
      <w:pPr>
        <w:spacing w:after="0" w:line="193" w:lineRule="exact"/>
        <w:rPr>
          <w:rFonts w:ascii="Arial" w:cs="Arial" w:eastAsia="Arial" w:hAnsi="Arial"/>
          <w:sz w:val="18"/>
          <w:szCs w:val="18"/>
          <w:color w:val="auto"/>
        </w:rPr>
      </w:pPr>
    </w:p>
    <w:p>
      <w:pPr>
        <w:jc w:val="both"/>
        <w:ind w:left="320" w:hanging="320"/>
        <w:spacing w:after="0" w:line="266" w:lineRule="auto"/>
        <w:tabs>
          <w:tab w:leader="none" w:pos="32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 writing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6" w:lineRule="exact"/>
        <w:rPr>
          <w:rFonts w:ascii="Arial" w:cs="Arial" w:eastAsia="Arial" w:hAnsi="Arial"/>
          <w:sz w:val="18"/>
          <w:szCs w:val="18"/>
          <w:color w:val="auto"/>
        </w:rPr>
      </w:pPr>
    </w:p>
    <w:p>
      <w:pPr>
        <w:jc w:val="both"/>
        <w:ind w:left="320" w:hanging="320"/>
        <w:spacing w:after="0" w:line="289" w:lineRule="auto"/>
        <w:tabs>
          <w:tab w:leader="none" w:pos="320" w:val="left"/>
        </w:tabs>
        <w:numPr>
          <w:ilvl w:val="0"/>
          <w:numId w:val="159"/>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w:t>
      </w:r>
      <w:r>
        <w:rPr>
          <w:rFonts w:ascii="Arial" w:cs="Arial" w:eastAsia="Arial" w:hAnsi="Arial"/>
          <w:sz w:val="17"/>
          <w:szCs w:val="17"/>
          <w:b w:val="1"/>
          <w:bCs w:val="1"/>
          <w:color w:val="auto"/>
        </w:rPr>
        <w:t xml:space="preserve"> </w:t>
      </w:r>
      <w:r>
        <w:rPr>
          <w:rFonts w:ascii="Arial" w:cs="Arial" w:eastAsia="Arial" w:hAnsi="Arial"/>
          <w:sz w:val="17"/>
          <w:szCs w:val="17"/>
          <w:color w:val="auto"/>
        </w:rPr>
        <w:t>given (i) if delivered by hand and receipted for by the party to whom said notice or other communication shall have been directed, or (ii) mailed by certified or registered mail with postage prepaid, on the third (3rd) business day after the date on which it is so mailed:</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237" w:name="page238"/>
    <w:bookmarkEnd w:id="237"/>
    <w:p>
      <w:pPr>
        <w:ind w:left="320" w:firstLine="4"/>
        <w:spacing w:after="0" w:line="277" w:lineRule="auto"/>
        <w:tabs>
          <w:tab w:leader="none" w:pos="57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580" w:hanging="256"/>
        <w:spacing w:after="0"/>
        <w:tabs>
          <w:tab w:leader="none" w:pos="5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Attn: Joshua Sason, Chief Executive Officer</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left="320" w:hanging="320"/>
        <w:spacing w:after="0" w:line="254" w:lineRule="auto"/>
        <w:tabs>
          <w:tab w:leader="none" w:pos="32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APPLICABLE LAW AND CONSENT TO JURISDICTION</w:t>
      </w:r>
      <w:r>
        <w:rPr>
          <w:rFonts w:ascii="Arial" w:cs="Arial" w:eastAsia="Arial" w:hAnsi="Arial"/>
          <w:sz w:val="18"/>
          <w:szCs w:val="18"/>
          <w:color w:val="auto"/>
        </w:rPr>
        <w:t>. This Agreement and the legal relations among the parties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189" w:lineRule="exact"/>
        <w:rPr>
          <w:rFonts w:ascii="Arial" w:cs="Arial" w:eastAsia="Arial" w:hAnsi="Arial"/>
          <w:sz w:val="18"/>
          <w:szCs w:val="18"/>
          <w:color w:val="auto"/>
        </w:rPr>
      </w:pPr>
    </w:p>
    <w:p>
      <w:pPr>
        <w:jc w:val="both"/>
        <w:ind w:left="320" w:hanging="320"/>
        <w:spacing w:after="0" w:line="266" w:lineRule="auto"/>
        <w:tabs>
          <w:tab w:leader="none" w:pos="32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6" w:lineRule="exact"/>
        <w:rPr>
          <w:rFonts w:ascii="Arial" w:cs="Arial" w:eastAsia="Arial" w:hAnsi="Arial"/>
          <w:sz w:val="18"/>
          <w:szCs w:val="18"/>
          <w:color w:val="auto"/>
        </w:rPr>
      </w:pPr>
    </w:p>
    <w:p>
      <w:pPr>
        <w:jc w:val="both"/>
        <w:ind w:left="320" w:hanging="320"/>
        <w:spacing w:after="0" w:line="266" w:lineRule="auto"/>
        <w:tabs>
          <w:tab w:leader="none" w:pos="32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 headings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paragraphs of this Agreement are inserted for convenience only and shall not be deemed to constitute part of this Agreement or to affect the construction thereof.</w:t>
      </w:r>
    </w:p>
    <w:p>
      <w:pPr>
        <w:spacing w:after="0" w:line="176" w:lineRule="exact"/>
        <w:rPr>
          <w:rFonts w:ascii="Arial" w:cs="Arial" w:eastAsia="Arial" w:hAnsi="Arial"/>
          <w:sz w:val="18"/>
          <w:szCs w:val="18"/>
          <w:color w:val="auto"/>
        </w:rPr>
      </w:pPr>
    </w:p>
    <w:p>
      <w:pPr>
        <w:jc w:val="both"/>
        <w:ind w:left="320" w:hanging="320"/>
        <w:spacing w:after="0" w:line="258" w:lineRule="auto"/>
        <w:tabs>
          <w:tab w:leader="none" w:pos="32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83" w:lineRule="exact"/>
        <w:rPr>
          <w:rFonts w:ascii="Arial" w:cs="Arial" w:eastAsia="Arial" w:hAnsi="Arial"/>
          <w:sz w:val="18"/>
          <w:szCs w:val="18"/>
          <w:color w:val="auto"/>
        </w:rPr>
      </w:pPr>
    </w:p>
    <w:p>
      <w:pPr>
        <w:jc w:val="both"/>
        <w:ind w:left="320" w:hanging="320"/>
        <w:spacing w:after="0" w:line="266" w:lineRule="auto"/>
        <w:tabs>
          <w:tab w:leader="none" w:pos="32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undertakes to cause such act, resolution, approval or other procedure to be affected or adopted in a manner that will enable the Company to fulfill its obligations under this Agreement.</w:t>
      </w:r>
    </w:p>
    <w:p>
      <w:pPr>
        <w:spacing w:after="0" w:line="176" w:lineRule="exact"/>
        <w:rPr>
          <w:rFonts w:ascii="Arial" w:cs="Arial" w:eastAsia="Arial" w:hAnsi="Arial"/>
          <w:sz w:val="18"/>
          <w:szCs w:val="18"/>
          <w:color w:val="auto"/>
        </w:rPr>
      </w:pPr>
    </w:p>
    <w:p>
      <w:pPr>
        <w:jc w:val="both"/>
        <w:ind w:left="320" w:hanging="320"/>
        <w:spacing w:after="0" w:line="303" w:lineRule="auto"/>
        <w:tabs>
          <w:tab w:leader="none" w:pos="320" w:val="left"/>
        </w:tabs>
        <w:numPr>
          <w:ilvl w:val="0"/>
          <w:numId w:val="161"/>
        </w:numPr>
        <w:rPr>
          <w:rFonts w:ascii="Arial" w:cs="Arial" w:eastAsia="Arial" w:hAnsi="Arial"/>
          <w:sz w:val="16"/>
          <w:szCs w:val="16"/>
          <w:color w:val="auto"/>
        </w:rPr>
      </w:pPr>
      <w:r>
        <w:rPr>
          <w:rFonts w:ascii="Arial" w:cs="Arial" w:eastAsia="Arial" w:hAnsi="Arial"/>
          <w:sz w:val="16"/>
          <w:szCs w:val="16"/>
          <w:b w:val="1"/>
          <w:bCs w:val="1"/>
          <w:color w:val="auto"/>
        </w:rPr>
        <w:t xml:space="preserve">WAIVER OF TRUST CLAIMS. </w:t>
      </w:r>
      <w:r>
        <w:rPr>
          <w:rFonts w:ascii="Arial" w:cs="Arial" w:eastAsia="Arial" w:hAnsi="Arial"/>
          <w:sz w:val="16"/>
          <w:szCs w:val="16"/>
          <w:color w:val="auto"/>
        </w:rPr>
        <w:t>Notwithstanding anything to the contrary contained herein, Indemnitee hereby agrees that it does not have any right,</w:t>
      </w:r>
      <w:r>
        <w:rPr>
          <w:rFonts w:ascii="Arial" w:cs="Arial" w:eastAsia="Arial" w:hAnsi="Arial"/>
          <w:sz w:val="16"/>
          <w:szCs w:val="16"/>
          <w:b w:val="1"/>
          <w:bCs w:val="1"/>
          <w:color w:val="auto"/>
        </w:rPr>
        <w:t xml:space="preserve"> </w:t>
      </w:r>
      <w:r>
        <w:rPr>
          <w:rFonts w:ascii="Arial" w:cs="Arial" w:eastAsia="Arial" w:hAnsi="Arial"/>
          <w:sz w:val="16"/>
          <w:szCs w:val="16"/>
          <w:color w:val="auto"/>
        </w:rPr>
        <w:t>title, interest or claim of any kind (each, a “Claim”)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38" w:name="page239"/>
    <w:bookmarkEnd w:id="238"/>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Indemnity Agreement to be signed as of the day and year first above written.</w:t>
      </w:r>
    </w:p>
    <w:p>
      <w:pPr>
        <w:spacing w:after="0" w:line="24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M I Acquisitions, Inc.</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3458210</wp:posOffset>
            </wp:positionH>
            <wp:positionV relativeFrom="paragraph">
              <wp:posOffset>-130810</wp:posOffset>
            </wp:positionV>
            <wp:extent cx="328485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3458210</wp:posOffset>
            </wp:positionH>
            <wp:positionV relativeFrom="paragraph">
              <wp:posOffset>-130810</wp:posOffset>
            </wp:positionV>
            <wp:extent cx="328485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Address: [__________]</w:t>
      </w:r>
    </w:p>
    <w:p>
      <w:pPr>
        <w:spacing w:after="0" w:line="21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[Signature page to Indemnity Agreement]</w:t>
      </w:r>
    </w:p>
    <w:p>
      <w:pPr>
        <w:spacing w:after="0" w:line="200" w:lineRule="exact"/>
        <w:rPr>
          <w:sz w:val="20"/>
          <w:szCs w:val="20"/>
          <w:color w:val="auto"/>
        </w:rPr>
      </w:pPr>
    </w:p>
    <w:p>
      <w:pPr>
        <w:spacing w:after="0" w:line="234"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7620</wp:posOffset>
            </wp:positionV>
            <wp:extent cx="716089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180"/>
          </w:cols>
          <w:pgMar w:left="960" w:top="905" w:right="759" w:bottom="1440" w:gutter="0" w:footer="0" w:header="0"/>
        </w:sectPr>
      </w:pPr>
    </w:p>
    <w:bookmarkStart w:id="239" w:name="page240"/>
    <w:bookmarkEnd w:id="239"/>
    <w:p>
      <w:pPr>
        <w:ind w:left="10160"/>
        <w:spacing w:after="0"/>
        <w:rPr>
          <w:sz w:val="20"/>
          <w:szCs w:val="20"/>
          <w:color w:val="auto"/>
        </w:rPr>
      </w:pPr>
      <w:r>
        <w:rPr>
          <w:rFonts w:ascii="Arial" w:cs="Arial" w:eastAsia="Arial" w:hAnsi="Arial"/>
          <w:sz w:val="19"/>
          <w:szCs w:val="19"/>
          <w:b w:val="1"/>
          <w:bCs w:val="1"/>
          <w:color w:val="auto"/>
        </w:rPr>
        <w:t>Exhibit 10.7</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 Management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27" w:lineRule="exact"/>
        <w:rPr>
          <w:sz w:val="20"/>
          <w:szCs w:val="20"/>
          <w:color w:val="auto"/>
        </w:rPr>
      </w:pPr>
    </w:p>
    <w:p>
      <w:pPr>
        <w:ind w:left="9740"/>
        <w:spacing w:after="0"/>
        <w:rPr>
          <w:sz w:val="20"/>
          <w:szCs w:val="20"/>
          <w:color w:val="auto"/>
        </w:rPr>
      </w:pPr>
      <w:r>
        <w:rPr>
          <w:rFonts w:ascii="Arial" w:cs="Arial" w:eastAsia="Arial" w:hAnsi="Arial"/>
          <w:sz w:val="16"/>
          <w:szCs w:val="16"/>
          <w:color w:val="auto"/>
        </w:rPr>
        <w:t>____________,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letter will confirm our agreement that commencing on the effective date (the “Effective Date”) of the registration statement (the “Registration Statement”) relating to the initial public offering of the securities of M I Acquisitions, Inc. (the “Company”) and continuing until the consummation by the Company of its initial business combination or the distribution of the trust account to the Company’s then public shareholders (as described in the Registration Statement), Magna Management LLC (the “Firm”) shall make available to the Company certain general and administrative services, including the use of office space, utilities and secretarial support, as may be required by the Company from time to time, at [___________________] (or any</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successor location). In exchange therefor, the Company shall pay the Firm at the rate of $10,000 per month. Notwithstanding the foregoing, if the Company’s audit committee determines that the Company lacks sufficient funds outside of the trust account to pay its actual or anticipated expenses, all payments hereunder shall be deferred until the consummation of its initial business combination. Any such deferred amount shall accrue without interest and be due and payable no later than the date of the consummation of our initial business combination.</w:t>
      </w:r>
    </w:p>
    <w:p>
      <w:pPr>
        <w:spacing w:after="0" w:line="200" w:lineRule="exact"/>
        <w:rPr>
          <w:sz w:val="20"/>
          <w:szCs w:val="20"/>
          <w:color w:val="auto"/>
        </w:rPr>
      </w:pPr>
    </w:p>
    <w:p>
      <w:pPr>
        <w:spacing w:after="0" w:line="2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MAGNA MANAGEMENT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4010660</wp:posOffset>
            </wp:positionH>
            <wp:positionV relativeFrom="paragraph">
              <wp:posOffset>-130810</wp:posOffset>
            </wp:positionV>
            <wp:extent cx="313880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as of the date first written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by: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-130810</wp:posOffset>
            </wp:positionV>
            <wp:extent cx="313880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443230</wp:posOffset>
            </wp:positionV>
            <wp:extent cx="716089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10.8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280" w:firstLine="1297"/>
        <w:spacing w:after="0" w:line="264" w:lineRule="auto"/>
        <w:rPr>
          <w:sz w:val="20"/>
          <w:szCs w:val="20"/>
          <w:color w:val="auto"/>
        </w:rPr>
      </w:pPr>
      <w:r>
        <w:rPr>
          <w:rFonts w:ascii="Arial" w:cs="Arial" w:eastAsia="Arial" w:hAnsi="Arial"/>
          <w:sz w:val="18"/>
          <w:szCs w:val="18"/>
          <w:color w:val="auto"/>
        </w:rPr>
        <w:t>M I Acquisitions, Inc. (“Company”), a blank check company formed for the purpose of acquiring one or more businesses or entities (a “Business Combination”), intends to register its securities under the Securities Act of 1933, as amended (“Securities Act”), in connection with its initial public offering (“IPO”), pursuant to a registration statement on Form S-1 (“Registration Statement”).</w:t>
      </w:r>
    </w:p>
    <w:p>
      <w:pPr>
        <w:spacing w:after="0" w:line="181"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The undersigned hereby commits that it will purchase an aggregate of 250,000 units of the Company (“Private Units”), each Private Unit consisting of one share of Common Stock of the Company, par value $0.001 per share (the “Common Stock”), and one warrant entitling its holder to purchase one share of common Stock (each a “Warrant”), at $10.00 per Private Unit, for an aggregate purchase price of $4,025,000 (the “Private Unit Purchase Price”).</w:t>
      </w:r>
    </w:p>
    <w:p>
      <w:pPr>
        <w:spacing w:after="0" w:line="187"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The undersigned hereby commits that it will purchase an additional amount of units of the Company (“Over-Allotment Units”), up to a maximum of 22,500 Over-Allotment Units, or a maximum purchase price of $225,000 (“Over-Allotment Unit Purchase Price”, together with the Private Unit Purchase Price, the “Purchase Price”), in the event Chardan Capital Markets LLC (“Chardan”) exercises its over-allotment option, such that the amount held in the trust account (as described in the Registration Statement) does not fall below $10.00 per share for each share of Common Stock sold in the IPO.</w:t>
      </w:r>
    </w:p>
    <w:p>
      <w:pPr>
        <w:spacing w:after="0" w:line="188"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At least twenty-four (24) hours prior to the effective date of the Registration Statement, the undersigned will cause the Private Unit Purchase Price to be delivered to Loeb &amp; Loeb LLP (“Loeb”), counsel for the Company, by wire transfer as set forth in the instructions attached as Exhibit A to hold in a non-interest bearing account until the Company consummates the IPO.</w:t>
      </w:r>
    </w:p>
    <w:p>
      <w:pPr>
        <w:spacing w:after="0" w:line="181"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The consummation of the purchase and issuance of the Private Units shall occur simultaneously with the consummation of the IPO and the consummation of the purchase and issuance of the Over-Allotment Units shall occur simultaneously with the closing of any exercise of the over-allotment option related to the IPO. Simultaneously with the consummation of the IPO, Loeb shall deposit the Private Unit Purchase Price, without interest or deduction, into the trust fund (“Trust Fund”) established by the Company for the benefit of the Company’s public stockholders as described in the Registration Statement. If the Company does not complete the IPO within ten (10) days from the date of this letter, the Purchase Price (without interest or deduction) will be returned to the undersigned.</w:t>
      </w:r>
    </w:p>
    <w:p>
      <w:pPr>
        <w:spacing w:after="0" w:line="193"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Each of the Company, Chardan and the undersigned acknowledges and agrees that Loeb is serving hereunder solely as a convenience to the parties to facilitate the purchase of the Private Units and Loeb’s sole obligation under this letter agreement is to act with respect to holding and disbursing the Purchase Price for the Private Units as described above. Loeb shall not be liable to the Company, Chardan or the undersigned or any other person or entity in respect of any act or failure to act hereunder or otherwise in connection with performing its services hereunder unless Loeb has acted in a manner constituting gross negligence or willful misconduct. The Company and the undersigned shall indemnify Loeb against any claim made against it (including reasonable attorney’s fees) by reason of it acting or failing to act in connection with this letter agreement except as a result of its gross negligence or willful misconduct. Loeb may rely and shall be protected in acting or refraining from acting upon any written notice, instruction or request furnished to it hereunder and believed by it to be genuine and to have been signed or presented by the proper party or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406400</wp:posOffset>
            </wp:positionV>
            <wp:extent cx="716089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41" w:name="page242"/>
    <w:bookmarkEnd w:id="241"/>
    <w:p>
      <w:pPr>
        <w:ind w:right="660" w:firstLine="1297"/>
        <w:spacing w:after="0" w:line="277" w:lineRule="auto"/>
        <w:rPr>
          <w:sz w:val="20"/>
          <w:szCs w:val="20"/>
          <w:color w:val="auto"/>
        </w:rPr>
      </w:pPr>
      <w:r>
        <w:rPr>
          <w:rFonts w:ascii="Arial" w:cs="Arial" w:eastAsia="Arial" w:hAnsi="Arial"/>
          <w:sz w:val="18"/>
          <w:szCs w:val="18"/>
          <w:color w:val="auto"/>
        </w:rPr>
        <w:t>The Private Units and Over-Allotment Units will be identical to the units to be sold by the Company in the IPO. Additionally, the undersigned agrees:</w:t>
      </w:r>
    </w:p>
    <w:p>
      <w:pPr>
        <w:spacing w:after="0" w:line="170" w:lineRule="exact"/>
        <w:rPr>
          <w:sz w:val="20"/>
          <w:szCs w:val="20"/>
          <w:color w:val="auto"/>
        </w:rPr>
      </w:pPr>
    </w:p>
    <w:p>
      <w:pPr>
        <w:ind w:left="1940" w:right="860" w:hanging="643"/>
        <w:spacing w:after="0" w:line="277" w:lineRule="auto"/>
        <w:tabs>
          <w:tab w:leader="none" w:pos="19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to vote the Common Stock included in the Private Units and Over-Allotment Units in favor of any proposed Business Combination;</w:t>
      </w:r>
    </w:p>
    <w:p>
      <w:pPr>
        <w:spacing w:after="0" w:line="170" w:lineRule="exact"/>
        <w:rPr>
          <w:rFonts w:ascii="Arial" w:cs="Arial" w:eastAsia="Arial" w:hAnsi="Arial"/>
          <w:sz w:val="18"/>
          <w:szCs w:val="18"/>
          <w:color w:val="auto"/>
        </w:rPr>
      </w:pPr>
    </w:p>
    <w:p>
      <w:pPr>
        <w:ind w:left="1940" w:right="40" w:hanging="643"/>
        <w:spacing w:after="0" w:line="271" w:lineRule="auto"/>
        <w:tabs>
          <w:tab w:leader="none" w:pos="19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not to propose, or vote in favor of, an amendment to the Company’s Amended and Restated Certificate of Incorporation that would affect the substance or timing of the Company’s obligation to redeem 100% of the Company’s shares of Common Stock sold in the IPO if the Company does not complete an initial Business Combination within 18 months from the closing of the IPO (or 21 months, as applicable), unless the Company provides the holders of shares of Common Stock sold in the IPO with the opportunity to redeem their shares of Common Stock upon approval of any such amendment at a per-share price, payable in cash, equal to the aggregate amount of the Trust Fund, including interest earned on Trust Fund and not previously released to the Company for the Company’s working capital requirements or to pay the Company’s franchise and income taxes, divided by the number of then outstanding shares of Common Stock sold in the IPO;</w:t>
      </w:r>
    </w:p>
    <w:p>
      <w:pPr>
        <w:spacing w:after="0" w:line="178" w:lineRule="exact"/>
        <w:rPr>
          <w:rFonts w:ascii="Arial" w:cs="Arial" w:eastAsia="Arial" w:hAnsi="Arial"/>
          <w:sz w:val="17"/>
          <w:szCs w:val="17"/>
          <w:color w:val="auto"/>
        </w:rPr>
      </w:pPr>
    </w:p>
    <w:p>
      <w:pPr>
        <w:ind w:left="1940" w:hanging="643"/>
        <w:spacing w:after="0" w:line="279" w:lineRule="auto"/>
        <w:tabs>
          <w:tab w:leader="none" w:pos="19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not to convert any Common Stock included in the Private Units and Over-Allotment Units into the right to receive cash from the Trust Fund in connection with a shareholder vote to approve either a Business Combination or an amendment to the provisions of the Company’s Amended and Restated Certificate of Incorporation, or to tender the Private Units and Over-Allotment Units in connection with a tender offer conducted prior to the closing of a Business Combination;</w:t>
      </w:r>
    </w:p>
    <w:p>
      <w:pPr>
        <w:spacing w:after="0" w:line="171" w:lineRule="exact"/>
        <w:rPr>
          <w:rFonts w:ascii="Arial" w:cs="Arial" w:eastAsia="Arial" w:hAnsi="Arial"/>
          <w:sz w:val="17"/>
          <w:szCs w:val="17"/>
          <w:color w:val="auto"/>
        </w:rPr>
      </w:pPr>
    </w:p>
    <w:p>
      <w:pPr>
        <w:ind w:left="1940" w:right="140" w:hanging="643"/>
        <w:spacing w:after="0" w:line="264" w:lineRule="auto"/>
        <w:tabs>
          <w:tab w:leader="none" w:pos="19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undersigned will not participate in any liquidation distribution with respect to the Private Units and Over-Allotment Units (but will participate in liquidation distributions with respect to any units or Common Stock purchased by the undersigned in the IPO or in the open market) if the Company fails to consummate a Business Combination;</w:t>
      </w:r>
    </w:p>
    <w:p>
      <w:pPr>
        <w:spacing w:after="0" w:line="181" w:lineRule="exact"/>
        <w:rPr>
          <w:rFonts w:ascii="Arial" w:cs="Arial" w:eastAsia="Arial" w:hAnsi="Arial"/>
          <w:sz w:val="18"/>
          <w:szCs w:val="18"/>
          <w:color w:val="auto"/>
        </w:rPr>
      </w:pPr>
    </w:p>
    <w:p>
      <w:pPr>
        <w:ind w:left="1940" w:hanging="643"/>
        <w:spacing w:after="0" w:line="271" w:lineRule="auto"/>
        <w:tabs>
          <w:tab w:leader="none" w:pos="19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that the Private Units, Over-Allotment Units and underlying securities will not be transferable until after the consummation of a Business Combination except (i) to the Company’s pre-IPO stockholders, or to the Company’s officers, directors, advisors and employees, (ii) transfers to the undersigned’s affiliates or its members upon its liquidation, (iii) to relatives and trusts for estate planning purposes, (iv) by virtue of the laws of descent and distribution upon death, (v) pursuant to a qualified domestic relations order, (vi) by private sales made in connection with the consummation of a Business Combination at prices no greater than the price at which the Private Units were originally purchased or (vii) to the Company for cancellation in connection with the consummation of a Business Combination, in each case (except for clause vii) where the transferee agrees to the terms of the transfer restrictions;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414020</wp:posOffset>
            </wp:positionV>
            <wp:extent cx="716089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242" w:name="page243"/>
    <w:bookmarkEnd w:id="242"/>
    <w:p>
      <w:pPr>
        <w:ind w:left="1940" w:right="260" w:hanging="643"/>
        <w:spacing w:after="0" w:line="264" w:lineRule="auto"/>
        <w:tabs>
          <w:tab w:leader="none" w:pos="19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Private Units and Over-Allotment Units will include any additional terms or restrictions as is customary in other similarly structured blank check company offerings or as may be reasonably required by the underwriters in the IPO in order to consummate the IPO, each of which will be set forth in the Registration Statement.</w:t>
      </w:r>
    </w:p>
    <w:p>
      <w:pPr>
        <w:spacing w:after="0" w:line="18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The undersigned acknowledges and agrees that the purchaser of the Private Units and Over-Allotment Units will execute agreements in form and substance typical for transactions of this nature necessary to effectuate the foregoing agreements and obligations prior to the consummation of the IPO as are reasonably acceptable to the undersigned, including but not limited to an insider letter.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hereby represents and warrants that:</w:t>
      </w:r>
    </w:p>
    <w:p>
      <w:pPr>
        <w:spacing w:after="0" w:line="225" w:lineRule="exact"/>
        <w:rPr>
          <w:sz w:val="20"/>
          <w:szCs w:val="20"/>
          <w:color w:val="auto"/>
        </w:rPr>
      </w:pPr>
    </w:p>
    <w:p>
      <w:pPr>
        <w:ind w:left="1940" w:hanging="643"/>
        <w:spacing w:after="0"/>
        <w:tabs>
          <w:tab w:leader="none" w:pos="19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it has been advised that the Private Units and Over-Allotment Units have not been registered under the Securities Act;</w:t>
      </w:r>
    </w:p>
    <w:p>
      <w:pPr>
        <w:spacing w:after="0" w:line="236" w:lineRule="exact"/>
        <w:rPr>
          <w:rFonts w:ascii="Arial" w:cs="Arial" w:eastAsia="Arial" w:hAnsi="Arial"/>
          <w:sz w:val="17"/>
          <w:szCs w:val="17"/>
          <w:color w:val="auto"/>
        </w:rPr>
      </w:pPr>
    </w:p>
    <w:p>
      <w:pPr>
        <w:ind w:left="1940" w:hanging="643"/>
        <w:spacing w:after="0"/>
        <w:tabs>
          <w:tab w:leader="none" w:pos="19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it will be acquiring the Private Units and Over-Allotment Units for its account for investment purposes only;</w:t>
      </w:r>
    </w:p>
    <w:p>
      <w:pPr>
        <w:spacing w:after="0" w:line="225" w:lineRule="exact"/>
        <w:rPr>
          <w:rFonts w:ascii="Arial" w:cs="Arial" w:eastAsia="Arial" w:hAnsi="Arial"/>
          <w:sz w:val="18"/>
          <w:szCs w:val="18"/>
          <w:color w:val="auto"/>
        </w:rPr>
      </w:pPr>
    </w:p>
    <w:p>
      <w:pPr>
        <w:ind w:left="1940" w:right="340" w:hanging="643"/>
        <w:spacing w:after="0" w:line="277" w:lineRule="auto"/>
        <w:tabs>
          <w:tab w:leader="none" w:pos="19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it has no present intention of selling or otherwise disposing of the Private Units and Over-Allotment Units in violation of the securities laws of the United States;</w:t>
      </w:r>
    </w:p>
    <w:p>
      <w:pPr>
        <w:spacing w:after="0" w:line="170" w:lineRule="exact"/>
        <w:rPr>
          <w:rFonts w:ascii="Arial" w:cs="Arial" w:eastAsia="Arial" w:hAnsi="Arial"/>
          <w:sz w:val="18"/>
          <w:szCs w:val="18"/>
          <w:color w:val="auto"/>
        </w:rPr>
      </w:pPr>
    </w:p>
    <w:p>
      <w:pPr>
        <w:ind w:left="1940" w:hanging="643"/>
        <w:spacing w:after="0"/>
        <w:tabs>
          <w:tab w:leader="none" w:pos="19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it is an “accredited investor” as defined by Rule 501 of Regulation D promulgated under the Securities Act of 1933, as amended;</w:t>
      </w:r>
    </w:p>
    <w:p>
      <w:pPr>
        <w:spacing w:after="0" w:line="248" w:lineRule="exact"/>
        <w:rPr>
          <w:rFonts w:ascii="Arial" w:cs="Arial" w:eastAsia="Arial" w:hAnsi="Arial"/>
          <w:sz w:val="16"/>
          <w:szCs w:val="16"/>
          <w:color w:val="auto"/>
        </w:rPr>
      </w:pPr>
    </w:p>
    <w:p>
      <w:pPr>
        <w:ind w:left="1940" w:right="440" w:hanging="643"/>
        <w:spacing w:after="0" w:line="308" w:lineRule="auto"/>
        <w:tabs>
          <w:tab w:leader="none" w:pos="19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it has had both the opportunity to ask questions and receive answers from the officers and directors of the Company and all persons acting on its behalf concerning the terms and conditions of the offer made hereunder;</w:t>
      </w:r>
    </w:p>
    <w:p>
      <w:pPr>
        <w:spacing w:after="0" w:line="146" w:lineRule="exact"/>
        <w:rPr>
          <w:rFonts w:ascii="Arial" w:cs="Arial" w:eastAsia="Arial" w:hAnsi="Arial"/>
          <w:sz w:val="17"/>
          <w:szCs w:val="17"/>
          <w:color w:val="auto"/>
        </w:rPr>
      </w:pPr>
    </w:p>
    <w:p>
      <w:pPr>
        <w:ind w:left="1940" w:hanging="643"/>
        <w:spacing w:after="0"/>
        <w:tabs>
          <w:tab w:leader="none" w:pos="19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it is familiar with the proposed business, management, financial condition and affairs of the Company;</w:t>
      </w:r>
    </w:p>
    <w:p>
      <w:pPr>
        <w:spacing w:after="0" w:line="225" w:lineRule="exact"/>
        <w:rPr>
          <w:rFonts w:ascii="Arial" w:cs="Arial" w:eastAsia="Arial" w:hAnsi="Arial"/>
          <w:sz w:val="18"/>
          <w:szCs w:val="18"/>
          <w:color w:val="auto"/>
        </w:rPr>
      </w:pPr>
    </w:p>
    <w:p>
      <w:pPr>
        <w:ind w:left="1940" w:hanging="643"/>
        <w:spacing w:after="0" w:line="277" w:lineRule="auto"/>
        <w:tabs>
          <w:tab w:leader="none" w:pos="19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it has full power, authority and legal capacity to execute and deliver this letter and any documents contemplated herein or needed to consummate the transactions contemplated in this letter; and</w:t>
      </w:r>
    </w:p>
    <w:p>
      <w:pPr>
        <w:spacing w:after="0" w:line="170" w:lineRule="exact"/>
        <w:rPr>
          <w:rFonts w:ascii="Arial" w:cs="Arial" w:eastAsia="Arial" w:hAnsi="Arial"/>
          <w:sz w:val="18"/>
          <w:szCs w:val="18"/>
          <w:color w:val="auto"/>
        </w:rPr>
      </w:pPr>
    </w:p>
    <w:p>
      <w:pPr>
        <w:ind w:left="1940" w:hanging="643"/>
        <w:spacing w:after="0"/>
        <w:tabs>
          <w:tab w:leader="none" w:pos="19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this letter constitutes its legal, valid and binding obligation, and is enforceable against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443865</wp:posOffset>
            </wp:positionV>
            <wp:extent cx="716089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43" w:name="page244"/>
    <w:bookmarkEnd w:id="243"/>
    <w:p>
      <w:pPr>
        <w:ind w:firstLine="648"/>
        <w:spacing w:after="0" w:line="264" w:lineRule="auto"/>
        <w:rPr>
          <w:sz w:val="20"/>
          <w:szCs w:val="20"/>
          <w:color w:val="auto"/>
        </w:rPr>
      </w:pPr>
      <w:r>
        <w:rPr>
          <w:rFonts w:ascii="Arial" w:cs="Arial" w:eastAsia="Arial" w:hAnsi="Arial"/>
          <w:sz w:val="18"/>
          <w:szCs w:val="18"/>
          <w:color w:val="auto"/>
        </w:rPr>
        <w:t>This letter agreement constitutes the entire agreement between the undersigned and the Company with respect to the purchase of the Private Units and Over-Allotment Units, and supersedes all prior and contemporaneous understandings, agreements, representations and warranties, both written and oral, with respect to the same.</w:t>
      </w:r>
    </w:p>
    <w:p>
      <w:pPr>
        <w:spacing w:after="0" w:line="1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-130810</wp:posOffset>
            </wp:positionV>
            <wp:extent cx="254698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-130810</wp:posOffset>
            </wp:positionV>
            <wp:extent cx="252158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434340</wp:posOffset>
            </wp:positionV>
            <wp:extent cx="716089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44" w:name="page245"/>
    <w:bookmarkEnd w:id="244"/>
    <w:p>
      <w:pPr>
        <w:jc w:val="center"/>
        <w:ind w:right="-2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458470</wp:posOffset>
            </wp:positionV>
            <wp:extent cx="716089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45" w:name="page246"/>
    <w:bookmarkEnd w:id="245"/>
    <w:p>
      <w:pPr>
        <w:jc w:val="right"/>
        <w:spacing w:after="0"/>
        <w:rPr>
          <w:sz w:val="20"/>
          <w:szCs w:val="20"/>
          <w:color w:val="auto"/>
        </w:rPr>
      </w:pPr>
      <w:r>
        <w:rPr>
          <w:rFonts w:ascii="Arial" w:cs="Arial" w:eastAsia="Arial" w:hAnsi="Arial"/>
          <w:sz w:val="22"/>
          <w:szCs w:val="22"/>
          <w:b w:val="1"/>
          <w:bCs w:val="1"/>
          <w:color w:val="auto"/>
        </w:rPr>
        <w:t>Exhibit 14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CONDUCT AND ETHICS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0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Adopted: ____________, 2016</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of M I Acquisitions, Inc. (the “Company”) has adopted this Code of Ethics (this “Code”) to provide value for both our members and stockholders; and</w:t>
      </w:r>
    </w:p>
    <w:p>
      <w:pPr>
        <w:spacing w:after="0" w:line="170" w:lineRule="exact"/>
        <w:rPr>
          <w:sz w:val="20"/>
          <w:szCs w:val="20"/>
          <w:color w:val="auto"/>
        </w:rPr>
      </w:pPr>
    </w:p>
    <w:p>
      <w:pPr>
        <w:ind w:left="980" w:hanging="332"/>
        <w:spacing w:after="0"/>
        <w:tabs>
          <w:tab w:leader="none" w:pos="9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encourage honest and ethical conduct, including fair dealing and the ethical handling of conflicts of interest;</w:t>
      </w:r>
    </w:p>
    <w:p>
      <w:pPr>
        <w:spacing w:after="0" w:line="225" w:lineRule="exact"/>
        <w:rPr>
          <w:rFonts w:ascii="Arial" w:cs="Arial" w:eastAsia="Arial" w:hAnsi="Arial"/>
          <w:sz w:val="18"/>
          <w:szCs w:val="18"/>
          <w:color w:val="auto"/>
        </w:rPr>
      </w:pPr>
    </w:p>
    <w:p>
      <w:pPr>
        <w:ind w:left="980" w:hanging="332"/>
        <w:spacing w:after="0"/>
        <w:tabs>
          <w:tab w:leader="none" w:pos="9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prompt full, fair, accurate, timely and understandable disclosure;</w:t>
      </w:r>
    </w:p>
    <w:p>
      <w:pPr>
        <w:spacing w:after="0" w:line="225" w:lineRule="exact"/>
        <w:rPr>
          <w:rFonts w:ascii="Arial" w:cs="Arial" w:eastAsia="Arial" w:hAnsi="Arial"/>
          <w:sz w:val="18"/>
          <w:szCs w:val="18"/>
          <w:color w:val="auto"/>
        </w:rPr>
      </w:pPr>
    </w:p>
    <w:p>
      <w:pPr>
        <w:ind w:left="980" w:hanging="332"/>
        <w:spacing w:after="0"/>
        <w:tabs>
          <w:tab w:leader="none" w:pos="9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comply with applicable laws and governmental rules and regulations;</w:t>
      </w:r>
    </w:p>
    <w:p>
      <w:pPr>
        <w:spacing w:after="0" w:line="225" w:lineRule="exact"/>
        <w:rPr>
          <w:rFonts w:ascii="Arial" w:cs="Arial" w:eastAsia="Arial" w:hAnsi="Arial"/>
          <w:sz w:val="18"/>
          <w:szCs w:val="18"/>
          <w:color w:val="auto"/>
        </w:rPr>
      </w:pPr>
    </w:p>
    <w:p>
      <w:pPr>
        <w:ind w:left="980" w:hanging="332"/>
        <w:spacing w:after="0"/>
        <w:tabs>
          <w:tab w:leader="none" w:pos="9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prompt internal reporting of violations of this Code;</w:t>
      </w:r>
    </w:p>
    <w:p>
      <w:pPr>
        <w:spacing w:after="0" w:line="225" w:lineRule="exact"/>
        <w:rPr>
          <w:rFonts w:ascii="Arial" w:cs="Arial" w:eastAsia="Arial" w:hAnsi="Arial"/>
          <w:sz w:val="18"/>
          <w:szCs w:val="18"/>
          <w:color w:val="auto"/>
        </w:rPr>
      </w:pPr>
    </w:p>
    <w:p>
      <w:pPr>
        <w:ind w:left="980" w:hanging="332"/>
        <w:spacing w:after="0"/>
        <w:tabs>
          <w:tab w:leader="none" w:pos="9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To protect the Company's legitimate business interests, including corporate opportunities, assets and confidential information; and</w:t>
      </w:r>
    </w:p>
    <w:p>
      <w:pPr>
        <w:spacing w:after="0" w:line="236" w:lineRule="exact"/>
        <w:rPr>
          <w:rFonts w:ascii="Arial" w:cs="Arial" w:eastAsia="Arial" w:hAnsi="Arial"/>
          <w:sz w:val="17"/>
          <w:szCs w:val="17"/>
          <w:color w:val="auto"/>
        </w:rPr>
      </w:pPr>
    </w:p>
    <w:p>
      <w:pPr>
        <w:ind w:left="980" w:hanging="332"/>
        <w:spacing w:after="0"/>
        <w:tabs>
          <w:tab w:leader="none" w:pos="9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deter wrongdoing.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directors, officers, employees and independent contractors of the Company are expected to be familiar with the Code and to adhere to those principles and procedures set forth in the Code. For purposes of the code, all directors, officers, employees and independent contractors will refer to collectively as “employees” or “you” throughout this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Honest and Ethical Conduct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directors, officers, employees and independent contractors owe duties to the Company to act with integrity. Integrity requires, among other things, being honest and ethical. This includes the ethical handling of actual or apparent conflicts of interest between personal and professional relationships. Deceit and subordination of principle are inconsistent with integrity.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directors, officers, employees and independent contractors have the following duties:</w:t>
      </w:r>
    </w:p>
    <w:p>
      <w:pPr>
        <w:spacing w:after="0" w:line="225" w:lineRule="exact"/>
        <w:rPr>
          <w:sz w:val="20"/>
          <w:szCs w:val="20"/>
          <w:color w:val="auto"/>
        </w:rPr>
      </w:pPr>
    </w:p>
    <w:p>
      <w:pPr>
        <w:ind w:left="640" w:hanging="316"/>
        <w:spacing w:after="0"/>
        <w:tabs>
          <w:tab w:leader="none" w:pos="6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To conduct business with professional courtesy and integrity, and act honestly and fairly without prejudice in all commercial dealings;</w:t>
      </w:r>
    </w:p>
    <w:p>
      <w:pPr>
        <w:spacing w:after="0" w:line="225" w:lineRule="exact"/>
        <w:rPr>
          <w:rFonts w:ascii="Arial" w:cs="Arial" w:eastAsia="Arial" w:hAnsi="Arial"/>
          <w:sz w:val="18"/>
          <w:szCs w:val="18"/>
          <w:color w:val="auto"/>
        </w:rPr>
      </w:pPr>
    </w:p>
    <w:p>
      <w:pPr>
        <w:ind w:left="640" w:hanging="316"/>
        <w:spacing w:after="0"/>
        <w:tabs>
          <w:tab w:leader="none" w:pos="6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To work in a safe, healthy and efficient manner, using skills, time and experience to the maximum of abilities;</w:t>
      </w:r>
    </w:p>
    <w:p>
      <w:pPr>
        <w:spacing w:after="0" w:line="225" w:lineRule="exact"/>
        <w:rPr>
          <w:rFonts w:ascii="Arial" w:cs="Arial" w:eastAsia="Arial" w:hAnsi="Arial"/>
          <w:sz w:val="18"/>
          <w:szCs w:val="18"/>
          <w:color w:val="auto"/>
        </w:rPr>
      </w:pPr>
    </w:p>
    <w:p>
      <w:pPr>
        <w:ind w:left="640" w:hanging="316"/>
        <w:spacing w:after="0"/>
        <w:tabs>
          <w:tab w:leader="none" w:pos="6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To comply with applicable awards, Company policies and job requirements, and adhere to a high standard of business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443865</wp:posOffset>
            </wp:positionV>
            <wp:extent cx="716089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246" w:name="page247"/>
    <w:bookmarkEnd w:id="246"/>
    <w:p>
      <w:pPr>
        <w:ind w:left="640" w:hanging="316"/>
        <w:spacing w:after="0"/>
        <w:tabs>
          <w:tab w:leader="none" w:pos="6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To observe both the form and spirit of laws, governmental rules, regulations and accounting standards;</w:t>
      </w:r>
    </w:p>
    <w:p>
      <w:pPr>
        <w:spacing w:after="0" w:line="225" w:lineRule="exact"/>
        <w:rPr>
          <w:rFonts w:ascii="Arial" w:cs="Arial" w:eastAsia="Arial" w:hAnsi="Arial"/>
          <w:sz w:val="18"/>
          <w:szCs w:val="18"/>
          <w:color w:val="auto"/>
        </w:rPr>
      </w:pPr>
    </w:p>
    <w:p>
      <w:pPr>
        <w:ind w:left="640" w:hanging="316"/>
        <w:spacing w:after="0" w:line="277" w:lineRule="auto"/>
        <w:tabs>
          <w:tab w:leader="none" w:pos="6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Not to knowingly make any misleading statements to any person or to be a party to any improper practice in relation to dealings with or by the Company;</w:t>
      </w:r>
    </w:p>
    <w:p>
      <w:pPr>
        <w:spacing w:after="0" w:line="170" w:lineRule="exact"/>
        <w:rPr>
          <w:rFonts w:ascii="Arial" w:cs="Arial" w:eastAsia="Arial" w:hAnsi="Arial"/>
          <w:sz w:val="18"/>
          <w:szCs w:val="18"/>
          <w:color w:val="auto"/>
        </w:rPr>
      </w:pPr>
    </w:p>
    <w:p>
      <w:pPr>
        <w:ind w:left="640" w:hanging="316"/>
        <w:spacing w:after="0"/>
        <w:tabs>
          <w:tab w:leader="none" w:pos="6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To ensure that Company resources and properties are used properly;</w:t>
      </w:r>
    </w:p>
    <w:p>
      <w:pPr>
        <w:spacing w:after="0" w:line="225" w:lineRule="exact"/>
        <w:rPr>
          <w:rFonts w:ascii="Arial" w:cs="Arial" w:eastAsia="Arial" w:hAnsi="Arial"/>
          <w:sz w:val="18"/>
          <w:szCs w:val="18"/>
          <w:color w:val="auto"/>
        </w:rPr>
      </w:pPr>
    </w:p>
    <w:p>
      <w:pPr>
        <w:ind w:left="640" w:hanging="316"/>
        <w:spacing w:after="0"/>
        <w:tabs>
          <w:tab w:leader="none" w:pos="6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To maintain the confidentiality of information where required or consistent with Company policies; and</w:t>
      </w:r>
    </w:p>
    <w:p>
      <w:pPr>
        <w:spacing w:after="0" w:line="225" w:lineRule="exact"/>
        <w:rPr>
          <w:rFonts w:ascii="Arial" w:cs="Arial" w:eastAsia="Arial" w:hAnsi="Arial"/>
          <w:sz w:val="18"/>
          <w:szCs w:val="18"/>
          <w:color w:val="auto"/>
        </w:rPr>
      </w:pPr>
    </w:p>
    <w:p>
      <w:pPr>
        <w:jc w:val="both"/>
        <w:ind w:left="640" w:hanging="316"/>
        <w:spacing w:after="0" w:line="286" w:lineRule="auto"/>
        <w:tabs>
          <w:tab w:leader="none" w:pos="64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Not to disclose information or documents relating to the Company or its business, other than as required by law, not to make any unauthorized public comment on Company affairs and not to misuse any information about the Company or its associates, and not to accept improper or undisclosed material personal benefits from third parties as a result of any transaction or transactions of the Company.</w:t>
      </w:r>
    </w:p>
    <w:p>
      <w:pPr>
        <w:spacing w:after="0" w:line="161" w:lineRule="exact"/>
        <w:rPr>
          <w:rFonts w:ascii="Arial" w:cs="Arial" w:eastAsia="Arial" w:hAnsi="Arial"/>
          <w:sz w:val="17"/>
          <w:szCs w:val="17"/>
          <w:color w:val="auto"/>
        </w:rPr>
      </w:pPr>
    </w:p>
    <w:p>
      <w:pPr>
        <w:ind w:left="240" w:hanging="240"/>
        <w:spacing w:after="0"/>
        <w:tabs>
          <w:tab w:leader="none" w:pos="24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“conflict of interest” arises when an individual's personal interest interferes or appears to interfere with the interests of the Company. A conflict of interest can arise when a director, officer or employee takes actions or has personal interests that may make it difficult to perform his or her Company work objectively and effectively.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are a variety of situations in which a conflict of interest may arise. While it would be impractical to attempt to list all possible situations, some common types of conflicts may be:</w:t>
      </w:r>
    </w:p>
    <w:p>
      <w:pPr>
        <w:spacing w:after="0" w:line="170" w:lineRule="exact"/>
        <w:rPr>
          <w:sz w:val="20"/>
          <w:szCs w:val="20"/>
          <w:color w:val="auto"/>
        </w:rPr>
      </w:pPr>
    </w:p>
    <w:p>
      <w:pPr>
        <w:ind w:left="640" w:hanging="316"/>
        <w:spacing w:after="0"/>
        <w:tabs>
          <w:tab w:leader="none" w:pos="64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To serve as a director, employee or contractor for a company that has a business relationship with, or is a competitor of the Company;</w:t>
      </w:r>
    </w:p>
    <w:p>
      <w:pPr>
        <w:spacing w:after="0" w:line="236" w:lineRule="exact"/>
        <w:rPr>
          <w:rFonts w:ascii="Arial" w:cs="Arial" w:eastAsia="Arial" w:hAnsi="Arial"/>
          <w:sz w:val="17"/>
          <w:szCs w:val="17"/>
          <w:color w:val="auto"/>
        </w:rPr>
      </w:pPr>
    </w:p>
    <w:p>
      <w:pPr>
        <w:ind w:left="640" w:hanging="316"/>
        <w:spacing w:after="0"/>
        <w:tabs>
          <w:tab w:leader="none" w:pos="6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have a financial interest in a competitor, supplier or customer of the Company;</w:t>
      </w:r>
    </w:p>
    <w:p>
      <w:pPr>
        <w:spacing w:after="0" w:line="225" w:lineRule="exact"/>
        <w:rPr>
          <w:rFonts w:ascii="Arial" w:cs="Arial" w:eastAsia="Arial" w:hAnsi="Arial"/>
          <w:sz w:val="18"/>
          <w:szCs w:val="18"/>
          <w:color w:val="auto"/>
        </w:rPr>
      </w:pPr>
    </w:p>
    <w:p>
      <w:pPr>
        <w:ind w:left="640" w:hanging="316"/>
        <w:spacing w:after="0"/>
        <w:tabs>
          <w:tab w:leader="none" w:pos="64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To receive improper personal benefits from a competitor, supplier or customer, as a result of any transaction or transactions of the Company;</w:t>
      </w:r>
    </w:p>
    <w:p>
      <w:pPr>
        <w:spacing w:after="0" w:line="236" w:lineRule="exact"/>
        <w:rPr>
          <w:rFonts w:ascii="Arial" w:cs="Arial" w:eastAsia="Arial" w:hAnsi="Arial"/>
          <w:sz w:val="17"/>
          <w:szCs w:val="17"/>
          <w:color w:val="auto"/>
        </w:rPr>
      </w:pPr>
    </w:p>
    <w:p>
      <w:pPr>
        <w:ind w:left="640" w:hanging="316"/>
        <w:spacing w:after="0"/>
        <w:tabs>
          <w:tab w:leader="none" w:pos="6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accept financial interest beyond entertainment or nominal gifts in the ordinary course of business, such as a meal or a coffee mug;</w:t>
      </w:r>
    </w:p>
    <w:p>
      <w:pPr>
        <w:spacing w:after="0" w:line="225" w:lineRule="exact"/>
        <w:rPr>
          <w:rFonts w:ascii="Arial" w:cs="Arial" w:eastAsia="Arial" w:hAnsi="Arial"/>
          <w:sz w:val="18"/>
          <w:szCs w:val="18"/>
          <w:color w:val="auto"/>
        </w:rPr>
      </w:pPr>
    </w:p>
    <w:p>
      <w:pPr>
        <w:jc w:val="both"/>
        <w:ind w:left="640" w:hanging="316"/>
        <w:spacing w:after="0" w:line="264" w:lineRule="auto"/>
        <w:tabs>
          <w:tab w:leader="none" w:pos="6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present at a conference where the conference sponsor has a real or potential business relationship with the Company (e.g. vendor, customer, or investor), and, the conference sponsor offers travel or accommodation arrangements or other benefits materially in excess of the Company’s standard;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415925</wp:posOffset>
            </wp:positionV>
            <wp:extent cx="716089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247" w:name="page248"/>
    <w:bookmarkEnd w:id="247"/>
    <w:p>
      <w:pPr>
        <w:ind w:left="640" w:hanging="316"/>
        <w:spacing w:after="0"/>
        <w:tabs>
          <w:tab w:leader="none" w:pos="6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To use for personal gain, rather than for the benefit of the Company, an opportunity that discovered through the role with the Company.</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Fidelity or service to the Company should never be subordinated to or dependent on personal gain or advantage. Conflicts of interest should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avoided.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most cases, anything that would constitute a conflict for a director, officer or employee also would present a conflict if it is related to a member of his or her family.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Interests in other companies, including potential competitors and suppliers, that are purely for management of the other entity, or where an otherwise questionable relationship is disclosed to the Board and any necessary action is taken to ensure there will be no effect on the Company, are not considered conflicts unless otherwise determined by the Board.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Evaluating whether a conflict of interest exists can be difficult and may involve a number of considerations. Please refer to other policies, such as employee handbook, for further information. We also encourage you to seek guidance from your manager, Chief Executive Officer or Chief Financial Officer, or their equivalents, when you have any questions or doubts.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Disclosure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director, officer or employee, to the extent involved in the Company's disclosure process, including the Chief Executive Officer or Chief Financial Officer, or their equivalents, the (the “Senior Financial Officers”), is required to be familiar with the Company’s disclosure controls and procedures applicable to him or her so that the Company's public reports and documents comply in all material respects with the applicable securities laws and rules. In addition, each such person having direct or supervisory authority regarding these securities filings or the Company's other public communications concerning its general business, results, financial condition and prospects should, to the extent appropriate within his or her area of responsibility, consult with other Company officers and employees and take other appropriate steps regarding these disclosures with the goal of making full, fair, accurate, timely and understandable disclosure.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Each director, officer or employee, to the extent involved in the Company’s disclosure process, including the Senior Financial Officers, must:</w:t>
      </w:r>
    </w:p>
    <w:p>
      <w:pPr>
        <w:spacing w:after="0" w:line="237" w:lineRule="exact"/>
        <w:rPr>
          <w:sz w:val="20"/>
          <w:szCs w:val="20"/>
          <w:color w:val="auto"/>
        </w:rPr>
      </w:pPr>
    </w:p>
    <w:p>
      <w:pPr>
        <w:ind w:left="640" w:hanging="316"/>
        <w:spacing w:after="0" w:line="277" w:lineRule="auto"/>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Familiarize himself or herself with the disclosure requirements applicable to the Company as well as the business and financial operations of the Company.</w:t>
      </w:r>
    </w:p>
    <w:p>
      <w:pPr>
        <w:spacing w:after="0" w:line="170" w:lineRule="exact"/>
        <w:rPr>
          <w:rFonts w:ascii="Arial" w:cs="Arial" w:eastAsia="Arial" w:hAnsi="Arial"/>
          <w:sz w:val="18"/>
          <w:szCs w:val="18"/>
          <w:color w:val="auto"/>
        </w:rPr>
      </w:pPr>
    </w:p>
    <w:p>
      <w:pPr>
        <w:ind w:left="640" w:hanging="316"/>
        <w:spacing w:after="0" w:line="277" w:lineRule="auto"/>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 knowingly misrepresent, or cause others to misrepresent, facts about the Company to others, whether within or outside the Company, including to the Company's independent auditors, governmental regulators and self-regulatory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408940</wp:posOffset>
            </wp:positionV>
            <wp:extent cx="716089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b w:val="1"/>
          <w:bCs w:val="1"/>
          <w:color w:val="auto"/>
        </w:rPr>
        <w:t>IV. Compliance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It is the Company's policy to comply with all applicable laws, rules and regulations. It is the personal responsibility of each employee, officer and director to adhere to the standards and restrictions imposed by those laws, rules and regulations in the performance of their duties for the Company, including those relating to accounting and auditing matters and insider trading.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endeavors to ensure that the directors, officers and employees of the Company act with integrity and observe the highest standards of behavior and business ethics in relation to their corporate activities.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Specifically, that directors, officers and employees must:</w:t>
      </w:r>
    </w:p>
    <w:p>
      <w:pPr>
        <w:spacing w:after="0" w:line="225" w:lineRule="exact"/>
        <w:rPr>
          <w:sz w:val="20"/>
          <w:szCs w:val="20"/>
          <w:color w:val="auto"/>
        </w:rPr>
      </w:pPr>
    </w:p>
    <w:p>
      <w:pPr>
        <w:ind w:left="640" w:hanging="316"/>
        <w:spacing w:after="0"/>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Comply with the law;</w:t>
      </w:r>
    </w:p>
    <w:p>
      <w:pPr>
        <w:spacing w:after="0" w:line="225" w:lineRule="exact"/>
        <w:rPr>
          <w:rFonts w:ascii="Arial" w:cs="Arial" w:eastAsia="Arial" w:hAnsi="Arial"/>
          <w:sz w:val="18"/>
          <w:szCs w:val="18"/>
          <w:color w:val="auto"/>
        </w:rPr>
      </w:pPr>
    </w:p>
    <w:p>
      <w:pPr>
        <w:ind w:left="640" w:hanging="316"/>
        <w:spacing w:after="0"/>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Act in the best interests of the Company;</w:t>
      </w:r>
    </w:p>
    <w:p>
      <w:pPr>
        <w:spacing w:after="0" w:line="225" w:lineRule="exact"/>
        <w:rPr>
          <w:rFonts w:ascii="Arial" w:cs="Arial" w:eastAsia="Arial" w:hAnsi="Arial"/>
          <w:sz w:val="18"/>
          <w:szCs w:val="18"/>
          <w:color w:val="auto"/>
        </w:rPr>
      </w:pPr>
    </w:p>
    <w:p>
      <w:pPr>
        <w:ind w:left="640" w:hanging="316"/>
        <w:spacing w:after="0"/>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Be responsible and accountable for their actions; and</w:t>
      </w:r>
    </w:p>
    <w:p>
      <w:pPr>
        <w:spacing w:after="0" w:line="225" w:lineRule="exact"/>
        <w:rPr>
          <w:rFonts w:ascii="Arial" w:cs="Arial" w:eastAsia="Arial" w:hAnsi="Arial"/>
          <w:sz w:val="18"/>
          <w:szCs w:val="18"/>
          <w:color w:val="auto"/>
        </w:rPr>
      </w:pPr>
    </w:p>
    <w:p>
      <w:pPr>
        <w:ind w:left="640" w:hanging="316"/>
        <w:spacing w:after="0"/>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Observe the ethical principles of fairness, honesty and truthfulness, including disclosure of potential conflicts.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Generally, it is against Company policies for any individual to profit from undisclosed information relating to the Company or any other company in violation of insider trading or other laws. Anyone who is aware of material nonpublic information relating to the Company, our customers, or other companies may not use the information to purchase or sell securities in violation of securities laws.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you are uncertain about the legal rules involving your purchase or sale of any Company securities or any securities in companies that you are familiar with by virtue of your work for the Company, you should consult with the Chief Executive Officer or Chief Financial Officer, or their equivalents, before making any such purchase or sale. Other policies issued by the Company also provide guidance as to certain of the laws, rules and regulations that apply to the Company's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Reporting and Accountability</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Board of Directors has the authority to interpret this Code in any particular situation. Any director, officer or employee who becomes aware of any violation of this Code is required to notify Chief Executive Officer or Chief Financial Officer, or their equivalents, promptly.</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Any questions relating to how these policies should be interpreted or applied should be addressed to your manager, Chief Executive Officer or Chief Financial Officer, or their equivalents. Any material transaction or relationship that could reasonably be expected to give rise to a conflict of interest, as discussed in Section II of this Code, should be discussed with your manager, Chief Executive Officer or Chief Financial Officer, or their equivalents. A director, officer or employee who is unsure of whether a situation violates this Code should discuss the situation with the Chief Executive Officer or Chief Financial Officer, or their equivalents, to prevent possible misunderstandings and embarrassment at a later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410210</wp:posOffset>
            </wp:positionV>
            <wp:extent cx="716089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249" w:name="page250"/>
    <w:bookmarkEnd w:id="249"/>
    <w:p>
      <w:pPr>
        <w:ind w:left="640"/>
        <w:spacing w:after="0"/>
        <w:rPr>
          <w:sz w:val="20"/>
          <w:szCs w:val="20"/>
          <w:color w:val="auto"/>
        </w:rPr>
      </w:pPr>
      <w:r>
        <w:rPr>
          <w:rFonts w:ascii="Arial" w:cs="Arial" w:eastAsia="Arial" w:hAnsi="Arial"/>
          <w:sz w:val="18"/>
          <w:szCs w:val="18"/>
          <w:color w:val="auto"/>
        </w:rPr>
        <w:t>Each director, officer or employee must:</w:t>
      </w:r>
    </w:p>
    <w:p>
      <w:pPr>
        <w:spacing w:after="0" w:line="225" w:lineRule="exact"/>
        <w:rPr>
          <w:sz w:val="20"/>
          <w:szCs w:val="20"/>
          <w:color w:val="auto"/>
        </w:rPr>
      </w:pPr>
    </w:p>
    <w:p>
      <w:pPr>
        <w:ind w:left="640" w:hanging="316"/>
        <w:spacing w:after="0"/>
        <w:tabs>
          <w:tab w:leader="none" w:pos="6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Notify the Chief Executive Officer or Chief Financial Officer, or their equivalents, promptly of any existing or potential violation of this Code.</w:t>
      </w:r>
    </w:p>
    <w:p>
      <w:pPr>
        <w:spacing w:after="0" w:line="236" w:lineRule="exact"/>
        <w:rPr>
          <w:rFonts w:ascii="Arial" w:cs="Arial" w:eastAsia="Arial" w:hAnsi="Arial"/>
          <w:sz w:val="17"/>
          <w:szCs w:val="17"/>
          <w:color w:val="auto"/>
        </w:rPr>
      </w:pPr>
    </w:p>
    <w:p>
      <w:pPr>
        <w:ind w:left="640" w:hanging="316"/>
        <w:spacing w:after="0"/>
        <w:tabs>
          <w:tab w:leader="none" w:pos="6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Not retaliate against any other director, officer or employee for reports of potential violations.</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Company will follow the following procedures in investigating and enforcing this Code and in reporting on the Code:</w:t>
      </w:r>
    </w:p>
    <w:p>
      <w:pPr>
        <w:spacing w:after="0" w:line="225" w:lineRule="exact"/>
        <w:rPr>
          <w:rFonts w:ascii="Arial" w:cs="Arial" w:eastAsia="Arial" w:hAnsi="Arial"/>
          <w:sz w:val="18"/>
          <w:szCs w:val="18"/>
          <w:color w:val="auto"/>
        </w:rPr>
      </w:pPr>
    </w:p>
    <w:p>
      <w:pPr>
        <w:jc w:val="both"/>
        <w:ind w:left="640" w:hanging="316"/>
        <w:spacing w:after="0" w:line="276" w:lineRule="auto"/>
        <w:tabs>
          <w:tab w:leader="none" w:pos="6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Chief Executive Officer or Chief Financial Officer, or their equivalents, as the case may be, will take all appropriate action to investigate any violations reported. In addition, the Chief Executive Officer or Chief Financial Officer, or their equivalents, as appropriate, shall report each violation and alleged violation involving a director or an executive officer to the Chairman of the Board of Directors. To the extent he or she deems appropriate, the Chairman of the Board of Directors shall participate in any investigation of a director or executive officer. After the conclusion of an investigation of a director or executive officer, the conclusions shall be reported to the Board of Directors.</w:t>
      </w:r>
    </w:p>
    <w:p>
      <w:pPr>
        <w:spacing w:after="0" w:line="172" w:lineRule="exact"/>
        <w:rPr>
          <w:rFonts w:ascii="Arial" w:cs="Arial" w:eastAsia="Arial" w:hAnsi="Arial"/>
          <w:sz w:val="17"/>
          <w:szCs w:val="17"/>
          <w:color w:val="auto"/>
        </w:rPr>
      </w:pPr>
    </w:p>
    <w:p>
      <w:pPr>
        <w:jc w:val="both"/>
        <w:ind w:left="640" w:hanging="316"/>
        <w:spacing w:after="0" w:line="279" w:lineRule="auto"/>
        <w:tabs>
          <w:tab w:leader="none" w:pos="6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Board of Directors will conduct such additional investigation as it deems necessary. The Board will determine that a director or executive officer has violated this Code. Upon being notified that a violation has occurred, the Chief Executive Officer or Chief Financial Officer, or their equivalents, as the case may be, will take such disciplinary or preventive action as deemed appropriate, up to and including dismissal or, in the event of criminal or other serious violations of law, notification of appropriate law enforcement authorities.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Corporate Opportunities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Employees, officers and directors are prohibited from taking (or directing to a third party) a business opportunity that is discovered through the use of corporate property, information or position, unless the Company has already been offered the opportunity and turned it down. More generally, employees, officers and directors are prohibited from using corporate property, information or position for personal gain and from competing with the Company. Sometimes the line between personal and Company benefits is difficult to draw, and sometimes there are both personal and Company benefits in certain activities. Employees, officers and directors who intend to make use of Company property or services in a manner not solely for the benefit of the Company should consult beforehand with your manager, the Chief Executive Officer or Chief Financial Officer, or their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405130</wp:posOffset>
            </wp:positionV>
            <wp:extent cx="716089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b w:val="1"/>
          <w:bCs w:val="1"/>
          <w:color w:val="auto"/>
        </w:rPr>
        <w:t>VII. Confidentiality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carrying out the Company's business, employees, officers and directors often learn confidential or proprietary information about the Company, its customers, suppliers, or joint venture parties. Employees, officers and directors must maintain the confidentiality of all information so entrusted to them, except when disclosure is authorized or legally mandated. Confidential or proprietary information of our Company, and of other companies, includes any non-public information that would be harmful to the relevant company or useful or helpful to competitors if disclosed.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Fair Dealing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core value of operating is based on responsiveness, openness, honesty and trust with our members, business partners, employees and stockholders. We do not seek competitive advantages through illegal or unethical business practices. Each employee, officer and director should endeavor to deal fairly with the Company's customers, service providers, suppliers, competitors and employees. No employee, officer or director should take unfair advantage of anyone through manipulation, concealment, abuse of privileged information, misrepresentation of material facts, or any unfair dealing practice.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Protection and Proper Use of Company Assets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employees, officers and directors should protect the Company's assets and ensure their efficient use. All Company assets should be used only for legitimate business purposes. Theft, careless and waste have a direct impact on our profit.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 Waivers and Amendments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time to time, the Company may waive provisions of this Code. Any employee or director who believes that a waiver may be called for should discuss the matter with your manager, the Chief Executive Officer or Chief Financial Officer, or their equivalents.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waiver of the Code for executive officers (including Senior Financial Officers) or directors of the Company may be made only by the Board of Directors and must be promptly disclosed to stockholders along with the reasons for such waiver in a manner as required by applicable law or the rules of the applicable stock exchange. Any amendment or waiver of any provision of this Code must be approved in writing by the Board or, if appropriate, its delegate(s) and promptly disclosed pursuant to applicable laws and regulations.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waiver or modification of the Code for a Senior Financial Officer will be promptly disclosed to stockholders if and as required by applicable law or the rules of the applicable stock exchange.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committed to continuously reviewing and updating its policies, and therefore reserves the right to amend this Policy at any time, for any reason, subject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408940</wp:posOffset>
            </wp:positionV>
            <wp:extent cx="716089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59" w:right="319" w:bottom="1440" w:gutter="0" w:footer="0" w:header="0"/>
        </w:sectPr>
      </w:pPr>
    </w:p>
    <w:bookmarkStart w:id="251" w:name="page252"/>
    <w:bookmarkEnd w:id="251"/>
    <w:p>
      <w:pPr>
        <w:jc w:val="right"/>
        <w:spacing w:after="0"/>
        <w:rPr>
          <w:sz w:val="20"/>
          <w:szCs w:val="20"/>
          <w:color w:val="auto"/>
        </w:rPr>
      </w:pPr>
      <w:r>
        <w:rPr>
          <w:rFonts w:ascii="Arial" w:cs="Arial" w:eastAsia="Arial" w:hAnsi="Arial"/>
          <w:sz w:val="22"/>
          <w:szCs w:val="22"/>
          <w:color w:val="auto"/>
        </w:rPr>
        <w:t>Exhibit 23.1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consent to the inclusion in this Registration Statement of M I Acquisitions, Inc. (the “Company”) on Form S-1 of our report dated February 22, 2016, which includes an explanatory paragraph as to the Company’s ability to continue as a going concern, with respect to our audit of the financial statements of M I Acquisitions, Inc. as of December 31, 2015 and for the period from April 23, 2015 (inception) through December 31, 2015, which report appears in the Prospectus, which is part of this Registration Statement. We also consent to the reference to our Firm under the heading “Experts” in such Prospectus.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434340</wp:posOffset>
            </wp:positionV>
            <wp:extent cx="716089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0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Adopted: ______________, 2016</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responsibilities and powers of the Audit Committee of the Board of Directors (the “Board”) of M I Acquisitions, Inc. (the “Company”), as delegated by the Board, are set forth in this charter (this “Charter”). Whenever the Audit Committee takes an action, it shall exercise its independent judgment on an informed basis that the action is in the best interests of the Company and its shareholders.</w:t>
      </w:r>
    </w:p>
    <w:p>
      <w:pPr>
        <w:spacing w:after="0" w:line="177" w:lineRule="exact"/>
        <w:rPr>
          <w:sz w:val="20"/>
          <w:szCs w:val="20"/>
          <w:color w:val="auto"/>
        </w:rPr>
      </w:pPr>
    </w:p>
    <w:p>
      <w:pPr>
        <w:ind w:left="640" w:hanging="640"/>
        <w:spacing w:after="0"/>
        <w:tabs>
          <w:tab w:leader="none" w:pos="64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purpose of the Audit Committee shall be to represent and assist the Board in the oversight and monitoring of:</w:t>
      </w:r>
    </w:p>
    <w:p>
      <w:pPr>
        <w:spacing w:after="0" w:line="225" w:lineRule="exact"/>
        <w:rPr>
          <w:rFonts w:ascii="Arial" w:cs="Arial" w:eastAsia="Arial" w:hAnsi="Arial"/>
          <w:sz w:val="18"/>
          <w:szCs w:val="18"/>
          <w:b w:val="1"/>
          <w:bCs w:val="1"/>
          <w:color w:val="auto"/>
        </w:rPr>
      </w:pPr>
    </w:p>
    <w:p>
      <w:pPr>
        <w:ind w:left="640" w:hanging="316"/>
        <w:spacing w:after="0"/>
        <w:tabs>
          <w:tab w:leader="none" w:pos="6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Company’s accounting and financial reporting processes and the audits of the Company’s financial statements;</w:t>
      </w:r>
    </w:p>
    <w:p>
      <w:pPr>
        <w:spacing w:after="0" w:line="225" w:lineRule="exact"/>
        <w:rPr>
          <w:rFonts w:ascii="Arial" w:cs="Arial" w:eastAsia="Arial" w:hAnsi="Arial"/>
          <w:sz w:val="18"/>
          <w:szCs w:val="18"/>
          <w:color w:val="auto"/>
        </w:rPr>
      </w:pPr>
    </w:p>
    <w:p>
      <w:pPr>
        <w:ind w:left="640" w:hanging="316"/>
        <w:spacing w:after="0"/>
        <w:tabs>
          <w:tab w:leader="none" w:pos="6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integrity of the Company’s financial statements;</w:t>
      </w:r>
    </w:p>
    <w:p>
      <w:pPr>
        <w:spacing w:after="0" w:line="225" w:lineRule="exact"/>
        <w:rPr>
          <w:rFonts w:ascii="Arial" w:cs="Arial" w:eastAsia="Arial" w:hAnsi="Arial"/>
          <w:sz w:val="18"/>
          <w:szCs w:val="18"/>
          <w:color w:val="auto"/>
        </w:rPr>
      </w:pPr>
    </w:p>
    <w:p>
      <w:pPr>
        <w:ind w:left="640" w:hanging="316"/>
        <w:spacing w:after="0"/>
        <w:tabs>
          <w:tab w:leader="none" w:pos="6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Company’s internal accounting and financial controls; and</w:t>
      </w:r>
    </w:p>
    <w:p>
      <w:pPr>
        <w:spacing w:after="0" w:line="225" w:lineRule="exact"/>
        <w:rPr>
          <w:rFonts w:ascii="Arial" w:cs="Arial" w:eastAsia="Arial" w:hAnsi="Arial"/>
          <w:sz w:val="18"/>
          <w:szCs w:val="18"/>
          <w:color w:val="auto"/>
        </w:rPr>
      </w:pPr>
    </w:p>
    <w:p>
      <w:pPr>
        <w:ind w:left="640" w:hanging="316"/>
        <w:spacing w:after="0"/>
        <w:tabs>
          <w:tab w:leader="none" w:pos="64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Company’s compliance with legal and regulatory requirements, and the independent auditors’ qualifications, independence and performance.</w:t>
      </w:r>
    </w:p>
    <w:p>
      <w:pPr>
        <w:spacing w:after="0" w:line="244" w:lineRule="exact"/>
        <w:rPr>
          <w:sz w:val="20"/>
          <w:szCs w:val="20"/>
          <w:color w:val="auto"/>
        </w:rPr>
      </w:pPr>
    </w:p>
    <w:p>
      <w:pPr>
        <w:ind w:left="640" w:hanging="640"/>
        <w:spacing w:after="0"/>
        <w:tabs>
          <w:tab w:leader="none" w:pos="64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COMMITTEE MEMBERSHIP</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Audit Committee will consist of at least three members of the Board. The members of the Audit Committee shall be appointed by and serve at the discretion of the Board. Members of the Audit Committee must meet the following criteria:</w:t>
      </w:r>
    </w:p>
    <w:p>
      <w:pPr>
        <w:spacing w:after="0" w:line="170" w:lineRule="exact"/>
        <w:rPr>
          <w:sz w:val="20"/>
          <w:szCs w:val="20"/>
          <w:color w:val="auto"/>
        </w:rPr>
      </w:pPr>
    </w:p>
    <w:p>
      <w:pPr>
        <w:jc w:val="both"/>
        <w:ind w:left="640" w:hanging="316"/>
        <w:spacing w:after="0" w:line="264" w:lineRule="auto"/>
        <w:tabs>
          <w:tab w:leader="none" w:pos="6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member must meet the independence and experience requirements and standards established from time to time to time by the Securities and Exchange Commission (the “SEC”) and any securities exchange on which the Company’s securities are listed or quoted for trading, in each case as amended from time to time.</w:t>
      </w:r>
    </w:p>
    <w:p>
      <w:pPr>
        <w:spacing w:after="0" w:line="181" w:lineRule="exact"/>
        <w:rPr>
          <w:rFonts w:ascii="Arial" w:cs="Arial" w:eastAsia="Arial" w:hAnsi="Arial"/>
          <w:sz w:val="18"/>
          <w:szCs w:val="18"/>
          <w:color w:val="auto"/>
        </w:rPr>
      </w:pPr>
    </w:p>
    <w:p>
      <w:pPr>
        <w:ind w:left="640" w:hanging="316"/>
        <w:spacing w:after="0" w:line="277" w:lineRule="auto"/>
        <w:tabs>
          <w:tab w:leader="none" w:pos="6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member must be financially literate and able to read and understand fundamental financial statements, including the Company’s balance sheet, statement of operations and statement of cash flows, as determined by the Board.</w:t>
      </w:r>
    </w:p>
    <w:p>
      <w:pPr>
        <w:spacing w:after="0" w:line="170" w:lineRule="exact"/>
        <w:rPr>
          <w:rFonts w:ascii="Arial" w:cs="Arial" w:eastAsia="Arial" w:hAnsi="Arial"/>
          <w:sz w:val="18"/>
          <w:szCs w:val="18"/>
          <w:color w:val="auto"/>
        </w:rPr>
      </w:pPr>
    </w:p>
    <w:p>
      <w:pPr>
        <w:jc w:val="both"/>
        <w:ind w:left="640" w:hanging="316"/>
        <w:spacing w:after="0" w:line="312" w:lineRule="auto"/>
        <w:tabs>
          <w:tab w:leader="none" w:pos="6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At least one member must have accounting or related financial management expertise, as the Board interprets such qualification in its business judgment, by virtue of such member’s current or past employment experience in finance or accounting, requisite professional certification in finance or accounting, or any other comparable experience or background which results in such individual’s financial sophistication.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393700</wp:posOffset>
            </wp:positionV>
            <wp:extent cx="716089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53" w:name="page254"/>
    <w:bookmarkEnd w:id="253"/>
    <w:p>
      <w:pPr>
        <w:ind w:left="640" w:hanging="316"/>
        <w:spacing w:after="0" w:line="342" w:lineRule="auto"/>
        <w:tabs>
          <w:tab w:leader="none" w:pos="64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Each member shall also meet any other requirements and standards established from time to time to time by the SEC and any securities exchange on which the Company’s securities are listed or quoted for trading, in each case as amended from time to time, for audit committee members.</w:t>
      </w:r>
    </w:p>
    <w:p>
      <w:pPr>
        <w:spacing w:after="0" w:line="123"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The Board shall designate one member of the Audit Committee as its chairperson.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 Audit Committee member may resign by delivering his or her written resignation to the chairman of the Board, or may be removed by majority vote of the Board by delivery to such member of written notice of removal, to take effect at a date specified therein, or upon delivery of such written notice to such member if no date is specified. The Board shall have the power at any time to fill vacancies in the Audit Committee, subject to such new member(s) satisfying the above requirements.</w:t>
      </w:r>
    </w:p>
    <w:p>
      <w:pPr>
        <w:spacing w:after="0" w:line="183" w:lineRule="exact"/>
        <w:rPr>
          <w:sz w:val="20"/>
          <w:szCs w:val="20"/>
          <w:color w:val="auto"/>
        </w:rPr>
      </w:pPr>
    </w:p>
    <w:p>
      <w:pPr>
        <w:ind w:left="640" w:hanging="640"/>
        <w:spacing w:after="0"/>
        <w:tabs>
          <w:tab w:leader="none" w:pos="64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MEETINGS AND PROCEDURES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Audit Committee will set its own schedule of meetings and will meet at least quarterly, with the option of holding additional meetings at such times as it deems necessary or appropriate. Meetings of the Audit Committee shall be called by a majority of the members of the Audit Committee upon such notice as is provided for in the Company’s charter documents with respect to meetings of the Board. A majority of the Audit Committee members shall constitute a quorum. Actions of the Audit Committee may be taken in person at a meeting or in writing without a meeting. Actions taken at a meeting, to be valid, shall require the approval of a majority of the members of the Audit Committee present and voting. Actions taken in writing, to be valid, shall be signed by all members of the Audit Committee. The Audit Committee will maintain written minutes of its meetings, which minutes will be filed with the minutes of the meetings of the Board. Periodically, the Audit Committee shall meet separately with the Company’s management, with the internal auditors and/or internal control director, and with the independent auditors.</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Audit Committee may form subcommittees for any purpose that the Audit Committee deems appropriate and may delegate to such subcommittees such power and authority as the Audit Committee deems appropriate. The Audit Committee shall not delegate to a subcommittee any power or authority required by law, regulation or listing standard to be exercised by the Audit Committee as a whole.</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Audit Committee shall make regular reports to the Board, which reports shall include to the extent that the Audit Committee deems appropriate, any issues that arise with respect to the quality or integrity of the Company’s financial statements, the Company’s compliance with legal or regulatory requirements, the performance and independence of the Company’s independent auditors or the performance of the internal audit function.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1125" w:right="319" w:bottom="1440" w:gutter="0" w:footer="0" w:header="0"/>
        </w:sectPr>
      </w:pPr>
    </w:p>
    <w:bookmarkStart w:id="254" w:name="page255"/>
    <w:bookmarkEnd w:id="254"/>
    <w:p>
      <w:pPr>
        <w:spacing w:after="0"/>
        <w:tabs>
          <w:tab w:leader="none" w:pos="62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COMMITTEE AUTHORITY AND RESPONSIBILITIES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Audit Committee shall appoint and oversee the work of the independent auditors, approve the compensation of the independent auditors and review and, if appropriate, discharge the independent auditors. In this regard, the independent auditors shall report directly to the Audit Committee, and the Audit Committee shall have the sole authority to approve the hiring and discharging of the independent auditors, all audit engagement fees and terms and all permissible non-audit engagements with the independent auditors.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Audit Committee shall pre-approve (or, where permitted under the rules of the SEC, subsequently approve) engagements of the independent auditors to render audit services and/or establish pre-approval policies and procedures for such engagements, provided that (i) such policies and procedures are detailed as to the particular services rendered, (ii) the Audit Committee is informed of each such service and (iii) such policies and procedures do not include delegation to management of the Audit Committee’s responsibilities under the Securities Exchange Act of 1934 or SEC rules. The Audit Committee shall also pre-approve any non-audit services proposed to be provided to the Company by the independent auditors.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shall review and reassess the adequacy and scope of this Charter annually and recommend any proposed changes to the Board for approval.</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Audit Committee shall evaluate its performance annually.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the extent deemed necessary or appropriate, the Audit Committee shall be responsible for: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Oversight of the Company’s Relationship with the Independent Auditor</w:t>
      </w:r>
    </w:p>
    <w:p>
      <w:pPr>
        <w:spacing w:after="0" w:line="225" w:lineRule="exact"/>
        <w:rPr>
          <w:sz w:val="20"/>
          <w:szCs w:val="20"/>
          <w:color w:val="auto"/>
        </w:rPr>
      </w:pPr>
    </w:p>
    <w:p>
      <w:pPr>
        <w:jc w:val="both"/>
        <w:ind w:left="980" w:hanging="332"/>
        <w:spacing w:after="0" w:line="297" w:lineRule="auto"/>
        <w:tabs>
          <w:tab w:leader="none" w:pos="9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Review the independence of the independent auditors, including (i) obtaining on a periodic basis a formal written statement from the independent auditors delineating all relationships between the independent auditors and the Company, (ii) maintaining an active dialogue with the independent auditors, covering any disclosed relationship or services that may impair their objectivity and independence, (iii) presenting this statement to the Board and (iv) to the extent there are any such relationships, monitoring and investigating them and, if necessary, taking, or recommending to the Board that the Board take, appropriate action to maintain the independence of the independent auditors.</w:t>
      </w:r>
    </w:p>
    <w:p>
      <w:pPr>
        <w:spacing w:after="0" w:line="158" w:lineRule="exact"/>
        <w:rPr>
          <w:rFonts w:ascii="Arial" w:cs="Arial" w:eastAsia="Arial" w:hAnsi="Arial"/>
          <w:sz w:val="16"/>
          <w:szCs w:val="16"/>
          <w:color w:val="auto"/>
        </w:rPr>
      </w:pPr>
    </w:p>
    <w:p>
      <w:pPr>
        <w:jc w:val="both"/>
        <w:ind w:left="980" w:hanging="332"/>
        <w:spacing w:after="0" w:line="264" w:lineRule="auto"/>
        <w:tabs>
          <w:tab w:leader="none" w:pos="9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Evaluate, at least annually, the independent auditors’ qualifications, performance and independence, which evaluation shall include a review and evaluation of the lead partner of the independent auditors, and take appropriate action to oversee the independence of the independent auditors.</w:t>
      </w:r>
    </w:p>
    <w:p>
      <w:pPr>
        <w:spacing w:after="0" w:line="181" w:lineRule="exact"/>
        <w:rPr>
          <w:rFonts w:ascii="Arial" w:cs="Arial" w:eastAsia="Arial" w:hAnsi="Arial"/>
          <w:sz w:val="18"/>
          <w:szCs w:val="18"/>
          <w:color w:val="auto"/>
        </w:rPr>
      </w:pPr>
    </w:p>
    <w:p>
      <w:pPr>
        <w:ind w:left="980" w:hanging="332"/>
        <w:spacing w:after="0"/>
        <w:tabs>
          <w:tab w:leader="none" w:pos="9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Review, in consultation with the independent auditors, the annual audit plan and scope of audit activities and monitor such plan’s progress.</w:t>
      </w:r>
    </w:p>
    <w:p>
      <w:pPr>
        <w:spacing w:after="0" w:line="248" w:lineRule="exact"/>
        <w:rPr>
          <w:rFonts w:ascii="Arial" w:cs="Arial" w:eastAsia="Arial" w:hAnsi="Arial"/>
          <w:sz w:val="16"/>
          <w:szCs w:val="16"/>
          <w:color w:val="auto"/>
        </w:rPr>
      </w:pPr>
    </w:p>
    <w:p>
      <w:pPr>
        <w:ind w:left="980" w:hanging="332"/>
        <w:spacing w:after="0"/>
        <w:tabs>
          <w:tab w:leader="none" w:pos="9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Establish policies regarding the hiring of employees or former employees of the independent auditors.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i w:val="1"/>
          <w:iCs w:val="1"/>
          <w:color w:val="auto"/>
        </w:rPr>
        <w:t>Financial Statements and Disclosure Matters</w:t>
      </w:r>
    </w:p>
    <w:p>
      <w:pPr>
        <w:spacing w:after="0" w:line="225" w:lineRule="exact"/>
        <w:rPr>
          <w:sz w:val="20"/>
          <w:szCs w:val="20"/>
          <w:color w:val="auto"/>
        </w:rPr>
      </w:pPr>
    </w:p>
    <w:p>
      <w:pPr>
        <w:jc w:val="both"/>
        <w:ind w:left="340" w:hanging="332"/>
        <w:spacing w:after="0" w:line="279" w:lineRule="auto"/>
        <w:tabs>
          <w:tab w:leader="none" w:pos="3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Discuss and, as appropriate, review with management and the independent auditors the Company’s financial statements and annual and quarterly reports, including the Company’s disclosures under Management’s Discussion and Analysis of Financial Condition and Results of Operations, discuss with the independent auditors any other matters required to be discussed by accounting and auditing standards, and recommend to the Board whether the audited financial statements should be included in the Company’s annual report.</w:t>
      </w:r>
    </w:p>
    <w:p>
      <w:pPr>
        <w:spacing w:after="0" w:line="171" w:lineRule="exact"/>
        <w:rPr>
          <w:rFonts w:ascii="Arial" w:cs="Arial" w:eastAsia="Arial" w:hAnsi="Arial"/>
          <w:sz w:val="17"/>
          <w:szCs w:val="17"/>
          <w:color w:val="auto"/>
        </w:rPr>
      </w:pPr>
    </w:p>
    <w:p>
      <w:pPr>
        <w:jc w:val="both"/>
        <w:ind w:left="340" w:hanging="332"/>
        <w:spacing w:after="0" w:line="271" w:lineRule="auto"/>
        <w:tabs>
          <w:tab w:leader="none" w:pos="3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Discuss with management, the internal auditor and the independent auditors significant financial reporting issues raised and judgments made in connection with the preparation of the Company’s financial statements, including the review of (i) major issues regarding accounting principles and financial statement presentation, including any significant changes in the Company’s selection or application of accounting principles; (ii) analyses prepared by management and/or the independent auditors setting forth significant financial reporting issues raised and judgments made in connection with the preparation of the financial statements, including analyses of the effects of alternative GAAP methods on the financial statements; (iii) the effect of regulatory and accounting initiatives, as well as off-balance sheet arrangements, on the Company’s financial statements; and (iv) the type and presentation of information be included in earnings press releases, as well as any financial information and earnings guidance to be provided to analysts and rating agencies.</w:t>
      </w:r>
    </w:p>
    <w:p>
      <w:pPr>
        <w:spacing w:after="0" w:line="178"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At least annually, obtain and review a report by the independent auditor describing: (i) the audit firm’s internal quality-control procedures; (ii) any material issues raised by the most recent internal quality-control review, or peer review, of the audit firm, or (iii) by any inquiry or investigation by governmental or professional authorities, within the preceding five years, respecting one or more independent audits carried out by the audit firm, and any steps taken to deal with any such issues described in the report.</w:t>
      </w:r>
    </w:p>
    <w:p>
      <w:pPr>
        <w:spacing w:after="0" w:line="186"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Receive, review and discuss quarterly reports from the independent auditors on (i) the Company’s major critical accounting policies and practices; (ii) significant alternative treatments of financial information within GAAP that have been discussed with management; (iii) ramifications of the use of such alternative disclosures and treatments; (iv) any treatments preferred by the independent auditors; and (v) other material written communications between the independent auditors and management, such as any management letter or schedule of unadjusted differences.</w:t>
      </w:r>
    </w:p>
    <w:p>
      <w:pPr>
        <w:spacing w:after="0" w:line="188"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Review on a regular basis with the Company’s independent auditors any problems or difficulties encountered by the independent auditors in the course of any audit work, including management’s response with respect thereto, any restrictions on the scope of the independent auditors’ activities or on access to requested information, and any significant disagreements with management; and ensure the resolution of any disagreements between management and the independent auditors regarding financial reporting.</w:t>
      </w:r>
    </w:p>
    <w:p>
      <w:pPr>
        <w:spacing w:after="0" w:line="38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14605</wp:posOffset>
            </wp:positionV>
            <wp:extent cx="716089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20"/>
          </w:cols>
          <w:pgMar w:left="960" w:top="908" w:right="319" w:bottom="1440" w:gutter="0" w:footer="0" w:header="0"/>
        </w:sectPr>
      </w:pPr>
    </w:p>
    <w:bookmarkStart w:id="256" w:name="page257"/>
    <w:bookmarkEnd w:id="256"/>
    <w:p>
      <w:pPr>
        <w:ind w:left="980" w:hanging="332"/>
        <w:spacing w:after="0"/>
        <w:tabs>
          <w:tab w:leader="none" w:pos="9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Review disclosures regarding the Company’s internal controls that are required to be included in SEC reports.</w:t>
      </w:r>
    </w:p>
    <w:p>
      <w:pPr>
        <w:spacing w:after="0" w:line="225" w:lineRule="exact"/>
        <w:rPr>
          <w:rFonts w:ascii="Arial" w:cs="Arial" w:eastAsia="Arial" w:hAnsi="Arial"/>
          <w:sz w:val="18"/>
          <w:szCs w:val="18"/>
          <w:color w:val="auto"/>
        </w:rPr>
      </w:pPr>
    </w:p>
    <w:p>
      <w:pPr>
        <w:ind w:left="980" w:hanging="332"/>
        <w:spacing w:after="0" w:line="277" w:lineRule="auto"/>
        <w:tabs>
          <w:tab w:leader="none" w:pos="9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Discuss with management and the independent auditors any correspondence with regulators or governmental agencies and any published reports that raise material issues regarding the Company’s financial statements or accounting policies.</w:t>
      </w:r>
    </w:p>
    <w:p>
      <w:pPr>
        <w:spacing w:after="0" w:line="170" w:lineRule="exact"/>
        <w:rPr>
          <w:rFonts w:ascii="Arial" w:cs="Arial" w:eastAsia="Arial" w:hAnsi="Arial"/>
          <w:sz w:val="18"/>
          <w:szCs w:val="18"/>
          <w:color w:val="auto"/>
        </w:rPr>
      </w:pPr>
    </w:p>
    <w:p>
      <w:pPr>
        <w:ind w:left="980" w:hanging="332"/>
        <w:spacing w:after="0" w:line="277" w:lineRule="auto"/>
        <w:tabs>
          <w:tab w:leader="none" w:pos="9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Discuss with management earnings press releases and financial information and earnings guidance to be provided to analysts and rating agencies, including any proposed use of “pro forma” or “adjusted” non- GAAP information.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Oversight of the Company’s Internal Control Function</w:t>
      </w:r>
    </w:p>
    <w:p>
      <w:pPr>
        <w:spacing w:after="0" w:line="225" w:lineRule="exact"/>
        <w:rPr>
          <w:sz w:val="20"/>
          <w:szCs w:val="20"/>
          <w:color w:val="auto"/>
        </w:rPr>
      </w:pPr>
    </w:p>
    <w:p>
      <w:pPr>
        <w:jc w:val="both"/>
        <w:ind w:left="980" w:hanging="332"/>
        <w:spacing w:after="0" w:line="312" w:lineRule="auto"/>
        <w:tabs>
          <w:tab w:leader="none" w:pos="9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Review the adequacy and effectiveness of the Company’s internal control policies and procedures on a regular basis, including the responsibilities, budget and staffing of the Company’s internal audit and control function, as well as the need for any special audit procedures in response to material control deficiencies, through inquiry and discussions with the Company’s independent auditors and management.</w:t>
      </w:r>
    </w:p>
    <w:p>
      <w:pPr>
        <w:spacing w:after="0" w:line="146" w:lineRule="exact"/>
        <w:rPr>
          <w:rFonts w:ascii="Arial" w:cs="Arial" w:eastAsia="Arial" w:hAnsi="Arial"/>
          <w:sz w:val="16"/>
          <w:szCs w:val="16"/>
          <w:color w:val="auto"/>
        </w:rPr>
      </w:pPr>
    </w:p>
    <w:p>
      <w:pPr>
        <w:ind w:left="980" w:hanging="332"/>
        <w:spacing w:after="0" w:line="277" w:lineRule="auto"/>
        <w:tabs>
          <w:tab w:leader="none" w:pos="9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Review the reports prepared by management, assessing the adequacy and effectiveness of the Company’s internal controls and procedures, prior to the inclusion of such reports in the Company’s periodic filings as required under SEC rules.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Compliance Oversight Responsibilities</w:t>
      </w:r>
    </w:p>
    <w:p>
      <w:pPr>
        <w:spacing w:after="0" w:line="225" w:lineRule="exact"/>
        <w:rPr>
          <w:sz w:val="20"/>
          <w:szCs w:val="20"/>
          <w:color w:val="auto"/>
        </w:rPr>
      </w:pPr>
    </w:p>
    <w:p>
      <w:pPr>
        <w:ind w:left="980" w:hanging="332"/>
        <w:spacing w:after="0" w:line="277" w:lineRule="auto"/>
        <w:tabs>
          <w:tab w:leader="none" w:pos="9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Discuss and review guidelines and policies with respect to risk assessment and risk management, including the Company’s insurance coverage from time to time.</w:t>
      </w:r>
    </w:p>
    <w:p>
      <w:pPr>
        <w:spacing w:after="0" w:line="170" w:lineRule="exact"/>
        <w:rPr>
          <w:rFonts w:ascii="Arial" w:cs="Arial" w:eastAsia="Arial" w:hAnsi="Arial"/>
          <w:sz w:val="18"/>
          <w:szCs w:val="18"/>
          <w:color w:val="auto"/>
        </w:rPr>
      </w:pPr>
    </w:p>
    <w:p>
      <w:pPr>
        <w:ind w:left="980" w:hanging="332"/>
        <w:spacing w:after="0" w:line="277" w:lineRule="auto"/>
        <w:tabs>
          <w:tab w:leader="none" w:pos="9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Discuss with the Company’s chief legal officer legal matters that may have a material impact on the financial statements or the Company’s compliance procedures.</w:t>
      </w:r>
    </w:p>
    <w:p>
      <w:pPr>
        <w:spacing w:after="0" w:line="170" w:lineRule="exact"/>
        <w:rPr>
          <w:rFonts w:ascii="Arial" w:cs="Arial" w:eastAsia="Arial" w:hAnsi="Arial"/>
          <w:sz w:val="18"/>
          <w:szCs w:val="18"/>
          <w:color w:val="auto"/>
        </w:rPr>
      </w:pPr>
    </w:p>
    <w:p>
      <w:pPr>
        <w:jc w:val="both"/>
        <w:ind w:left="980" w:hanging="332"/>
        <w:spacing w:after="0" w:line="264" w:lineRule="auto"/>
        <w:tabs>
          <w:tab w:leader="none" w:pos="9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Establish procedures for receiving, retaining and treating complaints received by the Company regarding accounting, internal accounting controls or auditing matters and procedures for the confidential, anonymous submission by employees of concerns regarding questionable accounting or auditing matters.</w:t>
      </w:r>
    </w:p>
    <w:p>
      <w:pPr>
        <w:spacing w:after="0" w:line="181" w:lineRule="exact"/>
        <w:rPr>
          <w:rFonts w:ascii="Arial" w:cs="Arial" w:eastAsia="Arial" w:hAnsi="Arial"/>
          <w:sz w:val="18"/>
          <w:szCs w:val="18"/>
          <w:color w:val="auto"/>
        </w:rPr>
      </w:pPr>
    </w:p>
    <w:p>
      <w:pPr>
        <w:ind w:left="980" w:hanging="332"/>
        <w:spacing w:after="0"/>
        <w:tabs>
          <w:tab w:leader="none" w:pos="9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Review, approve and monitor the Company’s code of ethics applicable to its senior financial officers.</w:t>
      </w:r>
    </w:p>
    <w:p>
      <w:pPr>
        <w:spacing w:after="0" w:line="225" w:lineRule="exact"/>
        <w:rPr>
          <w:rFonts w:ascii="Arial" w:cs="Arial" w:eastAsia="Arial" w:hAnsi="Arial"/>
          <w:sz w:val="18"/>
          <w:szCs w:val="18"/>
          <w:color w:val="auto"/>
        </w:rPr>
      </w:pPr>
    </w:p>
    <w:p>
      <w:pPr>
        <w:ind w:left="980" w:hanging="332"/>
        <w:spacing w:after="0" w:line="277" w:lineRule="auto"/>
        <w:tabs>
          <w:tab w:leader="none" w:pos="9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Review any conflicts of interest and related party transactions to assess an impact on the Company’s internal controls or financial reporting and disclosure.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shall have the authority to engage independent counsel and other advisers, as it determines necessary, to carry out its duties. The Company shall provide for appropriate funding, as determined by the Audit Committee, for payment of (i) compensation to the independent auditors engaged for the purpose of preparing or issuing an audit report or performing other audit review or attest services for the Company, (ii) compensation to any advisers employed by the Audit Committee and (iii) ordinary administrative expenses of the Audit Committee that are necessary or appropriate for carrying out its duties.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CHARTER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0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Adopted: ______________, 2016</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responsibilities and powers of the Compensation Committee of the Board of Directors (the “Board”) of M I Acquisitions, Inc. (the “Company”), as delegated by the Board, are set forth in this charter (this “Charter”). Whenever the Compensation Committee takes an action, it shall exercise its independent judgment on an informed basis that the action is in the best interests of the Company and its shareholders.</w:t>
      </w:r>
    </w:p>
    <w:p>
      <w:pPr>
        <w:spacing w:after="0" w:line="177" w:lineRule="exact"/>
        <w:rPr>
          <w:sz w:val="20"/>
          <w:szCs w:val="20"/>
          <w:color w:val="auto"/>
        </w:rPr>
      </w:pPr>
    </w:p>
    <w:p>
      <w:pPr>
        <w:ind w:left="640" w:hanging="640"/>
        <w:spacing w:after="0"/>
        <w:tabs>
          <w:tab w:leader="none" w:pos="64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purpose of the Compensation Committee shall be to assist the Board in determining the compensation of the Chief Executive Officer, the chairman of the Board, the Chief Financial Officer and other executive officers of the Company (collectively, the “Executives”) and make recommendations to the Board with respect to the compensation of the non-Executive officers of the Company and the independent directors.</w:t>
      </w:r>
    </w:p>
    <w:p>
      <w:pPr>
        <w:spacing w:after="0" w:line="162" w:lineRule="exact"/>
        <w:rPr>
          <w:sz w:val="20"/>
          <w:szCs w:val="20"/>
          <w:color w:val="auto"/>
        </w:rPr>
      </w:pPr>
    </w:p>
    <w:p>
      <w:pPr>
        <w:ind w:left="640" w:hanging="640"/>
        <w:spacing w:after="0"/>
        <w:tabs>
          <w:tab w:leader="none" w:pos="64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COMMITTEE MEMBERSHIP</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Compensation Committee shall consist of at least two members of the Board. Each member shall meet the independence and experience requirements and standards established from time to time to time by the Securities and Exchange Commission (the “SEC”) and any securities exchange on which the Company’s securities are listed or quoted for trading, in each case as amended from time to time. In addition, each member must qualify as a “Non-Employee Director” under Rule 16b-3 under the Securities Exchange Act of 1934, as amended (the “Exchange Act”), and satisfy the requirements of Section 162(m) of the Internal Revenue Code for “outside directors,” and any other regulatory requirements.</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Board shall elect the members of the Compensation Committee at the first Board meeting practicable and may make changes from time to time pursuant to the provisions below. The members of the Compensation Committee shall serve until their successors are appointed and qualify. Unless a chairman of the Compensation Committee (the “Chairman”) is elected by the Board or by a majority of the members of the Compensation Committee, no chairman of the Compensation Committee shall be designated. If appointed by the Board or the members of the Compensation Committee, the Chairman shall be a member of the Compensation Committee and, if present, shall preside at each meeting of the Compensation Committee. The Chairman shall perform such duties as may from time to time be assigned to the Chairman by the Compensation Committee or the Board.</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Compensation Committee member may resign by delivering his or her written resignation to the chairman of the Board, or may be removed by majority vote of the Board by delivery to such member of written notice of removal, to take effect at a date specified therein, or upon delivery of such written notice to such member if no date is specified. The Board shall have the power at any time to fill vacancies in the Compensation Committee, subject to such new member(s) satisfying the above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419100</wp:posOffset>
            </wp:positionV>
            <wp:extent cx="716089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58" w:name="page259"/>
    <w:bookmarkEnd w:id="258"/>
    <w:p>
      <w:pPr>
        <w:ind w:left="640" w:hanging="640"/>
        <w:spacing w:after="0"/>
        <w:tabs>
          <w:tab w:leader="none" w:pos="64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MEETINGS AND COMMITTEE ACTION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Compensation Committee shall meet at such times as it deems necessary to fulfill its responsibilities, but not less frequently than annually. Meetings of the Compensation Committee shall be called by a majority of the members of the Compensation Committee upon such notice as is provided for in the Company’s charter documents with respect to meetings of the Board. A majority of the Compensation Committee members shall constitute a quorum. Actions of the Compensation Committee may be taken in person at a meeting or in writing without a meeting. Actions taken at a meeting, to be valid, shall require the approval of a majority of the members of the Compensation Committee present and voting. Actions taken in writing, to be valid, shall be signed by all members of the Compensation Committee. The Compensation Committee shall report its minutes from each meeting to the Board.</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 majority of the members of the Compensation Committee may establish, consistent with the requirements of this Charter, such rules as may from time to time be necessary or appropriate for the conduct of the business of the Compensation Committee. At each meeting, a majority of the members of the Compensation Committee shall appoint as secretary a person who may, but need not, be a member of the Compensation Committee. A certificate of the secretary of the Compensation Committee or minutes of a meeting of the Compensation Committee executed by the secretary setting forth the names of the members of the Compensation Committee present at the meeting or actions taken by the Compensation Committee at the meeting shall be sufficient evidence at all times as to the members of the Compensation Committee who were present, or such actions taken.</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Compensation Committee shall have the authority to delegate any of its responsibilities to subcommittees as it may deem appropriate in its sole discretion. The Chief Executive Officer of the Company may not be present during voting or deliberations of the Compensation Committee with respect to his compensation.</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COMMITTEE AUTHORITY AND RESPONSIBILITIES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Compensation Committee shall have the following authority and responsibilities:</w:t>
      </w:r>
    </w:p>
    <w:p>
      <w:pPr>
        <w:spacing w:after="0" w:line="225" w:lineRule="exact"/>
        <w:rPr>
          <w:sz w:val="20"/>
          <w:szCs w:val="20"/>
          <w:color w:val="auto"/>
        </w:rPr>
      </w:pPr>
    </w:p>
    <w:p>
      <w:pPr>
        <w:jc w:val="both"/>
        <w:ind w:left="1300" w:hanging="652"/>
        <w:spacing w:after="0" w:line="272" w:lineRule="auto"/>
        <w:tabs>
          <w:tab w:leader="none" w:pos="130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At least annually review the Company’s corporate goals and objectives relevant to the Executives’ compensation; evaluate the Executives’ performance in light of such goals and objectives; and, either as a Compensation Committee or, together with the other independent directors (as directed by the Board), determine and approve the Executives’ compensation level based on this evaluation (and Chief Executive Officer may not be present during voting or deliberations on his or her compensation). In determining the long-term incentive component of the Executives’ compensation, the Compensation Committee will consider the Company’s performance, the value of similar incentive awards to the Executives at comparable companies, the awards given to the Executives in past years and any relevant legal requirements and associated guidance of the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413385</wp:posOffset>
            </wp:positionV>
            <wp:extent cx="716089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259" w:name="page260"/>
    <w:bookmarkEnd w:id="259"/>
    <w:p>
      <w:pPr>
        <w:ind w:left="652" w:hanging="652"/>
        <w:spacing w:after="0" w:line="277" w:lineRule="auto"/>
        <w:tabs>
          <w:tab w:leader="none" w:pos="65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At least annually review and make recommendations to the Board with respect to director compensation to assist the Board in making the final determination as to director compensation.</w:t>
      </w:r>
    </w:p>
    <w:p>
      <w:pPr>
        <w:spacing w:after="0" w:line="170" w:lineRule="exact"/>
        <w:rPr>
          <w:rFonts w:ascii="Arial" w:cs="Arial" w:eastAsia="Arial" w:hAnsi="Arial"/>
          <w:sz w:val="18"/>
          <w:szCs w:val="18"/>
          <w:color w:val="auto"/>
        </w:rPr>
      </w:pPr>
    </w:p>
    <w:p>
      <w:pPr>
        <w:jc w:val="both"/>
        <w:ind w:left="652" w:hanging="652"/>
        <w:spacing w:after="0" w:line="264" w:lineRule="auto"/>
        <w:tabs>
          <w:tab w:leader="none" w:pos="65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Attempt to ensure that the Company’s compensation program is effective in attracting and retaining key employees, reinforce business strategies and objectives for enhanced shareholder value, and administer the compensation program in a fair and equitable manner consistent with established policies and guidelines.</w:t>
      </w:r>
    </w:p>
    <w:p>
      <w:pPr>
        <w:spacing w:after="0" w:line="181" w:lineRule="exact"/>
        <w:rPr>
          <w:rFonts w:ascii="Arial" w:cs="Arial" w:eastAsia="Arial" w:hAnsi="Arial"/>
          <w:sz w:val="18"/>
          <w:szCs w:val="18"/>
          <w:color w:val="auto"/>
        </w:rPr>
      </w:pPr>
    </w:p>
    <w:p>
      <w:pPr>
        <w:ind w:left="652" w:hanging="652"/>
        <w:spacing w:after="0"/>
        <w:tabs>
          <w:tab w:leader="none" w:pos="65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Administer the Company’s incentive-compensation plans and equity-based plans, insofar as provided therein.</w:t>
      </w:r>
    </w:p>
    <w:p>
      <w:pPr>
        <w:spacing w:after="0" w:line="225"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Make recommendations to the Board regarding approval, disapproval, modification, or termination of existing or proposed employee benefit plans.</w:t>
      </w:r>
    </w:p>
    <w:p>
      <w:pPr>
        <w:spacing w:after="0" w:line="170" w:lineRule="exact"/>
        <w:rPr>
          <w:rFonts w:ascii="Arial" w:cs="Arial" w:eastAsia="Arial" w:hAnsi="Arial"/>
          <w:sz w:val="18"/>
          <w:szCs w:val="18"/>
          <w:color w:val="auto"/>
        </w:rPr>
      </w:pPr>
    </w:p>
    <w:p>
      <w:pPr>
        <w:ind w:left="652" w:hanging="652"/>
        <w:spacing w:after="0" w:line="308" w:lineRule="auto"/>
        <w:tabs>
          <w:tab w:leader="none" w:pos="652"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Approve any stock option award or any other type of award as may be required for complying with any tax, securities, or other regulatory requirement, or otherwise determined to be appropriate or desirable by the Compensation Committee or Board.</w:t>
      </w:r>
    </w:p>
    <w:p>
      <w:pPr>
        <w:spacing w:after="0" w:line="146" w:lineRule="exact"/>
        <w:rPr>
          <w:rFonts w:ascii="Arial" w:cs="Arial" w:eastAsia="Arial" w:hAnsi="Arial"/>
          <w:sz w:val="17"/>
          <w:szCs w:val="17"/>
          <w:color w:val="auto"/>
        </w:rPr>
      </w:pPr>
    </w:p>
    <w:p>
      <w:pPr>
        <w:ind w:left="652" w:hanging="652"/>
        <w:spacing w:after="0"/>
        <w:tabs>
          <w:tab w:leader="none" w:pos="65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Approve the policy for authorizing claims for expenses from the Executives.</w:t>
      </w:r>
    </w:p>
    <w:p>
      <w:pPr>
        <w:spacing w:after="0" w:line="225" w:lineRule="exact"/>
        <w:rPr>
          <w:rFonts w:ascii="Arial" w:cs="Arial" w:eastAsia="Arial" w:hAnsi="Arial"/>
          <w:sz w:val="18"/>
          <w:szCs w:val="18"/>
          <w:color w:val="auto"/>
        </w:rPr>
      </w:pPr>
    </w:p>
    <w:p>
      <w:pPr>
        <w:jc w:val="both"/>
        <w:ind w:left="652" w:hanging="652"/>
        <w:spacing w:after="0" w:line="255" w:lineRule="auto"/>
        <w:tabs>
          <w:tab w:leader="none" w:pos="65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Retain or obtain the advice of a compensation consultant, legal counsel or other adviser, in the sole discretion of the Compensation Committee. The Compensation Committee shall be directly responsible for the appointment, compensation and oversight of the work of any compensation consultant, legal counsel and other adviser retained by the Compensation Committee. The Company shall provide for appropriate funding, as determined by the compensation committee, for payment of reasonable compensation to a compensation consultant, legal counsel or any other adviser retained by the Compensation Committee. The Compensation Committee shall have sole authority to approve related fees and retention terms.</w:t>
      </w:r>
    </w:p>
    <w:p>
      <w:pPr>
        <w:spacing w:after="0" w:line="193"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Review and approve the compensation disclosure and analysis prepared by the Company’s management, as required to be included in the Company’s proxy statement or annual report, or equivalent, filed with the SEC.</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Review and assess the adequacy of this charter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443865</wp:posOffset>
            </wp:positionV>
            <wp:extent cx="716089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sectPr>
      <w:pgSz w:w="11900" w:h="16838" w:orient="portrait"/>
      <w:cols w:equalWidth="0" w:num="1">
        <w:col w:w="10612"/>
      </w:cols>
      <w:pgMar w:left="968" w:top="90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EF0119"/>
    <w:multiLevelType w:val="hybridMultilevel"/>
    <w:lvl w:ilvl="0">
      <w:lvlJc w:val="left"/>
      <w:lvlText w:val="(%1)"/>
      <w:numFmt w:val="decimal"/>
      <w:start w:val="1"/>
    </w:lvl>
  </w:abstractNum>
  <w:abstractNum w:abstractNumId="1">
    <w:nsid w:val="26F324BA"/>
    <w:multiLevelType w:val="hybridMultilevel"/>
    <w:lvl w:ilvl="0">
      <w:lvlJc w:val="left"/>
      <w:lvlText w:val="(%1)"/>
      <w:numFmt w:val="decimal"/>
      <w:start w:val="1"/>
    </w:lvl>
  </w:abstractNum>
  <w:abstractNum w:abstractNumId="2">
    <w:nsid w:val="7F01579B"/>
    <w:multiLevelType w:val="hybridMultilevel"/>
    <w:lvl w:ilvl="0">
      <w:lvlJc w:val="left"/>
      <w:lvlText w:val="•"/>
      <w:numFmt w:val="bullet"/>
      <w:start w:val="1"/>
    </w:lvl>
  </w:abstractNum>
  <w:abstractNum w:abstractNumId="3">
    <w:nsid w:val="49DA307D"/>
    <w:multiLevelType w:val="hybridMultilevel"/>
    <w:lvl w:ilvl="0">
      <w:lvlJc w:val="left"/>
      <w:lvlText w:val="•"/>
      <w:numFmt w:val="bullet"/>
      <w:start w:val="1"/>
    </w:lvl>
  </w:abstractNum>
  <w:abstractNum w:abstractNumId="4">
    <w:nsid w:val="7055A5F5"/>
    <w:multiLevelType w:val="hybridMultilevel"/>
    <w:lvl w:ilvl="0">
      <w:lvlJc w:val="left"/>
      <w:lvlText w:val="(%1)"/>
      <w:numFmt w:val="decimal"/>
      <w:start w:val="2"/>
    </w:lvl>
  </w:abstractNum>
  <w:abstractNum w:abstractNumId="5">
    <w:nsid w:val="5FB8370B"/>
    <w:multiLevelType w:val="hybridMultilevel"/>
    <w:lvl w:ilvl="0">
      <w:lvlJc w:val="left"/>
      <w:lvlText w:val="(%1)"/>
      <w:numFmt w:val="lowerRoman"/>
      <w:start w:val="10"/>
    </w:lvl>
  </w:abstractNum>
  <w:abstractNum w:abstractNumId="6">
    <w:nsid w:val="50801EE1"/>
    <w:multiLevelType w:val="hybridMultilevel"/>
    <w:lvl w:ilvl="0">
      <w:lvlJc w:val="left"/>
      <w:lvlText w:val="•"/>
      <w:numFmt w:val="bullet"/>
      <w:start w:val="1"/>
    </w:lvl>
  </w:abstractNum>
  <w:abstractNum w:abstractNumId="7">
    <w:nsid w:val="488AC1A"/>
    <w:multiLevelType w:val="hybridMultilevel"/>
    <w:lvl w:ilvl="0">
      <w:lvlJc w:val="left"/>
      <w:lvlText w:val="(%1)"/>
      <w:numFmt w:val="lowerRoman"/>
      <w:start w:val="2"/>
    </w:lvl>
  </w:abstractNum>
  <w:abstractNum w:abstractNumId="8">
    <w:nsid w:val="5FB8011C"/>
    <w:multiLevelType w:val="hybridMultilevel"/>
    <w:lvl w:ilvl="0">
      <w:lvlJc w:val="left"/>
      <w:lvlText w:val="(%1)"/>
      <w:numFmt w:val="decimal"/>
      <w:start w:val="1"/>
    </w:lvl>
  </w:abstractNum>
  <w:abstractNum w:abstractNumId="9">
    <w:nsid w:val="6AA78F7F"/>
    <w:multiLevelType w:val="hybridMultilevel"/>
    <w:lvl w:ilvl="0">
      <w:lvlJc w:val="left"/>
      <w:lvlText w:val="(%1)"/>
      <w:numFmt w:val="lowerRoman"/>
      <w:start w:val="2"/>
    </w:lvl>
    <w:lvl w:ilvl="1">
      <w:lvlJc w:val="left"/>
      <w:lvlText w:val="•"/>
      <w:numFmt w:val="bullet"/>
      <w:start w:val="1"/>
    </w:lvl>
  </w:abstractNum>
  <w:abstractNum w:abstractNumId="10">
    <w:nsid w:val="7672BD23"/>
    <w:multiLevelType w:val="hybridMultilevel"/>
    <w:lvl w:ilvl="0">
      <w:lvlJc w:val="left"/>
      <w:lvlText w:val="•"/>
      <w:numFmt w:val="bullet"/>
      <w:start w:val="1"/>
    </w:lvl>
  </w:abstractNum>
  <w:abstractNum w:abstractNumId="11">
    <w:nsid w:val="6FC75AF8"/>
    <w:multiLevelType w:val="hybridMultilevel"/>
    <w:lvl w:ilvl="0">
      <w:lvlJc w:val="left"/>
      <w:lvlText w:val="•"/>
      <w:numFmt w:val="bullet"/>
      <w:start w:val="1"/>
    </w:lvl>
  </w:abstractNum>
  <w:abstractNum w:abstractNumId="12">
    <w:nsid w:val="6A5F7029"/>
    <w:multiLevelType w:val="hybridMultilevel"/>
    <w:lvl w:ilvl="0">
      <w:lvlJc w:val="left"/>
      <w:lvlText w:val="•"/>
      <w:numFmt w:val="bullet"/>
      <w:start w:val="1"/>
    </w:lvl>
  </w:abstractNum>
  <w:abstractNum w:abstractNumId="13">
    <w:nsid w:val="7D5E18F8"/>
    <w:multiLevelType w:val="hybridMultilevel"/>
    <w:lvl w:ilvl="0">
      <w:lvlJc w:val="left"/>
      <w:lvlText w:val="•"/>
      <w:numFmt w:val="bullet"/>
      <w:start w:val="1"/>
    </w:lvl>
  </w:abstractNum>
  <w:abstractNum w:abstractNumId="14">
    <w:nsid w:val="5F3534A4"/>
    <w:multiLevelType w:val="hybridMultilevel"/>
    <w:lvl w:ilvl="0">
      <w:lvlJc w:val="left"/>
      <w:lvlText w:val="•"/>
      <w:numFmt w:val="bullet"/>
      <w:start w:val="1"/>
    </w:lvl>
  </w:abstractNum>
  <w:abstractNum w:abstractNumId="15">
    <w:nsid w:val="73A1821B"/>
    <w:multiLevelType w:val="hybridMultilevel"/>
    <w:lvl w:ilvl="0">
      <w:lvlJc w:val="left"/>
      <w:lvlText w:val="•"/>
      <w:numFmt w:val="bullet"/>
      <w:start w:val="1"/>
    </w:lvl>
  </w:abstractNum>
  <w:abstractNum w:abstractNumId="16">
    <w:nsid w:val="7DE67713"/>
    <w:multiLevelType w:val="hybridMultilevel"/>
    <w:lvl w:ilvl="0">
      <w:lvlJc w:val="left"/>
      <w:lvlText w:val="•"/>
      <w:numFmt w:val="bullet"/>
      <w:start w:val="1"/>
    </w:lvl>
  </w:abstractNum>
  <w:abstractNum w:abstractNumId="17">
    <w:nsid w:val="555C55B5"/>
    <w:multiLevelType w:val="hybridMultilevel"/>
    <w:lvl w:ilvl="0">
      <w:lvlJc w:val="left"/>
      <w:lvlText w:val="•"/>
      <w:numFmt w:val="bullet"/>
      <w:start w:val="1"/>
    </w:lvl>
  </w:abstractNum>
  <w:abstractNum w:abstractNumId="18">
    <w:nsid w:val="3FA62ACA"/>
    <w:multiLevelType w:val="hybridMultilevel"/>
    <w:lvl w:ilvl="0">
      <w:lvlJc w:val="left"/>
      <w:lvlText w:val="•"/>
      <w:numFmt w:val="bullet"/>
      <w:start w:val="1"/>
    </w:lvl>
  </w:abstractNum>
  <w:abstractNum w:abstractNumId="19">
    <w:nsid w:val="14FCE74E"/>
    <w:multiLevelType w:val="hybridMultilevel"/>
    <w:lvl w:ilvl="0">
      <w:lvlJc w:val="left"/>
      <w:lvlText w:val="(%1)"/>
      <w:numFmt w:val="decimal"/>
      <w:start w:val="1"/>
    </w:lvl>
  </w:abstractNum>
  <w:abstractNum w:abstractNumId="20">
    <w:nsid w:val="6A3DD3E8"/>
    <w:multiLevelType w:val="hybridMultilevel"/>
    <w:lvl w:ilvl="0">
      <w:lvlJc w:val="left"/>
      <w:lvlText w:val="(%1)"/>
      <w:numFmt w:val="decimal"/>
      <w:start w:val="1"/>
    </w:lvl>
  </w:abstractNum>
  <w:abstractNum w:abstractNumId="21">
    <w:nsid w:val="71C91298"/>
    <w:multiLevelType w:val="hybridMultilevel"/>
    <w:lvl w:ilvl="0">
      <w:lvlJc w:val="left"/>
      <w:lvlText w:val="(%1)"/>
      <w:numFmt w:val="decimal"/>
      <w:start w:val="1"/>
    </w:lvl>
  </w:abstractNum>
  <w:abstractNum w:abstractNumId="22">
    <w:nsid w:val="9DAF632"/>
    <w:multiLevelType w:val="hybridMultilevel"/>
    <w:lvl w:ilvl="0">
      <w:lvlJc w:val="left"/>
      <w:lvlText w:val="(%1)"/>
      <w:numFmt w:val="decimal"/>
      <w:start w:val="1"/>
    </w:lvl>
  </w:abstractNum>
  <w:abstractNum w:abstractNumId="23">
    <w:nsid w:val="53299938"/>
    <w:multiLevelType w:val="hybridMultilevel"/>
    <w:lvl w:ilvl="0">
      <w:lvlJc w:val="left"/>
      <w:lvlText w:val="•"/>
      <w:numFmt w:val="bullet"/>
      <w:start w:val="1"/>
    </w:lvl>
  </w:abstractNum>
  <w:abstractNum w:abstractNumId="24">
    <w:nsid w:val="1FBFE8E0"/>
    <w:multiLevelType w:val="hybridMultilevel"/>
    <w:lvl w:ilvl="0">
      <w:lvlJc w:val="left"/>
      <w:lvlText w:val="•"/>
      <w:numFmt w:val="bullet"/>
      <w:start w:val="1"/>
    </w:lvl>
  </w:abstractNum>
  <w:abstractNum w:abstractNumId="25">
    <w:nsid w:val="5092CA79"/>
    <w:multiLevelType w:val="hybridMultilevel"/>
    <w:lvl w:ilvl="0">
      <w:lvlJc w:val="left"/>
      <w:lvlText w:val="•"/>
      <w:numFmt w:val="bullet"/>
      <w:start w:val="1"/>
    </w:lvl>
  </w:abstractNum>
  <w:abstractNum w:abstractNumId="26">
    <w:nsid w:val="1D545C4D"/>
    <w:multiLevelType w:val="hybridMultilevel"/>
    <w:lvl w:ilvl="0">
      <w:lvlJc w:val="left"/>
      <w:lvlText w:val="•"/>
      <w:numFmt w:val="bullet"/>
      <w:start w:val="1"/>
    </w:lvl>
  </w:abstractNum>
  <w:abstractNum w:abstractNumId="27">
    <w:nsid w:val="59ADEA3D"/>
    <w:multiLevelType w:val="hybridMultilevel"/>
    <w:lvl w:ilvl="0">
      <w:lvlJc w:val="left"/>
      <w:lvlText w:val="•"/>
      <w:numFmt w:val="bullet"/>
      <w:start w:val="1"/>
    </w:lvl>
  </w:abstractNum>
  <w:abstractNum w:abstractNumId="28">
    <w:nsid w:val="288F1A34"/>
    <w:multiLevelType w:val="hybridMultilevel"/>
    <w:lvl w:ilvl="0">
      <w:lvlJc w:val="left"/>
      <w:lvlText w:val="•"/>
      <w:numFmt w:val="bullet"/>
      <w:start w:val="1"/>
    </w:lvl>
  </w:abstractNum>
  <w:abstractNum w:abstractNumId="29">
    <w:nsid w:val="2A155DBC"/>
    <w:multiLevelType w:val="hybridMultilevel"/>
    <w:lvl w:ilvl="0">
      <w:lvlJc w:val="left"/>
      <w:lvlText w:val="•"/>
      <w:numFmt w:val="bullet"/>
      <w:start w:val="1"/>
    </w:lvl>
  </w:abstractNum>
  <w:abstractNum w:abstractNumId="30">
    <w:nsid w:val="1D9F6E5F"/>
    <w:multiLevelType w:val="hybridMultilevel"/>
    <w:lvl w:ilvl="0">
      <w:lvlJc w:val="left"/>
      <w:lvlText w:val="•"/>
      <w:numFmt w:val="bullet"/>
      <w:start w:val="1"/>
    </w:lvl>
  </w:abstractNum>
  <w:abstractNum w:abstractNumId="31">
    <w:nsid w:val="97E1B4E"/>
    <w:multiLevelType w:val="hybridMultilevel"/>
    <w:lvl w:ilvl="0">
      <w:lvlJc w:val="left"/>
      <w:lvlText w:val="•"/>
      <w:numFmt w:val="bullet"/>
      <w:start w:val="1"/>
    </w:lvl>
  </w:abstractNum>
  <w:abstractNum w:abstractNumId="32">
    <w:nsid w:val="51088277"/>
    <w:multiLevelType w:val="hybridMultilevel"/>
    <w:lvl w:ilvl="0">
      <w:lvlJc w:val="left"/>
      <w:lvlText w:val="(%1)"/>
      <w:numFmt w:val="lowerRoman"/>
      <w:start w:val="2"/>
    </w:lvl>
  </w:abstractNum>
  <w:abstractNum w:abstractNumId="33">
    <w:nsid w:val="1CA0C5FA"/>
    <w:multiLevelType w:val="hybridMultilevel"/>
    <w:lvl w:ilvl="0">
      <w:lvlJc w:val="left"/>
      <w:lvlText w:val="(%1)"/>
      <w:numFmt w:val="lowerRoman"/>
      <w:start w:val="2"/>
    </w:lvl>
  </w:abstractNum>
  <w:abstractNum w:abstractNumId="34">
    <w:nsid w:val="53584BCB"/>
    <w:multiLevelType w:val="hybridMultilevel"/>
    <w:lvl w:ilvl="0">
      <w:lvlJc w:val="left"/>
      <w:lvlText w:val="•"/>
      <w:numFmt w:val="bullet"/>
      <w:start w:val="1"/>
    </w:lvl>
  </w:abstractNum>
  <w:abstractNum w:abstractNumId="35">
    <w:nsid w:val="415E286C"/>
    <w:multiLevelType w:val="hybridMultilevel"/>
    <w:lvl w:ilvl="0">
      <w:lvlJc w:val="left"/>
      <w:lvlText w:val="•"/>
      <w:numFmt w:val="bullet"/>
      <w:start w:val="1"/>
    </w:lvl>
  </w:abstractNum>
  <w:abstractNum w:abstractNumId="36">
    <w:nsid w:val="7C58FD05"/>
    <w:multiLevelType w:val="hybridMultilevel"/>
    <w:lvl w:ilvl="0">
      <w:lvlJc w:val="left"/>
      <w:lvlText w:val="•"/>
      <w:numFmt w:val="bullet"/>
      <w:start w:val="1"/>
    </w:lvl>
  </w:abstractNum>
  <w:abstractNum w:abstractNumId="37">
    <w:nsid w:val="23D86AAC"/>
    <w:multiLevelType w:val="hybridMultilevel"/>
    <w:lvl w:ilvl="0">
      <w:lvlJc w:val="left"/>
      <w:lvlText w:val="•"/>
      <w:numFmt w:val="bullet"/>
      <w:start w:val="1"/>
    </w:lvl>
  </w:abstractNum>
  <w:abstractNum w:abstractNumId="38">
    <w:nsid w:val="45E6D486"/>
    <w:multiLevelType w:val="hybridMultilevel"/>
    <w:lvl w:ilvl="0">
      <w:lvlJc w:val="left"/>
      <w:lvlText w:val="•"/>
      <w:numFmt w:val="bullet"/>
      <w:start w:val="1"/>
    </w:lvl>
  </w:abstractNum>
  <w:abstractNum w:abstractNumId="39">
    <w:nsid w:val="5C10FE21"/>
    <w:multiLevelType w:val="hybridMultilevel"/>
    <w:lvl w:ilvl="0">
      <w:lvlJc w:val="left"/>
      <w:lvlText w:val="•"/>
      <w:numFmt w:val="bullet"/>
      <w:start w:val="1"/>
    </w:lvl>
  </w:abstractNum>
  <w:abstractNum w:abstractNumId="40">
    <w:nsid w:val="E7FFA2B"/>
    <w:multiLevelType w:val="hybridMultilevel"/>
    <w:lvl w:ilvl="0">
      <w:lvlJc w:val="left"/>
      <w:lvlText w:val="•"/>
      <w:numFmt w:val="bullet"/>
      <w:start w:val="1"/>
    </w:lvl>
  </w:abstractNum>
  <w:abstractNum w:abstractNumId="41">
    <w:nsid w:val="3C5991AA"/>
    <w:multiLevelType w:val="hybridMultilevel"/>
    <w:lvl w:ilvl="0">
      <w:lvlJc w:val="left"/>
      <w:lvlText w:val="(%1)"/>
      <w:numFmt w:val="upperLetter"/>
      <w:start w:val="1"/>
    </w:lvl>
  </w:abstractNum>
  <w:abstractNum w:abstractNumId="42">
    <w:nsid w:val="4BD8591A"/>
    <w:multiLevelType w:val="hybridMultilevel"/>
    <w:lvl w:ilvl="0">
      <w:lvlJc w:val="left"/>
      <w:lvlText w:val="•"/>
      <w:numFmt w:val="bullet"/>
      <w:start w:val="1"/>
    </w:lvl>
  </w:abstractNum>
  <w:abstractNum w:abstractNumId="43">
    <w:nsid w:val="78DF6A55"/>
    <w:multiLevelType w:val="hybridMultilevel"/>
    <w:lvl w:ilvl="0">
      <w:lvlJc w:val="left"/>
      <w:lvlText w:val="•"/>
      <w:numFmt w:val="bullet"/>
      <w:start w:val="1"/>
    </w:lvl>
  </w:abstractNum>
  <w:abstractNum w:abstractNumId="44">
    <w:nsid w:val="39B7AAA2"/>
    <w:multiLevelType w:val="hybridMultilevel"/>
    <w:lvl w:ilvl="0">
      <w:lvlJc w:val="left"/>
      <w:lvlText w:val="•"/>
      <w:numFmt w:val="bullet"/>
      <w:start w:val="1"/>
    </w:lvl>
  </w:abstractNum>
  <w:abstractNum w:abstractNumId="45">
    <w:nsid w:val="2B0D8DBE"/>
    <w:multiLevelType w:val="hybridMultilevel"/>
    <w:lvl w:ilvl="0">
      <w:lvlJc w:val="left"/>
      <w:lvlText w:val="(%1)"/>
      <w:numFmt w:val="decimal"/>
      <w:start w:val="1"/>
    </w:lvl>
  </w:abstractNum>
  <w:abstractNum w:abstractNumId="46">
    <w:nsid w:val="6C80EC70"/>
    <w:multiLevelType w:val="hybridMultilevel"/>
    <w:lvl w:ilvl="0">
      <w:lvlJc w:val="left"/>
      <w:lvlText w:val="•"/>
      <w:numFmt w:val="bullet"/>
      <w:start w:val="1"/>
    </w:lvl>
  </w:abstractNum>
  <w:abstractNum w:abstractNumId="47">
    <w:nsid w:val="379E21B5"/>
    <w:multiLevelType w:val="hybridMultilevel"/>
    <w:lvl w:ilvl="0">
      <w:lvlJc w:val="left"/>
      <w:lvlText w:val="•"/>
      <w:numFmt w:val="bullet"/>
      <w:start w:val="1"/>
    </w:lvl>
  </w:abstractNum>
  <w:abstractNum w:abstractNumId="48">
    <w:nsid w:val="69E373"/>
    <w:multiLevelType w:val="hybridMultilevel"/>
    <w:lvl w:ilvl="0">
      <w:lvlJc w:val="left"/>
      <w:lvlText w:val="•"/>
      <w:numFmt w:val="bullet"/>
      <w:start w:val="1"/>
    </w:lvl>
  </w:abstractNum>
  <w:abstractNum w:abstractNumId="49">
    <w:nsid w:val="2C27173B"/>
    <w:multiLevelType w:val="hybridMultilevel"/>
    <w:lvl w:ilvl="0">
      <w:lvlJc w:val="left"/>
      <w:lvlText w:val="•"/>
      <w:numFmt w:val="bullet"/>
      <w:start w:val="1"/>
    </w:lvl>
  </w:abstractNum>
  <w:abstractNum w:abstractNumId="50">
    <w:nsid w:val="4C9B0904"/>
    <w:multiLevelType w:val="hybridMultilevel"/>
    <w:lvl w:ilvl="0">
      <w:lvlJc w:val="left"/>
      <w:lvlText w:val="•"/>
      <w:numFmt w:val="bullet"/>
      <w:start w:val="1"/>
    </w:lvl>
  </w:abstractNum>
  <w:abstractNum w:abstractNumId="51">
    <w:nsid w:val="6AA7B75C"/>
    <w:multiLevelType w:val="hybridMultilevel"/>
    <w:lvl w:ilvl="0">
      <w:lvlJc w:val="left"/>
      <w:lvlText w:val="•"/>
      <w:numFmt w:val="bullet"/>
      <w:start w:val="1"/>
    </w:lvl>
  </w:abstractNum>
  <w:abstractNum w:abstractNumId="52">
    <w:nsid w:val="1DF029D3"/>
    <w:multiLevelType w:val="hybridMultilevel"/>
    <w:lvl w:ilvl="0">
      <w:lvlJc w:val="left"/>
      <w:lvlText w:val="•"/>
      <w:numFmt w:val="bullet"/>
      <w:start w:val="1"/>
    </w:lvl>
  </w:abstractNum>
  <w:abstractNum w:abstractNumId="53">
    <w:nsid w:val="5675FF36"/>
    <w:multiLevelType w:val="hybridMultilevel"/>
    <w:lvl w:ilvl="0">
      <w:lvlJc w:val="left"/>
      <w:lvlText w:val="(%1)"/>
      <w:numFmt w:val="decimal"/>
      <w:start w:val="1"/>
    </w:lvl>
  </w:abstractNum>
  <w:abstractNum w:abstractNumId="54">
    <w:nsid w:val="3DD15094"/>
    <w:multiLevelType w:val="hybridMultilevel"/>
    <w:lvl w:ilvl="0">
      <w:lvlJc w:val="left"/>
      <w:lvlText w:val="•"/>
      <w:numFmt w:val="bullet"/>
      <w:start w:val="1"/>
    </w:lvl>
  </w:abstractNum>
  <w:abstractNum w:abstractNumId="55">
    <w:nsid w:val="3DB012B3"/>
    <w:multiLevelType w:val="hybridMultilevel"/>
    <w:lvl w:ilvl="0">
      <w:lvlJc w:val="left"/>
      <w:lvlText w:val="•"/>
      <w:numFmt w:val="bullet"/>
      <w:start w:val="1"/>
    </w:lvl>
  </w:abstractNum>
  <w:abstractNum w:abstractNumId="56">
    <w:nsid w:val="2708C9AF"/>
    <w:multiLevelType w:val="hybridMultilevel"/>
    <w:lvl w:ilvl="0">
      <w:lvlJc w:val="left"/>
      <w:lvlText w:val="(%1)"/>
      <w:numFmt w:val="decimal"/>
      <w:start w:val="1"/>
    </w:lvl>
  </w:abstractNum>
  <w:abstractNum w:abstractNumId="57">
    <w:nsid w:val="5B25ACE2"/>
    <w:multiLevelType w:val="hybridMultilevel"/>
    <w:lvl w:ilvl="0">
      <w:lvlJc w:val="left"/>
      <w:lvlText w:val="(%1)"/>
      <w:numFmt w:val="decimal"/>
      <w:start w:val="1"/>
    </w:lvl>
  </w:abstractNum>
  <w:abstractNum w:abstractNumId="58">
    <w:nsid w:val="175DFCF0"/>
    <w:multiLevelType w:val="hybridMultilevel"/>
    <w:lvl w:ilvl="0">
      <w:lvlJc w:val="left"/>
      <w:lvlText w:val="(%1)"/>
      <w:numFmt w:val="decimal"/>
      <w:start w:val="1"/>
    </w:lvl>
  </w:abstractNum>
  <w:abstractNum w:abstractNumId="59">
    <w:nsid w:val="4F97E3E4"/>
    <w:multiLevelType w:val="hybridMultilevel"/>
    <w:lvl w:ilvl="0">
      <w:lvlJc w:val="left"/>
      <w:lvlText w:val="$"/>
      <w:numFmt w:val="bullet"/>
      <w:start w:val="1"/>
    </w:lvl>
  </w:abstractNum>
  <w:abstractNum w:abstractNumId="60">
    <w:nsid w:val="53B0A9E"/>
    <w:multiLevelType w:val="hybridMultilevel"/>
    <w:lvl w:ilvl="0">
      <w:lvlJc w:val="left"/>
      <w:lvlText w:val="(%1)"/>
      <w:numFmt w:val="decimal"/>
      <w:start w:val="1"/>
    </w:lvl>
  </w:abstractNum>
  <w:abstractNum w:abstractNumId="61">
    <w:nsid w:val="34FD6B4F"/>
    <w:multiLevelType w:val="hybridMultilevel"/>
    <w:lvl w:ilvl="0">
      <w:lvlJc w:val="left"/>
      <w:lvlText w:val="(%1)"/>
      <w:numFmt w:val="decimal"/>
      <w:start w:val="1"/>
    </w:lvl>
  </w:abstractNum>
  <w:abstractNum w:abstractNumId="62">
    <w:nsid w:val="5915FF32"/>
    <w:multiLevelType w:val="hybridMultilevel"/>
    <w:lvl w:ilvl="0">
      <w:lvlJc w:val="left"/>
      <w:lvlText w:val="(%1)"/>
      <w:numFmt w:val="decimal"/>
      <w:start w:val="1"/>
    </w:lvl>
  </w:abstractNum>
  <w:abstractNum w:abstractNumId="63">
    <w:nsid w:val="56438D15"/>
    <w:multiLevelType w:val="hybridMultilevel"/>
    <w:lvl w:ilvl="0">
      <w:lvlJc w:val="left"/>
      <w:lvlText w:val="(%1)"/>
      <w:numFmt w:val="lowerLetter"/>
      <w:start w:val="1"/>
    </w:lvl>
  </w:abstractNum>
  <w:abstractNum w:abstractNumId="64">
    <w:nsid w:val="519E3149"/>
    <w:multiLevelType w:val="hybridMultilevel"/>
    <w:lvl w:ilvl="0">
      <w:lvlJc w:val="left"/>
      <w:lvlText w:val="(%1)"/>
      <w:numFmt w:val="lowerLetter"/>
      <w:start w:val="3"/>
    </w:lvl>
  </w:abstractNum>
  <w:abstractNum w:abstractNumId="65">
    <w:nsid w:val="2C6E4AFD"/>
    <w:multiLevelType w:val="hybridMultilevel"/>
    <w:lvl w:ilvl="0">
      <w:lvlJc w:val="left"/>
      <w:lvlText w:val="(%1)"/>
      <w:numFmt w:val="lowerLetter"/>
      <w:start w:val="10"/>
    </w:lvl>
  </w:abstractNum>
  <w:abstractNum w:abstractNumId="66">
    <w:nsid w:val="17A1B58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7">
    <w:nsid w:val="4DF72E4E"/>
    <w:multiLevelType w:val="hybridMultilevel"/>
    <w:lvl w:ilvl="0">
      <w:lvlJc w:val="left"/>
      <w:lvlText w:val="%1"/>
      <w:numFmt w:val="decimal"/>
      <w:start w:val="1"/>
    </w:lvl>
    <w:lvl w:ilvl="1">
      <w:lvlJc w:val="left"/>
      <w:lvlText w:val="(%2)"/>
      <w:numFmt w:val="lowerRoman"/>
      <w:start w:val="1"/>
    </w:lvl>
  </w:abstractNum>
  <w:abstractNum w:abstractNumId="68">
    <w:nsid w:val="5046B5A9"/>
    <w:multiLevelType w:val="hybridMultilevel"/>
    <w:lvl w:ilvl="0">
      <w:lvlJc w:val="left"/>
      <w:lvlText w:val="(%1)"/>
      <w:numFmt w:val="decimal"/>
      <w:start w:val="5"/>
    </w:lvl>
    <w:lvl w:ilvl="1">
      <w:lvlJc w:val="left"/>
      <w:lvlText w:val="%2"/>
      <w:numFmt w:val="lowerRoman"/>
      <w:start w:val="1"/>
    </w:lvl>
  </w:abstractNum>
  <w:abstractNum w:abstractNumId="69">
    <w:nsid w:val="5D888A08"/>
    <w:multiLevelType w:val="hybridMultilevel"/>
    <w:lvl w:ilvl="0">
      <w:lvlJc w:val="left"/>
      <w:lvlText w:val="(%1)"/>
      <w:numFmt w:val="lowerLetter"/>
      <w:start w:val="2"/>
    </w:lvl>
    <w:lvl w:ilvl="1">
      <w:lvlJc w:val="left"/>
      <w:lvlText w:val="(%2)"/>
      <w:numFmt w:val="decimal"/>
      <w:start w:val="1"/>
    </w:lvl>
  </w:abstractNum>
  <w:abstractNum w:abstractNumId="70">
    <w:nsid w:val="2A082C70"/>
    <w:multiLevelType w:val="hybridMultilevel"/>
    <w:lvl w:ilvl="0">
      <w:lvlJc w:val="left"/>
      <w:lvlText w:val="*"/>
      <w:numFmt w:val="bullet"/>
      <w:start w:val="1"/>
    </w:lvl>
  </w:abstractNum>
  <w:abstractNum w:abstractNumId="71">
    <w:nsid w:val="5EC6AFD4"/>
    <w:multiLevelType w:val="hybridMultilevel"/>
    <w:lvl w:ilvl="0">
      <w:lvlJc w:val="left"/>
      <w:lvlText w:val="%1."/>
      <w:numFmt w:val="decimal"/>
      <w:start w:val="1"/>
    </w:lvl>
  </w:abstractNum>
  <w:abstractNum w:abstractNumId="72">
    <w:nsid w:val="19E21BB2"/>
    <w:multiLevelType w:val="hybridMultilevel"/>
    <w:lvl w:ilvl="0">
      <w:lvlJc w:val="left"/>
      <w:lvlText w:val="%1."/>
      <w:numFmt w:val="decimal"/>
      <w:start w:val="1"/>
    </w:lvl>
  </w:abstractNum>
  <w:abstractNum w:abstractNumId="73">
    <w:nsid w:val="75E0858A"/>
    <w:multiLevelType w:val="hybridMultilevel"/>
    <w:lvl w:ilvl="0">
      <w:lvlJc w:val="left"/>
      <w:lvlText w:val="%1."/>
      <w:numFmt w:val="upperLetter"/>
      <w:start w:val="1"/>
    </w:lvl>
  </w:abstractNum>
  <w:abstractNum w:abstractNumId="74">
    <w:nsid w:val="57A61A29"/>
    <w:multiLevelType w:val="hybridMultilevel"/>
    <w:lvl w:ilvl="0">
      <w:lvlJc w:val="left"/>
      <w:lvlText w:val="%1."/>
      <w:numFmt w:val="upperLetter"/>
      <w:start w:val="1"/>
    </w:lvl>
  </w:abstractNum>
  <w:abstractNum w:abstractNumId="75">
    <w:nsid w:val="5399C654"/>
    <w:multiLevelType w:val="hybridMultilevel"/>
    <w:lvl w:ilvl="0">
      <w:lvlJc w:val="left"/>
      <w:lvlText w:val="%1."/>
      <w:numFmt w:val="upperLetter"/>
      <w:start w:val="3"/>
    </w:lvl>
  </w:abstractNum>
  <w:abstractNum w:abstractNumId="76">
    <w:nsid w:val="20EE1348"/>
    <w:multiLevelType w:val="hybridMultilevel"/>
    <w:lvl w:ilvl="0">
      <w:lvlJc w:val="left"/>
      <w:lvlText w:val="%1."/>
      <w:numFmt w:val="upperLetter"/>
      <w:start w:val="5"/>
    </w:lvl>
  </w:abstractNum>
  <w:abstractNum w:abstractNumId="77">
    <w:nsid w:val="4427069A"/>
    <w:multiLevelType w:val="hybridMultilevel"/>
    <w:lvl w:ilvl="0">
      <w:lvlJc w:val="left"/>
      <w:lvlText w:val="%1."/>
      <w:numFmt w:val="upperLetter"/>
      <w:start w:val="1"/>
    </w:lvl>
  </w:abstractNum>
  <w:abstractNum w:abstractNumId="78">
    <w:nsid w:val="B37E80A"/>
    <w:multiLevelType w:val="hybridMultilevel"/>
    <w:lvl w:ilvl="0">
      <w:lvlJc w:val="left"/>
      <w:lvlText w:val="%1."/>
      <w:numFmt w:val="upperLetter"/>
      <w:start w:val="1"/>
    </w:lvl>
  </w:abstractNum>
  <w:abstractNum w:abstractNumId="79">
    <w:nsid w:val="2157F6BC"/>
    <w:multiLevelType w:val="hybridMultilevel"/>
    <w:lvl w:ilvl="0">
      <w:lvlJc w:val="left"/>
      <w:lvlText w:val="(%1)"/>
      <w:numFmt w:val="lowerLetter"/>
      <w:start w:val="2"/>
    </w:lvl>
  </w:abstractNum>
  <w:abstractNum w:abstractNumId="80">
    <w:nsid w:val="704E1DD5"/>
    <w:multiLevelType w:val="hybridMultilevel"/>
    <w:lvl w:ilvl="0">
      <w:lvlJc w:val="left"/>
      <w:lvlText w:val="(%1)"/>
      <w:numFmt w:val="lowerLetter"/>
      <w:start w:val="3"/>
    </w:lvl>
  </w:abstractNum>
  <w:abstractNum w:abstractNumId="81">
    <w:nsid w:val="57D2F10E"/>
    <w:multiLevelType w:val="hybridMultilevel"/>
    <w:lvl w:ilvl="0">
      <w:lvlJc w:val="left"/>
      <w:lvlText w:val="(%1)"/>
      <w:numFmt w:val="lowerLetter"/>
      <w:start w:val="8"/>
    </w:lvl>
  </w:abstractNum>
  <w:abstractNum w:abstractNumId="82">
    <w:nsid w:val="BFFAE18"/>
    <w:multiLevelType w:val="hybridMultilevel"/>
    <w:lvl w:ilvl="0">
      <w:lvlJc w:val="left"/>
      <w:lvlText w:val="%1."/>
      <w:numFmt w:val="decimal"/>
      <w:start w:val="1"/>
    </w:lvl>
  </w:abstractNum>
  <w:abstractNum w:abstractNumId="83">
    <w:nsid w:val="E3E47A8"/>
    <w:multiLevelType w:val="hybridMultilevel"/>
    <w:lvl w:ilvl="0">
      <w:lvlJc w:val="left"/>
      <w:lvlText w:val="%1."/>
      <w:numFmt w:val="decimal"/>
      <w:start w:val="2"/>
    </w:lvl>
  </w:abstractNum>
  <w:abstractNum w:abstractNumId="84">
    <w:nsid w:val="2E48F044"/>
    <w:multiLevelType w:val="hybridMultilevel"/>
    <w:lvl w:ilvl="0">
      <w:lvlJc w:val="left"/>
      <w:lvlText w:val="%1."/>
      <w:numFmt w:val="decimal"/>
      <w:start w:val="3"/>
    </w:lvl>
  </w:abstractNum>
  <w:abstractNum w:abstractNumId="85">
    <w:nsid w:val="49D0FEAC"/>
    <w:multiLevelType w:val="hybridMultilevel"/>
    <w:lvl w:ilvl="0">
      <w:lvlJc w:val="left"/>
      <w:lvlText w:val="(%1)"/>
      <w:numFmt w:val="lowerRoman"/>
      <w:start w:val="1"/>
    </w:lvl>
  </w:abstractNum>
  <w:abstractNum w:abstractNumId="86">
    <w:nsid w:val="4BEE5A5B"/>
    <w:multiLevelType w:val="hybridMultilevel"/>
    <w:lvl w:ilvl="0">
      <w:lvlJc w:val="left"/>
      <w:lvlText w:val="%1."/>
      <w:numFmt w:val="decimal"/>
      <w:start w:val="4"/>
    </w:lvl>
  </w:abstractNum>
  <w:abstractNum w:abstractNumId="87">
    <w:nsid w:val="5551B9F3"/>
    <w:multiLevelType w:val="hybridMultilevel"/>
    <w:lvl w:ilvl="0">
      <w:lvlJc w:val="left"/>
      <w:lvlText w:val="(%1)"/>
      <w:numFmt w:val="lowerRoman"/>
      <w:start w:val="2"/>
    </w:lvl>
  </w:abstractNum>
  <w:abstractNum w:abstractNumId="88">
    <w:nsid w:val="24F6AB8E"/>
    <w:multiLevelType w:val="hybridMultilevel"/>
    <w:lvl w:ilvl="0">
      <w:lvlJc w:val="left"/>
      <w:lvlText w:val="%1."/>
      <w:numFmt w:val="decimal"/>
      <w:start w:val="5"/>
    </w:lvl>
  </w:abstractNum>
  <w:abstractNum w:abstractNumId="89">
    <w:nsid w:val="634C574C"/>
    <w:multiLevelType w:val="hybridMultilevel"/>
    <w:lvl w:ilvl="0">
      <w:lvlJc w:val="left"/>
      <w:lvlText w:val="%1."/>
      <w:numFmt w:val="decimal"/>
      <w:start w:val="6"/>
    </w:lvl>
  </w:abstractNum>
  <w:abstractNum w:abstractNumId="90">
    <w:nsid w:val="24E99DD7"/>
    <w:multiLevelType w:val="hybridMultilevel"/>
    <w:lvl w:ilvl="0">
      <w:lvlJc w:val="left"/>
      <w:lvlText w:val="%1."/>
      <w:numFmt w:val="decimal"/>
      <w:start w:val="7"/>
    </w:lvl>
  </w:abstractNum>
  <w:abstractNum w:abstractNumId="91">
    <w:nsid w:val="2A31B62D"/>
    <w:multiLevelType w:val="hybridMultilevel"/>
    <w:lvl w:ilvl="0">
      <w:lvlJc w:val="left"/>
      <w:lvlText w:val="%1."/>
      <w:numFmt w:val="decimal"/>
      <w:start w:val="8"/>
    </w:lvl>
  </w:abstractNum>
  <w:abstractNum w:abstractNumId="92">
    <w:nsid w:val="1849C29B"/>
    <w:multiLevelType w:val="hybridMultilevel"/>
    <w:lvl w:ilvl="0">
      <w:lvlJc w:val="left"/>
      <w:lvlText w:val="%1."/>
      <w:numFmt w:val="decimal"/>
      <w:start w:val="9"/>
    </w:lvl>
  </w:abstractNum>
  <w:abstractNum w:abstractNumId="93">
    <w:nsid w:val="7DFF9D09"/>
    <w:multiLevelType w:val="hybridMultilevel"/>
    <w:lvl w:ilvl="0">
      <w:lvlJc w:val="left"/>
      <w:lvlText w:val="(%1)"/>
      <w:numFmt w:val="lowerRoman"/>
      <w:start w:val="4"/>
    </w:lvl>
  </w:abstractNum>
  <w:abstractNum w:abstractNumId="94">
    <w:nsid w:val="754342"/>
    <w:multiLevelType w:val="hybridMultilevel"/>
    <w:lvl w:ilvl="0">
      <w:lvlJc w:val="left"/>
      <w:lvlText w:val="%1."/>
      <w:numFmt w:val="decimal"/>
      <w:start w:val="1"/>
    </w:lvl>
    <w:lvl w:ilvl="1">
      <w:lvlJc w:val="left"/>
      <w:lvlText w:val="(%2)"/>
      <w:numFmt w:val="lowerLetter"/>
      <w:start w:val="1"/>
    </w:lvl>
  </w:abstractNum>
  <w:abstractNum w:abstractNumId="95">
    <w:nsid w:val="69E7F3E5"/>
    <w:multiLevelType w:val="hybridMultilevel"/>
    <w:lvl w:ilvl="0">
      <w:lvlJc w:val="left"/>
      <w:lvlText w:val="%1"/>
      <w:numFmt w:val="decimal"/>
      <w:start w:val="1"/>
    </w:lvl>
    <w:lvl w:ilvl="1">
      <w:lvlJc w:val="left"/>
      <w:lvlText w:val="(%2)"/>
      <w:numFmt w:val="lowerLetter"/>
      <w:start w:val="3"/>
    </w:lvl>
  </w:abstractNum>
  <w:abstractNum w:abstractNumId="96">
    <w:nsid w:val="2A6DE806"/>
    <w:multiLevelType w:val="hybridMultilevel"/>
    <w:lvl w:ilvl="0">
      <w:lvlJc w:val="left"/>
      <w:lvlText w:val="%1."/>
      <w:numFmt w:val="decimal"/>
      <w:start w:val="5"/>
    </w:lvl>
    <w:lvl w:ilvl="1">
      <w:lvlJc w:val="left"/>
      <w:lvlText w:val="(%2)"/>
      <w:numFmt w:val="lowerLetter"/>
      <w:start w:val="1"/>
    </w:lvl>
  </w:abstractNum>
  <w:abstractNum w:abstractNumId="97">
    <w:nsid w:val="1816F8C4"/>
    <w:multiLevelType w:val="hybridMultilevel"/>
    <w:lvl w:ilvl="0">
      <w:lvlJc w:val="left"/>
      <w:lvlText w:val="%1."/>
      <w:numFmt w:val="decimal"/>
      <w:start w:val="8"/>
    </w:lvl>
  </w:abstractNum>
  <w:abstractNum w:abstractNumId="98">
    <w:nsid w:val="37DF2233"/>
    <w:multiLevelType w:val="hybridMultilevel"/>
    <w:lvl w:ilvl="0">
      <w:lvlJc w:val="left"/>
      <w:lvlText w:val="(%1)"/>
      <w:numFmt w:val="lowerRoman"/>
      <w:start w:val="3"/>
    </w:lvl>
  </w:abstractNum>
  <w:abstractNum w:abstractNumId="99">
    <w:nsid w:val="7AB49DAF"/>
    <w:multiLevelType w:val="hybridMultilevel"/>
    <w:lvl w:ilvl="0">
      <w:lvlJc w:val="left"/>
      <w:lvlText w:val="%1."/>
      <w:numFmt w:val="decimal"/>
      <w:start w:val="9"/>
    </w:lvl>
  </w:abstractNum>
  <w:abstractNum w:abstractNumId="100">
    <w:nsid w:val="759F82CD"/>
    <w:multiLevelType w:val="hybridMultilevel"/>
    <w:lvl w:ilvl="0">
      <w:lvlJc w:val="left"/>
      <w:lvlText w:val="%1."/>
      <w:numFmt w:val="decimal"/>
      <w:start w:val="14"/>
    </w:lvl>
  </w:abstractNum>
  <w:abstractNum w:abstractNumId="101">
    <w:nsid w:val="61E74EA3"/>
    <w:multiLevelType w:val="hybridMultilevel"/>
    <w:lvl w:ilvl="0">
      <w:lvlJc w:val="left"/>
      <w:lvlText w:val="%1"/>
      <w:numFmt w:val="lowerRoman"/>
      <w:start w:val="1"/>
    </w:lvl>
    <w:lvl w:ilvl="1">
      <w:lvlJc w:val="left"/>
      <w:lvlText w:val="%2."/>
      <w:numFmt w:val="decimal"/>
      <w:start w:val="1"/>
    </w:lvl>
  </w:abstractNum>
  <w:abstractNum w:abstractNumId="102">
    <w:nsid w:val="597B4D84"/>
    <w:multiLevelType w:val="hybridMultilevel"/>
    <w:lvl w:ilvl="0">
      <w:lvlJc w:val="left"/>
      <w:lvlText w:val="(%1)"/>
      <w:numFmt w:val="lowerRoman"/>
      <w:start w:val="2"/>
    </w:lvl>
    <w:lvl w:ilvl="1">
      <w:lvlJc w:val="left"/>
      <w:lvlText w:val="%2"/>
      <w:numFmt w:val="decimal"/>
      <w:start w:val="1"/>
    </w:lvl>
  </w:abstractNum>
  <w:abstractNum w:abstractNumId="103">
    <w:nsid w:val="F819E7F"/>
    <w:multiLevelType w:val="hybridMultilevel"/>
    <w:lvl w:ilvl="0">
      <w:lvlJc w:val="left"/>
      <w:lvlText w:val="%1"/>
      <w:numFmt w:val="decimal"/>
      <w:start w:val="1"/>
    </w:lvl>
    <w:lvl w:ilvl="1">
      <w:lvlJc w:val="left"/>
      <w:lvlText w:val="(%2)"/>
      <w:numFmt w:val="lowerLetter"/>
      <w:start w:val="2"/>
    </w:lvl>
  </w:abstractNum>
  <w:abstractNum w:abstractNumId="104">
    <w:nsid w:val="57C7D42D"/>
    <w:multiLevelType w:val="hybridMultilevel"/>
    <w:lvl w:ilvl="0">
      <w:lvlJc w:val="left"/>
      <w:lvlText w:val="%1."/>
      <w:numFmt w:val="decimal"/>
      <w:start w:val="3"/>
    </w:lvl>
    <w:lvl w:ilvl="1">
      <w:lvlJc w:val="left"/>
      <w:lvlText w:val="%2"/>
      <w:numFmt w:val="lowerLetter"/>
      <w:start w:val="1"/>
    </w:lvl>
  </w:abstractNum>
  <w:abstractNum w:abstractNumId="105">
    <w:nsid w:val="312167AD"/>
    <w:multiLevelType w:val="hybridMultilevel"/>
    <w:lvl w:ilvl="0">
      <w:lvlJc w:val="left"/>
      <w:lvlText w:val="%1."/>
      <w:numFmt w:val="decimal"/>
      <w:start w:val="5"/>
    </w:lvl>
  </w:abstractNum>
  <w:abstractNum w:abstractNumId="106">
    <w:nsid w:val="631B64D4"/>
    <w:multiLevelType w:val="hybridMultilevel"/>
    <w:lvl w:ilvl="0">
      <w:lvlJc w:val="left"/>
      <w:lvlText w:val="%1."/>
      <w:numFmt w:val="decimal"/>
      <w:start w:val="6"/>
    </w:lvl>
  </w:abstractNum>
  <w:abstractNum w:abstractNumId="107">
    <w:nsid w:val="78B5E776"/>
    <w:multiLevelType w:val="hybridMultilevel"/>
    <w:lvl w:ilvl="0">
      <w:lvlJc w:val="left"/>
      <w:lvlText w:val="%1."/>
      <w:numFmt w:val="decimal"/>
      <w:start w:val="8"/>
    </w:lvl>
  </w:abstractNum>
  <w:abstractNum w:abstractNumId="108">
    <w:nsid w:val="75486E47"/>
    <w:multiLevelType w:val="hybridMultilevel"/>
    <w:lvl w:ilvl="0">
      <w:lvlJc w:val="left"/>
      <w:lvlText w:val="1"/>
      <w:numFmt w:val="bullet"/>
      <w:start w:val="1"/>
    </w:lvl>
  </w:abstractNum>
  <w:abstractNum w:abstractNumId="109">
    <w:nsid w:val="6E534CDE"/>
    <w:multiLevelType w:val="hybridMultilevel"/>
    <w:lvl w:ilvl="0">
      <w:lvlJc w:val="left"/>
      <w:lvlText w:val="(%1)"/>
      <w:numFmt w:val="lowerLetter"/>
      <w:start w:val="1"/>
    </w:lvl>
  </w:abstractNum>
  <w:abstractNum w:abstractNumId="110">
    <w:nsid w:val="1A0DDE32"/>
    <w:multiLevelType w:val="hybridMultilevel"/>
    <w:lvl w:ilvl="0">
      <w:lvlJc w:val="left"/>
      <w:lvlText w:val="(%1)"/>
      <w:numFmt w:val="lowerLetter"/>
      <w:start w:val="8"/>
    </w:lvl>
  </w:abstractNum>
  <w:abstractNum w:abstractNumId="111">
    <w:nsid w:val="65968C1C"/>
    <w:multiLevelType w:val="hybridMultilevel"/>
    <w:lvl w:ilvl="0">
      <w:lvlJc w:val="left"/>
      <w:lvlText w:val="(%1)"/>
      <w:numFmt w:val="lowerLetter"/>
      <w:start w:val="14"/>
    </w:lvl>
  </w:abstractNum>
  <w:abstractNum w:abstractNumId="112">
    <w:nsid w:val="46263DEC"/>
    <w:multiLevelType w:val="hybridMultilevel"/>
    <w:lvl w:ilvl="0">
      <w:lvlJc w:val="left"/>
      <w:lvlText w:val="(%1)"/>
      <w:numFmt w:val="lowerLetter"/>
      <w:start w:val="19"/>
    </w:lvl>
    <w:lvl w:ilvl="1">
      <w:lvlJc w:val="left"/>
      <w:lvlText w:val="%2."/>
      <w:numFmt w:val="decimal"/>
      <w:start w:val="10"/>
    </w:lvl>
  </w:abstractNum>
  <w:abstractNum w:abstractNumId="113">
    <w:nsid w:val="260D8C4A"/>
    <w:multiLevelType w:val="hybridMultilevel"/>
    <w:lvl w:ilvl="0">
      <w:lvlJc w:val="left"/>
      <w:lvlText w:val="%1."/>
      <w:numFmt w:val="decimal"/>
      <w:start w:val="14"/>
    </w:lvl>
  </w:abstractNum>
  <w:abstractNum w:abstractNumId="114">
    <w:nsid w:val="73D4D3C4"/>
    <w:multiLevelType w:val="hybridMultilevel"/>
    <w:lvl w:ilvl="0">
      <w:lvlJc w:val="left"/>
      <w:lvlText w:val="%1."/>
      <w:numFmt w:val="decimal"/>
      <w:start w:val="16"/>
    </w:lvl>
  </w:abstractNum>
  <w:abstractNum w:abstractNumId="115">
    <w:nsid w:val="746F2E30"/>
    <w:multiLevelType w:val="hybridMultilevel"/>
    <w:lvl w:ilvl="0">
      <w:lvlJc w:val="left"/>
      <w:lvlText w:val="%1."/>
      <w:numFmt w:val="decimal"/>
      <w:start w:val="1"/>
    </w:lvl>
    <w:lvl w:ilvl="1">
      <w:lvlJc w:val="left"/>
      <w:lvlText w:val="(%2)"/>
      <w:numFmt w:val="lowerLetter"/>
      <w:start w:val="1"/>
    </w:lvl>
  </w:abstractNum>
  <w:abstractNum w:abstractNumId="116">
    <w:nsid w:val="6FDE8AF6"/>
    <w:multiLevelType w:val="hybridMultilevel"/>
    <w:lvl w:ilvl="0">
      <w:lvlJc w:val="left"/>
      <w:lvlText w:val="%1"/>
      <w:numFmt w:val="decimal"/>
      <w:start w:val="1"/>
    </w:lvl>
    <w:lvl w:ilvl="1">
      <w:lvlJc w:val="left"/>
      <w:lvlText w:val="(%2)"/>
      <w:numFmt w:val="lowerLetter"/>
      <w:start w:val="4"/>
    </w:lvl>
  </w:abstractNum>
  <w:abstractNum w:abstractNumId="117">
    <w:nsid w:val="3FC32E20"/>
    <w:multiLevelType w:val="hybridMultilevel"/>
    <w:lvl w:ilvl="0">
      <w:lvlJc w:val="left"/>
      <w:lvlText w:val="%1."/>
      <w:numFmt w:val="decimal"/>
      <w:start w:val="2"/>
    </w:lvl>
    <w:lvl w:ilvl="1">
      <w:lvlJc w:val="left"/>
      <w:lvlText w:val="(%2)"/>
      <w:numFmt w:val="lowerLetter"/>
      <w:start w:val="1"/>
    </w:lvl>
  </w:abstractNum>
  <w:abstractNum w:abstractNumId="118">
    <w:nsid w:val="49C0E823"/>
    <w:multiLevelType w:val="hybridMultilevel"/>
    <w:lvl w:ilvl="0">
      <w:lvlJc w:val="left"/>
      <w:lvlText w:val="%1"/>
      <w:numFmt w:val="decimal"/>
      <w:start w:val="1"/>
    </w:lvl>
    <w:lvl w:ilvl="1">
      <w:lvlJc w:val="left"/>
      <w:lvlText w:val="(%2)"/>
      <w:numFmt w:val="lowerLetter"/>
      <w:start w:val="3"/>
    </w:lvl>
  </w:abstractNum>
  <w:abstractNum w:abstractNumId="119">
    <w:nsid w:val="14D53685"/>
    <w:multiLevelType w:val="hybridMultilevel"/>
    <w:lvl w:ilvl="0">
      <w:lvlJc w:val="left"/>
      <w:lvlText w:val="%1."/>
      <w:numFmt w:val="decimal"/>
      <w:start w:val="3"/>
    </w:lvl>
    <w:lvl w:ilvl="1">
      <w:lvlJc w:val="left"/>
      <w:lvlText w:val="(%2)"/>
      <w:numFmt w:val="lowerLetter"/>
      <w:start w:val="1"/>
    </w:lvl>
  </w:abstractNum>
  <w:abstractNum w:abstractNumId="120">
    <w:nsid w:val="230F856C"/>
    <w:multiLevelType w:val="hybridMultilevel"/>
    <w:lvl w:ilvl="0">
      <w:lvlJc w:val="left"/>
      <w:lvlText w:val="%1"/>
      <w:numFmt w:val="decimal"/>
      <w:start w:val="1"/>
    </w:lvl>
    <w:lvl w:ilvl="1">
      <w:lvlJc w:val="left"/>
      <w:lvlText w:val="(%2)"/>
      <w:numFmt w:val="lowerLetter"/>
      <w:start w:val="4"/>
    </w:lvl>
  </w:abstractNum>
  <w:abstractNum w:abstractNumId="121">
    <w:nsid w:val="6EAA85FB"/>
    <w:multiLevelType w:val="hybridMultilevel"/>
    <w:lvl w:ilvl="0">
      <w:lvlJc w:val="left"/>
      <w:lvlText w:val="%1."/>
      <w:numFmt w:val="decimal"/>
      <w:start w:val="4"/>
    </w:lvl>
    <w:lvl w:ilvl="1">
      <w:lvlJc w:val="left"/>
      <w:lvlText w:val="(%2)"/>
      <w:numFmt w:val="lowerLetter"/>
      <w:start w:val="1"/>
    </w:lvl>
  </w:abstractNum>
  <w:abstractNum w:abstractNumId="122">
    <w:nsid w:val="3F06ECB2"/>
    <w:multiLevelType w:val="hybridMultilevel"/>
    <w:lvl w:ilvl="0">
      <w:lvlJc w:val="left"/>
      <w:lvlText w:val="%1"/>
      <w:numFmt w:val="decimal"/>
      <w:start w:val="1"/>
    </w:lvl>
    <w:lvl w:ilvl="1">
      <w:lvlJc w:val="left"/>
      <w:lvlText w:val="(%2)"/>
      <w:numFmt w:val="lowerLetter"/>
      <w:start w:val="7"/>
    </w:lvl>
  </w:abstractNum>
  <w:abstractNum w:abstractNumId="123">
    <w:nsid w:val="3B594807"/>
    <w:multiLevelType w:val="hybridMultilevel"/>
    <w:lvl w:ilvl="0">
      <w:lvlJc w:val="left"/>
      <w:lvlText w:val="%1."/>
      <w:numFmt w:val="decimal"/>
      <w:start w:val="5"/>
    </w:lvl>
    <w:lvl w:ilvl="1">
      <w:lvlJc w:val="left"/>
      <w:lvlText w:val="(%2)"/>
      <w:numFmt w:val="lowerLetter"/>
      <w:start w:val="1"/>
    </w:lvl>
  </w:abstractNum>
  <w:abstractNum w:abstractNumId="124">
    <w:nsid w:val="6CAA2304"/>
    <w:multiLevelType w:val="hybridMultilevel"/>
    <w:lvl w:ilvl="0">
      <w:lvlJc w:val="left"/>
      <w:lvlText w:val="%1"/>
      <w:numFmt w:val="decimal"/>
      <w:start w:val="1"/>
    </w:lvl>
    <w:lvl w:ilvl="1">
      <w:lvlJc w:val="left"/>
      <w:lvlText w:val="(%2)"/>
      <w:numFmt w:val="lowerLetter"/>
      <w:start w:val="2"/>
    </w:lvl>
  </w:abstractNum>
  <w:abstractNum w:abstractNumId="125">
    <w:nsid w:val="3F7C2FF4"/>
    <w:multiLevelType w:val="hybridMultilevel"/>
    <w:lvl w:ilvl="0">
      <w:lvlJc w:val="left"/>
      <w:lvlText w:val="%1."/>
      <w:numFmt w:val="decimal"/>
      <w:start w:val="7"/>
    </w:lvl>
    <w:lvl w:ilvl="1">
      <w:lvlJc w:val="left"/>
      <w:lvlText w:val="(%2)"/>
      <w:numFmt w:val="lowerLetter"/>
      <w:start w:val="1"/>
    </w:lvl>
  </w:abstractNum>
  <w:abstractNum w:abstractNumId="126">
    <w:nsid w:val="25413BEC"/>
    <w:multiLevelType w:val="hybridMultilevel"/>
    <w:lvl w:ilvl="0">
      <w:lvlJc w:val="left"/>
      <w:lvlText w:val="(%1)"/>
      <w:numFmt w:val="lowerLetter"/>
      <w:start w:val="5"/>
    </w:lvl>
  </w:abstractNum>
  <w:abstractNum w:abstractNumId="127">
    <w:nsid w:val="17180B0B"/>
    <w:multiLevelType w:val="hybridMultilevel"/>
    <w:lvl w:ilvl="0">
      <w:lvlJc w:val="left"/>
      <w:lvlText w:val="(%1)"/>
      <w:numFmt w:val="lowerLetter"/>
      <w:start w:val="6"/>
    </w:lvl>
  </w:abstractNum>
  <w:abstractNum w:abstractNumId="128">
    <w:nsid w:val="579328B9"/>
    <w:multiLevelType w:val="hybridMultilevel"/>
    <w:lvl w:ilvl="0">
      <w:lvlJc w:val="left"/>
      <w:lvlText w:val="%1."/>
      <w:numFmt w:val="decimal"/>
      <w:start w:val="1"/>
    </w:lvl>
  </w:abstractNum>
  <w:abstractNum w:abstractNumId="129">
    <w:nsid w:val="5D205E20"/>
    <w:multiLevelType w:val="hybridMultilevel"/>
    <w:lvl w:ilvl="0">
      <w:lvlJc w:val="left"/>
      <w:lvlText w:val="%1."/>
      <w:numFmt w:val="decimal"/>
      <w:start w:val="3"/>
    </w:lvl>
  </w:abstractNum>
  <w:abstractNum w:abstractNumId="130">
    <w:nsid w:val="11CCA8BA"/>
    <w:multiLevelType w:val="hybridMultilevel"/>
    <w:lvl w:ilvl="0">
      <w:lvlJc w:val="left"/>
      <w:lvlText w:val="%1."/>
      <w:numFmt w:val="decimal"/>
      <w:start w:val="4"/>
    </w:lvl>
  </w:abstractNum>
  <w:abstractNum w:abstractNumId="131">
    <w:nsid w:val="4D32AB86"/>
    <w:multiLevelType w:val="hybridMultilevel"/>
    <w:lvl w:ilvl="0">
      <w:lvlJc w:val="left"/>
      <w:lvlText w:val="%1."/>
      <w:numFmt w:val="decimal"/>
      <w:start w:val="5"/>
    </w:lvl>
  </w:abstractNum>
  <w:abstractNum w:abstractNumId="132">
    <w:nsid w:val="3F07ACC3"/>
    <w:multiLevelType w:val="hybridMultilevel"/>
    <w:lvl w:ilvl="0">
      <w:lvlJc w:val="left"/>
      <w:lvlText w:val="%1."/>
      <w:numFmt w:val="decimal"/>
      <w:start w:val="6"/>
    </w:lvl>
  </w:abstractNum>
  <w:abstractNum w:abstractNumId="133">
    <w:nsid w:val="6B47F63E"/>
    <w:multiLevelType w:val="hybridMultilevel"/>
    <w:lvl w:ilvl="0">
      <w:lvlJc w:val="left"/>
      <w:lvlText w:val="%1."/>
      <w:numFmt w:val="decimal"/>
      <w:start w:val="1"/>
    </w:lvl>
  </w:abstractNum>
  <w:abstractNum w:abstractNumId="134">
    <w:nsid w:val="5CB44A05"/>
    <w:multiLevelType w:val="hybridMultilevel"/>
    <w:lvl w:ilvl="0">
      <w:lvlJc w:val="left"/>
      <w:lvlText w:val="%1."/>
      <w:numFmt w:val="decimal"/>
      <w:start w:val="2"/>
    </w:lvl>
  </w:abstractNum>
  <w:abstractNum w:abstractNumId="135">
    <w:nsid w:val="16CF80F1"/>
    <w:multiLevelType w:val="hybridMultilevel"/>
    <w:lvl w:ilvl="0">
      <w:lvlJc w:val="left"/>
      <w:lvlText w:val="%1)"/>
      <w:numFmt w:val="lowerLetter"/>
      <w:start w:val="1"/>
    </w:lvl>
  </w:abstractNum>
  <w:abstractNum w:abstractNumId="136">
    <w:nsid w:val="1C695DEC"/>
    <w:multiLevelType w:val="hybridMultilevel"/>
    <w:lvl w:ilvl="0">
      <w:lvlJc w:val="left"/>
      <w:lvlText w:val="%1."/>
      <w:numFmt w:val="decimal"/>
      <w:start w:val="3"/>
    </w:lvl>
  </w:abstractNum>
  <w:abstractNum w:abstractNumId="137">
    <w:nsid w:val="3FCFAED9"/>
    <w:multiLevelType w:val="hybridMultilevel"/>
    <w:lvl w:ilvl="0">
      <w:lvlJc w:val="left"/>
      <w:lvlText w:val="(%1)"/>
      <w:numFmt w:val="lowerRoman"/>
      <w:start w:val="2"/>
    </w:lvl>
  </w:abstractNum>
  <w:abstractNum w:abstractNumId="138">
    <w:nsid w:val="F856867"/>
    <w:multiLevelType w:val="hybridMultilevel"/>
    <w:lvl w:ilvl="0">
      <w:lvlJc w:val="left"/>
      <w:lvlText w:val="%1."/>
      <w:numFmt w:val="decimal"/>
      <w:start w:val="4"/>
    </w:lvl>
  </w:abstractNum>
  <w:abstractNum w:abstractNumId="139">
    <w:nsid w:val="11B1CC33"/>
    <w:multiLevelType w:val="hybridMultilevel"/>
    <w:lvl w:ilvl="0">
      <w:lvlJc w:val="left"/>
      <w:lvlText w:val="%1."/>
      <w:numFmt w:val="decimal"/>
      <w:start w:val="5"/>
    </w:lvl>
  </w:abstractNum>
  <w:abstractNum w:abstractNumId="140">
    <w:nsid w:val="2E22FBB7"/>
    <w:multiLevelType w:val="hybridMultilevel"/>
    <w:lvl w:ilvl="0">
      <w:lvlJc w:val="left"/>
      <w:lvlText w:val="%1."/>
      <w:numFmt w:val="decimal"/>
      <w:start w:val="6"/>
    </w:lvl>
  </w:abstractNum>
  <w:abstractNum w:abstractNumId="141">
    <w:nsid w:val="29934699"/>
    <w:multiLevelType w:val="hybridMultilevel"/>
    <w:lvl w:ilvl="0">
      <w:lvlJc w:val="left"/>
      <w:lvlText w:val="%1."/>
      <w:numFmt w:val="decimal"/>
      <w:start w:val="1"/>
    </w:lvl>
  </w:abstractNum>
  <w:abstractNum w:abstractNumId="142">
    <w:nsid w:val="7748585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3">
    <w:nsid w:val="744939A3"/>
    <w:multiLevelType w:val="hybridMultilevel"/>
    <w:lvl w:ilvl="0">
      <w:lvlJc w:val="left"/>
      <w:lvlText w:val="%1"/>
      <w:numFmt w:val="lowerLetter"/>
      <w:start w:val="1"/>
    </w:lvl>
    <w:lvl w:ilvl="1">
      <w:lvlJc w:val="left"/>
      <w:lvlText w:val="(%2)"/>
      <w:numFmt w:val="lowerLetter"/>
      <w:start w:val="22"/>
    </w:lvl>
  </w:abstractNum>
  <w:abstractNum w:abstractNumId="144">
    <w:nsid w:val="4FA0D2E3"/>
    <w:multiLevelType w:val="hybridMultilevel"/>
    <w:lvl w:ilvl="0">
      <w:lvlJc w:val="left"/>
      <w:lvlText w:val="(%1)"/>
      <w:numFmt w:val="lowerLetter"/>
      <w:start w:val="4"/>
    </w:lvl>
    <w:lvl w:ilvl="1">
      <w:lvlJc w:val="left"/>
      <w:lvlText w:val="%2"/>
      <w:numFmt w:val="lowerLetter"/>
      <w:start w:val="1"/>
    </w:lvl>
  </w:abstractNum>
  <w:abstractNum w:abstractNumId="145">
    <w:nsid w:val="6B1D2C14"/>
    <w:multiLevelType w:val="hybridMultilevel"/>
    <w:lvl w:ilvl="0">
      <w:lvlJc w:val="left"/>
      <w:lvlText w:val="%1"/>
      <w:numFmt w:val="decimal"/>
      <w:start w:val="1"/>
    </w:lvl>
    <w:lvl w:ilvl="1">
      <w:lvlJc w:val="left"/>
      <w:lvlText w:val="(%2)"/>
      <w:numFmt w:val="lowerLetter"/>
      <w:start w:val="12"/>
    </w:lvl>
  </w:abstractNum>
  <w:abstractNum w:abstractNumId="146">
    <w:nsid w:val="68B867D3"/>
    <w:multiLevelType w:val="hybridMultilevel"/>
    <w:lvl w:ilvl="0">
      <w:lvlJc w:val="left"/>
      <w:lvlText w:val="%1."/>
      <w:numFmt w:val="decimal"/>
      <w:start w:val="3"/>
    </w:lvl>
    <w:lvl w:ilvl="1">
      <w:lvlJc w:val="left"/>
      <w:lvlText w:val="%2"/>
      <w:numFmt w:val="lowerLetter"/>
      <w:start w:val="1"/>
    </w:lvl>
  </w:abstractNum>
  <w:abstractNum w:abstractNumId="147">
    <w:nsid w:val="3F7F5DD9"/>
    <w:multiLevelType w:val="hybridMultilevel"/>
    <w:lvl w:ilvl="0">
      <w:lvlJc w:val="left"/>
      <w:lvlText w:val="%1."/>
      <w:numFmt w:val="decimal"/>
      <w:start w:val="6"/>
    </w:lvl>
    <w:lvl w:ilvl="1">
      <w:lvlJc w:val="left"/>
      <w:lvlText w:val="(%2)"/>
      <w:numFmt w:val="lowerLetter"/>
      <w:start w:val="1"/>
    </w:lvl>
  </w:abstractNum>
  <w:abstractNum w:abstractNumId="148">
    <w:nsid w:val="2AE05A34"/>
    <w:multiLevelType w:val="hybridMultilevel"/>
    <w:lvl w:ilvl="0">
      <w:lvlJc w:val="left"/>
      <w:lvlText w:val="%1"/>
      <w:numFmt w:val="decimal"/>
      <w:start w:val="1"/>
    </w:lvl>
    <w:lvl w:ilvl="1">
      <w:lvlJc w:val="left"/>
      <w:lvlText w:val="(%2)"/>
      <w:numFmt w:val="lowerLetter"/>
      <w:start w:val="3"/>
    </w:lvl>
  </w:abstractNum>
  <w:abstractNum w:abstractNumId="149">
    <w:nsid w:val="32794FF7"/>
    <w:multiLevelType w:val="hybridMultilevel"/>
    <w:lvl w:ilvl="0">
      <w:lvlJc w:val="left"/>
      <w:lvlText w:val="%1."/>
      <w:numFmt w:val="decimal"/>
      <w:start w:val="10"/>
    </w:lvl>
    <w:lvl w:ilvl="1">
      <w:lvlJc w:val="left"/>
      <w:lvlText w:val="(%2)"/>
      <w:numFmt w:val="lowerLetter"/>
      <w:start w:val="1"/>
    </w:lvl>
  </w:abstractNum>
  <w:abstractNum w:abstractNumId="150">
    <w:nsid w:val="5454945E"/>
    <w:multiLevelType w:val="hybridMultilevel"/>
    <w:lvl w:ilvl="0">
      <w:lvlJc w:val="left"/>
      <w:lvlText w:val="%1"/>
      <w:numFmt w:val="decimal"/>
      <w:start w:val="1"/>
    </w:lvl>
    <w:lvl w:ilvl="1">
      <w:lvlJc w:val="left"/>
      <w:lvlText w:val="(%2)"/>
      <w:numFmt w:val="lowerLetter"/>
      <w:start w:val="2"/>
    </w:lvl>
  </w:abstractNum>
  <w:abstractNum w:abstractNumId="151">
    <w:nsid w:val="4DEFDFA0"/>
    <w:multiLevelType w:val="hybridMultilevel"/>
    <w:lvl w:ilvl="0">
      <w:lvlJc w:val="left"/>
      <w:lvlText w:val="%1."/>
      <w:numFmt w:val="decimal"/>
      <w:start w:val="13"/>
    </w:lvl>
    <w:lvl w:ilvl="1">
      <w:lvlJc w:val="left"/>
      <w:lvlText w:val="(%2)"/>
      <w:numFmt w:val="lowerLetter"/>
      <w:start w:val="1"/>
    </w:lvl>
  </w:abstractNum>
  <w:abstractNum w:abstractNumId="152">
    <w:nsid w:val="2123D5F2"/>
    <w:multiLevelType w:val="hybridMultilevel"/>
    <w:lvl w:ilvl="0">
      <w:lvlJc w:val="left"/>
      <w:lvlText w:val="%1"/>
      <w:numFmt w:val="decimal"/>
      <w:start w:val="1"/>
    </w:lvl>
    <w:lvl w:ilvl="1">
      <w:lvlJc w:val="left"/>
      <w:lvlText w:val="(%2)"/>
      <w:numFmt w:val="lowerLetter"/>
      <w:start w:val="2"/>
    </w:lvl>
  </w:abstractNum>
  <w:abstractNum w:abstractNumId="153">
    <w:nsid w:val="135B8110"/>
    <w:multiLevelType w:val="hybridMultilevel"/>
    <w:lvl w:ilvl="0">
      <w:lvlJc w:val="left"/>
      <w:lvlText w:val="%1."/>
      <w:numFmt w:val="decimal"/>
      <w:start w:val="14"/>
    </w:lvl>
    <w:lvl w:ilvl="1">
      <w:lvlJc w:val="left"/>
      <w:lvlText w:val="(%2)"/>
      <w:numFmt w:val="lowerLetter"/>
      <w:start w:val="1"/>
    </w:lvl>
  </w:abstractNum>
  <w:abstractNum w:abstractNumId="154">
    <w:nsid w:val="94927A8"/>
    <w:multiLevelType w:val="hybridMultilevel"/>
    <w:lvl w:ilvl="0">
      <w:lvlJc w:val="left"/>
      <w:lvlText w:val="%1"/>
      <w:numFmt w:val="decimal"/>
      <w:start w:val="1"/>
    </w:lvl>
    <w:lvl w:ilvl="1">
      <w:lvlJc w:val="left"/>
      <w:lvlText w:val="(%2)"/>
      <w:numFmt w:val="lowerLetter"/>
      <w:start w:val="3"/>
    </w:lvl>
  </w:abstractNum>
  <w:abstractNum w:abstractNumId="155">
    <w:nsid w:val="DCDF8F6"/>
    <w:multiLevelType w:val="hybridMultilevel"/>
    <w:lvl w:ilvl="0">
      <w:lvlJc w:val="left"/>
      <w:lvlText w:val="%1."/>
      <w:numFmt w:val="decimal"/>
      <w:start w:val="15"/>
    </w:lvl>
    <w:lvl w:ilvl="1">
      <w:lvlJc w:val="left"/>
      <w:lvlText w:val="(%2)"/>
      <w:numFmt w:val="lowerLetter"/>
      <w:start w:val="1"/>
    </w:lvl>
  </w:abstractNum>
  <w:abstractNum w:abstractNumId="156">
    <w:nsid w:val="52D7B105"/>
    <w:multiLevelType w:val="hybridMultilevel"/>
    <w:lvl w:ilvl="0">
      <w:lvlJc w:val="left"/>
      <w:lvlText w:val="%1"/>
      <w:numFmt w:val="decimal"/>
      <w:start w:val="1"/>
    </w:lvl>
    <w:lvl w:ilvl="1">
      <w:lvlJc w:val="left"/>
      <w:lvlText w:val="(%2)"/>
      <w:numFmt w:val="lowerLetter"/>
      <w:start w:val="2"/>
    </w:lvl>
  </w:abstractNum>
  <w:abstractNum w:abstractNumId="157">
    <w:nsid w:val="2E8A6394"/>
    <w:multiLevelType w:val="hybridMultilevel"/>
    <w:lvl w:ilvl="0">
      <w:lvlJc w:val="left"/>
      <w:lvlText w:val="%1."/>
      <w:numFmt w:val="decimal"/>
      <w:start w:val="17"/>
    </w:lvl>
    <w:lvl w:ilvl="1">
      <w:lvlJc w:val="left"/>
      <w:lvlText w:val="%2"/>
      <w:numFmt w:val="lowerLetter"/>
      <w:start w:val="1"/>
    </w:lvl>
  </w:abstractNum>
  <w:abstractNum w:abstractNumId="158">
    <w:nsid w:val="24E60401"/>
    <w:multiLevelType w:val="hybridMultilevel"/>
    <w:lvl w:ilvl="0">
      <w:lvlJc w:val="left"/>
      <w:lvlText w:val="%1."/>
      <w:numFmt w:val="decimal"/>
      <w:start w:val="18"/>
    </w:lvl>
    <w:lvl w:ilvl="1">
      <w:lvlJc w:val="left"/>
      <w:lvlText w:val="(%2)"/>
      <w:numFmt w:val="lowerLetter"/>
      <w:start w:val="1"/>
    </w:lvl>
  </w:abstractNum>
  <w:abstractNum w:abstractNumId="159">
    <w:nsid w:val="2A6AD9BE"/>
    <w:multiLevelType w:val="hybridMultilevel"/>
    <w:lvl w:ilvl="0">
      <w:lvlJc w:val="left"/>
      <w:lvlText w:val="(%1)"/>
      <w:numFmt w:val="lowerLetter"/>
      <w:start w:val="1"/>
    </w:lvl>
  </w:abstractNum>
  <w:abstractNum w:abstractNumId="160">
    <w:nsid w:val="BAAC1B4"/>
    <w:multiLevelType w:val="hybridMultilevel"/>
    <w:lvl w:ilvl="0">
      <w:lvlJc w:val="left"/>
      <w:lvlText w:val="%1."/>
      <w:numFmt w:val="decimal"/>
      <w:start w:val="22"/>
    </w:lvl>
  </w:abstractNum>
  <w:abstractNum w:abstractNumId="161">
    <w:nsid w:val="36B2ACBC"/>
    <w:multiLevelType w:val="hybridMultilevel"/>
    <w:lvl w:ilvl="0">
      <w:lvlJc w:val="left"/>
      <w:lvlText w:val="·"/>
      <w:numFmt w:val="bullet"/>
      <w:start w:val="1"/>
    </w:lvl>
  </w:abstractNum>
  <w:abstractNum w:abstractNumId="162">
    <w:nsid w:val="779D8544"/>
    <w:multiLevelType w:val="hybridMultilevel"/>
    <w:lvl w:ilvl="0">
      <w:lvlJc w:val="left"/>
      <w:lvlText w:val="·"/>
      <w:numFmt w:val="bullet"/>
      <w:start w:val="1"/>
    </w:lvl>
  </w:abstractNum>
  <w:abstractNum w:abstractNumId="163">
    <w:nsid w:val="4AB26E78"/>
    <w:multiLevelType w:val="hybridMultilevel"/>
    <w:lvl w:ilvl="0">
      <w:lvlJc w:val="left"/>
      <w:lvlText w:val="(%1)"/>
      <w:numFmt w:val="lowerLetter"/>
      <w:start w:val="1"/>
    </w:lvl>
  </w:abstractNum>
  <w:abstractNum w:abstractNumId="164">
    <w:nsid w:val="21FAA2FA"/>
    <w:multiLevelType w:val="hybridMultilevel"/>
    <w:lvl w:ilvl="0">
      <w:lvlJc w:val="left"/>
      <w:lvlText w:val="·"/>
      <w:numFmt w:val="bullet"/>
      <w:start w:val="1"/>
    </w:lvl>
  </w:abstractNum>
  <w:abstractNum w:abstractNumId="165">
    <w:nsid w:val="5451CF49"/>
    <w:multiLevelType w:val="hybridMultilevel"/>
    <w:lvl w:ilvl="0">
      <w:lvlJc w:val="left"/>
      <w:lvlText w:val="·"/>
      <w:numFmt w:val="bullet"/>
      <w:start w:val="1"/>
    </w:lvl>
  </w:abstractNum>
  <w:abstractNum w:abstractNumId="166">
    <w:nsid w:val="6181EF69"/>
    <w:multiLevelType w:val="hybridMultilevel"/>
    <w:lvl w:ilvl="0">
      <w:lvlJc w:val="left"/>
      <w:lvlText w:val="%1."/>
      <w:numFmt w:val="upperLetter"/>
      <w:start w:val="34"/>
    </w:lvl>
    <w:lvl w:ilvl="1">
      <w:lvlJc w:val="left"/>
      <w:lvlText w:val="·"/>
      <w:numFmt w:val="bullet"/>
      <w:start w:val="1"/>
    </w:lvl>
  </w:abstractNum>
  <w:abstractNum w:abstractNumId="167">
    <w:nsid w:val="3E6400E6"/>
    <w:multiLevelType w:val="hybridMultilevel"/>
    <w:lvl w:ilvl="0">
      <w:lvlJc w:val="left"/>
      <w:lvlText w:val="·"/>
      <w:numFmt w:val="bullet"/>
      <w:start w:val="1"/>
    </w:lvl>
  </w:abstractNum>
  <w:abstractNum w:abstractNumId="168">
    <w:nsid w:val="14217E23"/>
    <w:multiLevelType w:val="hybridMultilevel"/>
    <w:lvl w:ilvl="0">
      <w:lvlJc w:val="left"/>
      <w:lvlText w:val="·"/>
      <w:numFmt w:val="bullet"/>
      <w:start w:val="1"/>
    </w:lvl>
  </w:abstractNum>
  <w:abstractNum w:abstractNumId="169">
    <w:nsid w:val="710757D0"/>
    <w:multiLevelType w:val="hybridMultilevel"/>
    <w:lvl w:ilvl="0">
      <w:lvlJc w:val="left"/>
      <w:lvlText w:val="·"/>
      <w:numFmt w:val="bullet"/>
      <w:start w:val="1"/>
    </w:lvl>
  </w:abstractNum>
  <w:abstractNum w:abstractNumId="170">
    <w:nsid w:val="5015CD1A"/>
    <w:multiLevelType w:val="hybridMultilevel"/>
    <w:lvl w:ilvl="0">
      <w:lvlJc w:val="left"/>
      <w:lvlText w:val="·"/>
      <w:numFmt w:val="bullet"/>
      <w:start w:val="1"/>
    </w:lvl>
  </w:abstractNum>
  <w:abstractNum w:abstractNumId="171">
    <w:nsid w:val="424479DA"/>
    <w:multiLevelType w:val="hybridMultilevel"/>
    <w:lvl w:ilvl="0">
      <w:lvlJc w:val="left"/>
      <w:lvlText w:val="·"/>
      <w:numFmt w:val="bullet"/>
      <w:start w:val="1"/>
    </w:lvl>
  </w:abstractNum>
  <w:abstractNum w:abstractNumId="172">
    <w:nsid w:val="1A9A9E69"/>
    <w:multiLevelType w:val="hybridMultilevel"/>
    <w:lvl w:ilvl="0">
      <w:lvlJc w:val="left"/>
      <w:lvlText w:val="%1."/>
      <w:numFmt w:val="upperLetter"/>
      <w:start w:val="9"/>
    </w:lvl>
    <w:lvl w:ilvl="1">
      <w:lvlJc w:val="left"/>
      <w:lvlText w:val="·"/>
      <w:numFmt w:val="bullet"/>
      <w:start w:val="1"/>
    </w:lvl>
  </w:abstractNum>
  <w:abstractNum w:abstractNumId="173">
    <w:nsid w:val="475E256A"/>
    <w:multiLevelType w:val="hybridMultilevel"/>
    <w:lvl w:ilvl="0">
      <w:lvlJc w:val="left"/>
      <w:lvlText w:val="%1."/>
      <w:numFmt w:val="upperLetter"/>
      <w:start w:val="35"/>
    </w:lvl>
  </w:abstractNum>
  <w:abstractNum w:abstractNumId="174">
    <w:nsid w:val="368DB37E"/>
    <w:multiLevelType w:val="hybridMultilevel"/>
    <w:lvl w:ilvl="0">
      <w:lvlJc w:val="left"/>
      <w:lvlText w:val="·"/>
      <w:numFmt w:val="bullet"/>
      <w:start w:val="1"/>
    </w:lvl>
  </w:abstractNum>
  <w:abstractNum w:abstractNumId="175">
    <w:nsid w:val="6A3B714C"/>
    <w:multiLevelType w:val="hybridMultilevel"/>
    <w:lvl w:ilvl="0">
      <w:lvlJc w:val="left"/>
      <w:lvlText w:val="·"/>
      <w:numFmt w:val="bullet"/>
      <w:start w:val="1"/>
    </w:lvl>
  </w:abstractNum>
  <w:abstractNum w:abstractNumId="176">
    <w:nsid w:val="327B517E"/>
    <w:multiLevelType w:val="hybridMultilevel"/>
    <w:lvl w:ilvl="0">
      <w:lvlJc w:val="left"/>
      <w:lvlText w:val="%1."/>
      <w:numFmt w:val="upperLetter"/>
      <w:start w:val="61"/>
    </w:lvl>
  </w:abstractNum>
  <w:abstractNum w:abstractNumId="177">
    <w:nsid w:val="1F461B51"/>
    <w:multiLevelType w:val="hybridMultilevel"/>
    <w:lvl w:ilvl="0">
      <w:lvlJc w:val="left"/>
      <w:lvlText w:val="o"/>
      <w:numFmt w:val="bullet"/>
      <w:start w:val="1"/>
    </w:lvl>
  </w:abstractNum>
  <w:abstractNum w:abstractNumId="178">
    <w:nsid w:val="29BACF25"/>
    <w:multiLevelType w:val="hybridMultilevel"/>
    <w:lvl w:ilvl="0">
      <w:lvlJc w:val="left"/>
      <w:lvlText w:val="o"/>
      <w:numFmt w:val="bullet"/>
      <w:start w:val="1"/>
    </w:lvl>
  </w:abstractNum>
  <w:abstractNum w:abstractNumId="179">
    <w:nsid w:val="5D5BABB3"/>
    <w:multiLevelType w:val="hybridMultilevel"/>
    <w:lvl w:ilvl="0">
      <w:lvlJc w:val="left"/>
      <w:lvlText w:val="o"/>
      <w:numFmt w:val="bullet"/>
      <w:start w:val="1"/>
    </w:lvl>
  </w:abstractNum>
  <w:abstractNum w:abstractNumId="180">
    <w:nsid w:val="51BF6B48"/>
    <w:multiLevelType w:val="hybridMultilevel"/>
    <w:lvl w:ilvl="0">
      <w:lvlJc w:val="left"/>
      <w:lvlText w:val="o"/>
      <w:numFmt w:val="bullet"/>
      <w:start w:val="1"/>
    </w:lvl>
  </w:abstractNum>
  <w:abstractNum w:abstractNumId="181">
    <w:nsid w:val="7E0F6384"/>
    <w:multiLevelType w:val="hybridMultilevel"/>
    <w:lvl w:ilvl="0">
      <w:lvlJc w:val="left"/>
      <w:lvlText w:val="o"/>
      <w:numFmt w:val="bullet"/>
      <w:start w:val="1"/>
    </w:lvl>
  </w:abstractNum>
  <w:abstractNum w:abstractNumId="182">
    <w:nsid w:val="2B4B8B53"/>
    <w:multiLevelType w:val="hybridMultilevel"/>
    <w:lvl w:ilvl="0">
      <w:lvlJc w:val="left"/>
      <w:lvlText w:val="%1."/>
      <w:numFmt w:val="upperLetter"/>
      <w:start w:val="9"/>
    </w:lvl>
  </w:abstractNum>
  <w:abstractNum w:abstractNumId="183">
    <w:nsid w:val="72E3413A"/>
    <w:multiLevelType w:val="hybridMultilevel"/>
    <w:lvl w:ilvl="0">
      <w:lvlJc w:val="left"/>
      <w:lvlText w:val="%1."/>
      <w:numFmt w:val="upperLetter"/>
      <w:start w:val="35"/>
    </w:lvl>
  </w:abstractNum>
  <w:abstractNum w:abstractNumId="184">
    <w:nsid w:val="116AE494"/>
    <w:multiLevelType w:val="hybridMultilevel"/>
    <w:lvl w:ilvl="0">
      <w:lvlJc w:val="left"/>
      <w:lvlText w:val="%1."/>
      <w:numFmt w:val="upperLetter"/>
      <w:start w:val="61"/>
    </w:lvl>
  </w:abstractNum>
  <w:abstractNum w:abstractNumId="185">
    <w:nsid w:val="3494B2FB"/>
    <w:multiLevelType w:val="hybridMultilevel"/>
    <w:lvl w:ilvl="0">
      <w:lvlJc w:val="left"/>
      <w:lvlText w:val="·"/>
      <w:numFmt w:val="bullet"/>
      <w:start w:val="1"/>
    </w:lvl>
  </w:abstractNum>
  <w:abstractNum w:abstractNumId="186">
    <w:nsid w:val="B13A3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2020-01-20T22:02:01Z</dcterms:created>
  <dcterms:modified xsi:type="dcterms:W3CDTF">2020-01-20T22:02:01Z</dcterms:modified>
</cp:coreProperties>
</file>