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49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4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7065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06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49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2,235,520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2,235,420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2,235,221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2,235,021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2,234,258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2.095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2,234,220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2,233,999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2,233,799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2,233,599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2,233,534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2,232,941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2,232,934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2.055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2,232,444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2,232,190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2,232,170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2,232,070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2,231,670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2,231,659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-16510</wp:posOffset>
            </wp:positionV>
            <wp:extent cx="7031355" cy="3467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49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7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2Derivative.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6"/>
              </w:rPr>
              <w:t>Acq.5Numberired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Der.7Titlevativeand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Owned.9Number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10or.Indirect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11(Instr.Nature.4)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6"/>
              </w:rPr>
              <w:t>ConversionSecurity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85"/>
              </w:rPr>
              <w:t>(A)of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SecurityAmount of(Instr.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Followingderivative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84"/>
              </w:rPr>
              <w:t>Ownership(I)(Instr.4)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Derivativeisposed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3Securitiesand4)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RSecuritiespoted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ofSecurities(D)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TransaBeneficiallytion(s)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5"/>
              </w:rPr>
              <w:t>(Instr.Acquired3,4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(Instr.Owned4)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and(A)or5)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SharesAmount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80" w:type="dxa"/>
            <w:vAlign w:val="bottom"/>
            <w:gridSpan w:val="13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sales reported in this Form 4 were effected pursuant to a Rule 10b5-trading plan adopted by the reporting person.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07/17/2020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767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7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2020-07-17T16:06:58Z</dcterms:created>
  <dcterms:modified xsi:type="dcterms:W3CDTF">2020-07-17T16:06:58Z</dcterms:modified>
</cp:coreProperties>
</file>