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Priority Technology Holdings, Inc.</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and Filing Person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 to Purchase Common Stock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74275G 115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Prince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Westside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935-5961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numbers of person authorized to receive notices and communications on behalf of filing persons)</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8320" w:type="dxa"/>
            <w:vAlign w:val="bottom"/>
          </w:tcPr>
          <w:p>
            <w:pPr>
              <w:jc w:val="center"/>
              <w:ind w:right="2991"/>
              <w:spacing w:after="0"/>
              <w:rPr>
                <w:sz w:val="20"/>
                <w:szCs w:val="20"/>
                <w:color w:val="auto"/>
              </w:rPr>
            </w:pPr>
            <w:r>
              <w:rPr>
                <w:rFonts w:ascii="Arial" w:cs="Arial" w:eastAsia="Arial" w:hAnsi="Arial"/>
                <w:sz w:val="18"/>
                <w:szCs w:val="18"/>
                <w:i w:val="1"/>
                <w:iCs w:val="1"/>
                <w:color w:val="auto"/>
                <w:w w:val="91"/>
              </w:rPr>
              <w:t>Copies of communications to:</w:t>
            </w:r>
          </w:p>
        </w:tc>
      </w:tr>
      <w:tr>
        <w:trPr>
          <w:trHeight w:val="414"/>
        </w:trPr>
        <w:tc>
          <w:tcPr>
            <w:tcW w:w="3100" w:type="dxa"/>
            <w:vAlign w:val="bottom"/>
          </w:tcPr>
          <w:p>
            <w:pPr>
              <w:spacing w:after="0"/>
              <w:rPr>
                <w:sz w:val="24"/>
                <w:szCs w:val="24"/>
                <w:color w:val="auto"/>
              </w:rPr>
            </w:pPr>
          </w:p>
        </w:tc>
        <w:tc>
          <w:tcPr>
            <w:tcW w:w="8320" w:type="dxa"/>
            <w:vAlign w:val="bottom"/>
          </w:tcPr>
          <w:p>
            <w:pPr>
              <w:jc w:val="center"/>
              <w:ind w:right="2991"/>
              <w:spacing w:after="0"/>
              <w:rPr>
                <w:sz w:val="20"/>
                <w:szCs w:val="20"/>
                <w:color w:val="auto"/>
              </w:rPr>
            </w:pPr>
            <w:r>
              <w:rPr>
                <w:rFonts w:ascii="Arial" w:cs="Arial" w:eastAsia="Arial" w:hAnsi="Arial"/>
                <w:sz w:val="18"/>
                <w:szCs w:val="18"/>
                <w:b w:val="1"/>
                <w:bCs w:val="1"/>
                <w:color w:val="auto"/>
                <w:w w:val="90"/>
              </w:rPr>
              <w:t>John Mahon, Esq.</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11"/>
              <w:spacing w:after="0"/>
              <w:rPr>
                <w:sz w:val="20"/>
                <w:szCs w:val="20"/>
                <w:color w:val="auto"/>
              </w:rPr>
            </w:pPr>
            <w:r>
              <w:rPr>
                <w:rFonts w:ascii="Arial" w:cs="Arial" w:eastAsia="Arial" w:hAnsi="Arial"/>
                <w:sz w:val="18"/>
                <w:szCs w:val="18"/>
                <w:b w:val="1"/>
                <w:bCs w:val="1"/>
                <w:color w:val="auto"/>
                <w:w w:val="93"/>
              </w:rPr>
              <w:t>Schulte Roth &amp; Zabel LLP</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11"/>
              <w:spacing w:after="0"/>
              <w:rPr>
                <w:sz w:val="20"/>
                <w:szCs w:val="20"/>
                <w:color w:val="auto"/>
              </w:rPr>
            </w:pPr>
            <w:r>
              <w:rPr>
                <w:rFonts w:ascii="Arial" w:cs="Arial" w:eastAsia="Arial" w:hAnsi="Arial"/>
                <w:sz w:val="18"/>
                <w:szCs w:val="18"/>
                <w:b w:val="1"/>
                <w:bCs w:val="1"/>
                <w:color w:val="auto"/>
                <w:w w:val="91"/>
              </w:rPr>
              <w:t>919 Third Avenue</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11"/>
              <w:spacing w:after="0"/>
              <w:rPr>
                <w:sz w:val="20"/>
                <w:szCs w:val="20"/>
                <w:color w:val="auto"/>
              </w:rPr>
            </w:pPr>
            <w:r>
              <w:rPr>
                <w:rFonts w:ascii="Arial" w:cs="Arial" w:eastAsia="Arial" w:hAnsi="Arial"/>
                <w:sz w:val="18"/>
                <w:szCs w:val="18"/>
                <w:b w:val="1"/>
                <w:bCs w:val="1"/>
                <w:color w:val="auto"/>
                <w:w w:val="94"/>
              </w:rPr>
              <w:t>New York, NY 10022</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11"/>
              <w:spacing w:after="0"/>
              <w:rPr>
                <w:sz w:val="20"/>
                <w:szCs w:val="20"/>
                <w:color w:val="auto"/>
              </w:rPr>
            </w:pPr>
            <w:r>
              <w:rPr>
                <w:rFonts w:ascii="Arial" w:cs="Arial" w:eastAsia="Arial" w:hAnsi="Arial"/>
                <w:sz w:val="18"/>
                <w:szCs w:val="18"/>
                <w:b w:val="1"/>
                <w:bCs w:val="1"/>
                <w:color w:val="auto"/>
                <w:w w:val="89"/>
              </w:rPr>
              <w:t>Phone: (212) 756-2000</w:t>
            </w:r>
          </w:p>
        </w:tc>
      </w:tr>
      <w:tr>
        <w:trPr>
          <w:trHeight w:val="234"/>
        </w:trPr>
        <w:tc>
          <w:tcPr>
            <w:tcW w:w="3100" w:type="dxa"/>
            <w:vAlign w:val="bottom"/>
          </w:tcPr>
          <w:p>
            <w:pPr>
              <w:spacing w:after="0"/>
              <w:rPr>
                <w:sz w:val="20"/>
                <w:szCs w:val="20"/>
                <w:color w:val="auto"/>
              </w:rPr>
            </w:pPr>
          </w:p>
        </w:tc>
        <w:tc>
          <w:tcPr>
            <w:tcW w:w="8320" w:type="dxa"/>
            <w:vAlign w:val="bottom"/>
          </w:tcPr>
          <w:p>
            <w:pPr>
              <w:jc w:val="center"/>
              <w:ind w:right="3031"/>
              <w:spacing w:after="0"/>
              <w:rPr>
                <w:sz w:val="20"/>
                <w:szCs w:val="20"/>
                <w:color w:val="auto"/>
              </w:rPr>
            </w:pPr>
            <w:r>
              <w:rPr>
                <w:rFonts w:ascii="Arial" w:cs="Arial" w:eastAsia="Arial" w:hAnsi="Arial"/>
                <w:sz w:val="18"/>
                <w:szCs w:val="18"/>
                <w:b w:val="1"/>
                <w:bCs w:val="1"/>
                <w:color w:val="auto"/>
                <w:w w:val="92"/>
              </w:rPr>
              <w:t>Fax: (212) 593-5955</w:t>
            </w:r>
          </w:p>
        </w:tc>
      </w:tr>
      <w:tr>
        <w:trPr>
          <w:trHeight w:val="432"/>
        </w:trPr>
        <w:tc>
          <w:tcPr>
            <w:tcW w:w="3100" w:type="dxa"/>
            <w:vAlign w:val="bottom"/>
          </w:tcPr>
          <w:p>
            <w:pPr>
              <w:spacing w:after="0"/>
              <w:rPr>
                <w:sz w:val="24"/>
                <w:szCs w:val="24"/>
                <w:color w:val="auto"/>
              </w:rPr>
            </w:pPr>
          </w:p>
        </w:tc>
        <w:tc>
          <w:tcPr>
            <w:tcW w:w="8320" w:type="dxa"/>
            <w:vAlign w:val="bottom"/>
          </w:tcPr>
          <w:p>
            <w:pPr>
              <w:jc w:val="center"/>
              <w:ind w:right="2991"/>
              <w:spacing w:after="0"/>
              <w:rPr>
                <w:sz w:val="20"/>
                <w:szCs w:val="20"/>
                <w:color w:val="auto"/>
              </w:rPr>
            </w:pPr>
            <w:r>
              <w:rPr>
                <w:rFonts w:ascii="Arial" w:cs="Arial" w:eastAsia="Arial" w:hAnsi="Arial"/>
                <w:sz w:val="18"/>
                <w:szCs w:val="18"/>
                <w:b w:val="1"/>
                <w:bCs w:val="1"/>
                <w:color w:val="auto"/>
              </w:rPr>
              <w:t>CALCULATION OF FILING FEE</w:t>
            </w:r>
          </w:p>
        </w:tc>
      </w:tr>
      <w:tr>
        <w:trPr>
          <w:trHeight w:val="216"/>
        </w:trPr>
        <w:tc>
          <w:tcPr>
            <w:tcW w:w="3100" w:type="dxa"/>
            <w:vAlign w:val="bottom"/>
            <w:tcBorders>
              <w:bottom w:val="single" w:sz="8" w:color="auto"/>
            </w:tcBorders>
          </w:tcPr>
          <w:p>
            <w:pPr>
              <w:spacing w:after="0"/>
              <w:rPr>
                <w:sz w:val="18"/>
                <w:szCs w:val="18"/>
                <w:color w:val="auto"/>
              </w:rPr>
            </w:pPr>
          </w:p>
        </w:tc>
        <w:tc>
          <w:tcPr>
            <w:tcW w:w="8320" w:type="dxa"/>
            <w:vAlign w:val="bottom"/>
            <w:tcBorders>
              <w:bottom w:val="single" w:sz="8" w:color="auto"/>
            </w:tcBorders>
          </w:tcPr>
          <w:p>
            <w:pPr>
              <w:spacing w:after="0"/>
              <w:rPr>
                <w:sz w:val="18"/>
                <w:szCs w:val="18"/>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r>
      <w:tr>
        <w:trPr>
          <w:trHeight w:val="237"/>
        </w:trPr>
        <w:tc>
          <w:tcPr>
            <w:tcW w:w="3100" w:type="dxa"/>
            <w:vAlign w:val="bottom"/>
            <w:tcBorders>
              <w:bottom w:val="single" w:sz="8" w:color="auto"/>
            </w:tcBorders>
          </w:tcPr>
          <w:p>
            <w:pPr>
              <w:ind w:left="100"/>
              <w:spacing w:after="0" w:line="237" w:lineRule="exact"/>
              <w:rPr>
                <w:sz w:val="20"/>
                <w:szCs w:val="20"/>
                <w:color w:val="auto"/>
              </w:rPr>
            </w:pPr>
            <w:r>
              <w:rPr>
                <w:rFonts w:ascii="Arial" w:cs="Arial" w:eastAsia="Arial" w:hAnsi="Arial"/>
                <w:sz w:val="17"/>
                <w:szCs w:val="17"/>
                <w:color w:val="auto"/>
              </w:rPr>
              <w:t>Transaction Valuation</w:t>
            </w:r>
            <w:r>
              <w:rPr>
                <w:rFonts w:ascii="Arial" w:cs="Arial" w:eastAsia="Arial" w:hAnsi="Arial"/>
                <w:sz w:val="27"/>
                <w:szCs w:val="27"/>
                <w:color w:val="auto"/>
                <w:vertAlign w:val="superscript"/>
              </w:rPr>
              <w:t>(1)</w:t>
            </w:r>
          </w:p>
        </w:tc>
        <w:tc>
          <w:tcPr>
            <w:tcW w:w="8320" w:type="dxa"/>
            <w:vAlign w:val="bottom"/>
            <w:tcBorders>
              <w:bottom w:val="single" w:sz="8" w:color="auto"/>
            </w:tcBorders>
          </w:tcPr>
          <w:p>
            <w:pPr>
              <w:jc w:val="center"/>
              <w:ind w:left="5931"/>
              <w:spacing w:after="0" w:line="237" w:lineRule="exact"/>
              <w:rPr>
                <w:sz w:val="20"/>
                <w:szCs w:val="20"/>
                <w:color w:val="auto"/>
              </w:rPr>
            </w:pPr>
            <w:r>
              <w:rPr>
                <w:rFonts w:ascii="Arial" w:cs="Arial" w:eastAsia="Arial" w:hAnsi="Arial"/>
                <w:sz w:val="17"/>
                <w:szCs w:val="17"/>
                <w:color w:val="auto"/>
                <w:w w:val="97"/>
              </w:rPr>
              <w:t>Amount of Filing Fee</w:t>
            </w:r>
            <w:r>
              <w:rPr>
                <w:rFonts w:ascii="Arial" w:cs="Arial" w:eastAsia="Arial" w:hAnsi="Arial"/>
                <w:sz w:val="27"/>
                <w:szCs w:val="27"/>
                <w:color w:val="auto"/>
                <w:w w:val="97"/>
                <w:vertAlign w:val="superscript"/>
              </w:rPr>
              <w:t>(2)</w:t>
            </w:r>
          </w:p>
        </w:tc>
      </w:tr>
      <w:tr>
        <w:trPr>
          <w:trHeight w:val="210"/>
        </w:trPr>
        <w:tc>
          <w:tcPr>
            <w:tcW w:w="3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$4,355,724</w:t>
            </w:r>
          </w:p>
        </w:tc>
        <w:tc>
          <w:tcPr>
            <w:tcW w:w="832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rPr>
              <w:t>$527.91</w:t>
            </w: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r>
    </w:tbl>
    <w:p>
      <w:pPr>
        <w:spacing w:after="0" w:line="26" w:lineRule="exact"/>
        <w:rPr>
          <w:sz w:val="24"/>
          <w:szCs w:val="24"/>
          <w:color w:val="auto"/>
        </w:rPr>
      </w:pPr>
    </w:p>
    <w:p>
      <w:pPr>
        <w:ind w:right="120" w:firstLine="8"/>
        <w:spacing w:after="0" w:line="260" w:lineRule="auto"/>
        <w:tabs>
          <w:tab w:leader="none" w:pos="212"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The transaction valuation is estimated solely for purposes of calculating the amount of the filing fee. Priority Technology Holdings, Inc. (the “Company”) is offering holders of all outstanding warrants of the Company, as of December 21, 2018, 5,731,216 warrants (representing 5,310,109 Public Warrants and 421,107 Private Warrants (each as defined below), collectively the “Warrants”), the opportunity to exchange such Warrants and receive 0.1920 shares of common stock, par value $0.001 per share, of the Company in exchange for each Warrant. The transaction value was determined by using the average of the high and low prices of the Public Warrants of the Company as reported on The NASDAQ Global Market on December 21, 2018, which was $0.76.</w:t>
      </w:r>
    </w:p>
    <w:p>
      <w:pPr>
        <w:spacing w:after="0" w:line="228" w:lineRule="exact"/>
        <w:rPr>
          <w:rFonts w:ascii="Arial" w:cs="Arial" w:eastAsia="Arial" w:hAnsi="Arial"/>
          <w:sz w:val="25"/>
          <w:szCs w:val="25"/>
          <w:color w:val="auto"/>
          <w:vertAlign w:val="superscript"/>
        </w:rPr>
      </w:pPr>
    </w:p>
    <w:p>
      <w:pPr>
        <w:ind w:right="100" w:firstLine="8"/>
        <w:spacing w:after="0" w:line="227" w:lineRule="auto"/>
        <w:tabs>
          <w:tab w:leader="none" w:pos="212"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The amount of the filing fee assumes that all outstanding warrants of the Company will be exchanged and is calculated pursuant to Rule 0-11(b) under the Securities Exchange Act of 1934, as amended, and equals $121.20 for each $1,000,000 of the transaction value.</w:t>
      </w:r>
    </w:p>
    <w:p>
      <w:pPr>
        <w:spacing w:after="0" w:line="202" w:lineRule="exact"/>
        <w:rPr>
          <w:sz w:val="24"/>
          <w:szCs w:val="24"/>
          <w:color w:val="auto"/>
        </w:rPr>
      </w:pPr>
    </w:p>
    <w:p>
      <w:pPr>
        <w:ind w:left="660" w:right="8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823" w:right="239" w:bottom="0" w:gutter="0" w:footer="0" w:header="0"/>
        </w:sectPr>
      </w:pPr>
    </w:p>
    <w:p>
      <w:pPr>
        <w:spacing w:after="0" w:line="251" w:lineRule="exact"/>
        <w:rPr>
          <w:sz w:val="24"/>
          <w:szCs w:val="24"/>
          <w:color w:val="auto"/>
        </w:rPr>
      </w:pPr>
    </w:p>
    <w:p>
      <w:pPr>
        <w:ind w:left="760"/>
        <w:spacing w:after="0"/>
        <w:rPr>
          <w:sz w:val="20"/>
          <w:szCs w:val="20"/>
          <w:color w:val="auto"/>
        </w:rPr>
      </w:pPr>
      <w:r>
        <w:rPr>
          <w:rFonts w:ascii="Arial" w:cs="Arial" w:eastAsia="Arial" w:hAnsi="Arial"/>
          <w:sz w:val="16"/>
          <w:szCs w:val="16"/>
          <w:color w:val="auto"/>
        </w:rPr>
        <w:t>Amount Previously Paid: $1,109.40</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Priority Technology Holdings, Inc.</w:t>
      </w:r>
    </w:p>
    <w:p>
      <w:pPr>
        <w:spacing w:after="0" w:line="86" w:lineRule="exact"/>
        <w:rPr>
          <w:sz w:val="24"/>
          <w:szCs w:val="24"/>
          <w:color w:val="auto"/>
        </w:rPr>
      </w:pPr>
    </w:p>
    <w:p>
      <w:pPr>
        <w:sectPr>
          <w:pgSz w:w="11900" w:h="16838" w:orient="portrait"/>
          <w:cols w:equalWidth="0" w:num="2">
            <w:col w:w="6120" w:space="720"/>
            <w:col w:w="4580"/>
          </w:cols>
          <w:pgMar w:left="240" w:top="823" w:right="239" w:bottom="0" w:gutter="0" w:footer="0" w:header="0"/>
          <w:type w:val="continuous"/>
        </w:sectPr>
      </w:pPr>
    </w:p>
    <w:p>
      <w:pPr>
        <w:ind w:left="760"/>
        <w:spacing w:after="0"/>
        <w:rPr>
          <w:sz w:val="20"/>
          <w:szCs w:val="20"/>
          <w:color w:val="auto"/>
        </w:rPr>
      </w:pPr>
      <w:r>
        <w:rPr>
          <w:rFonts w:ascii="Arial" w:cs="Arial" w:eastAsia="Arial" w:hAnsi="Arial"/>
          <w:sz w:val="16"/>
          <w:szCs w:val="16"/>
          <w:color w:val="auto"/>
        </w:rPr>
        <w:t>Form or Registration No.: Form S-4 (Registration No. 333-228645)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 Filed: November 30, 2018 and December 26, 2018</w:t>
      </w:r>
    </w:p>
    <w:p>
      <w:pPr>
        <w:spacing w:after="0" w:line="200" w:lineRule="exact"/>
        <w:rPr>
          <w:sz w:val="24"/>
          <w:szCs w:val="24"/>
          <w:color w:val="auto"/>
        </w:rPr>
      </w:pPr>
    </w:p>
    <w:p>
      <w:pPr>
        <w:sectPr>
          <w:pgSz w:w="11900" w:h="16838" w:orient="portrait"/>
          <w:cols w:equalWidth="0" w:num="2">
            <w:col w:w="6120" w:space="720"/>
            <w:col w:w="4580"/>
          </w:cols>
          <w:pgMar w:left="240" w:top="823" w:right="239" w:bottom="0" w:gutter="0" w:footer="0" w:header="0"/>
          <w:type w:val="continuous"/>
        </w:sectPr>
      </w:pPr>
    </w:p>
    <w:p>
      <w:pPr>
        <w:spacing w:after="0" w:line="75" w:lineRule="exact"/>
        <w:rPr>
          <w:sz w:val="24"/>
          <w:szCs w:val="24"/>
          <w:color w:val="auto"/>
        </w:rPr>
      </w:pPr>
    </w:p>
    <w:p>
      <w:pPr>
        <w:ind w:right="1940" w:firstLine="53"/>
        <w:spacing w:after="0" w:line="482" w:lineRule="auto"/>
        <w:tabs>
          <w:tab w:leader="none" w:pos="64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ectPr>
          <w:pgSz w:w="11900" w:h="16838" w:orient="portrait"/>
          <w:cols w:equalWidth="0" w:num="1">
            <w:col w:w="11420"/>
          </w:cols>
          <w:pgMar w:left="240" w:top="823" w:right="239" w:bottom="0" w:gutter="0" w:footer="0" w:header="0"/>
          <w:type w:val="continuous"/>
        </w:sectPr>
      </w:pPr>
    </w:p>
    <w:bookmarkStart w:id="1" w:name="page2"/>
    <w:bookmarkEnd w:id="1"/>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309"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This Amendment No. 2 (“Amendment No. 2”) amends and supplements the Tender Offer Statement on Schedule TO originally filed by Priority Technology Holdings, Inc. (“Priority,” the “Company,” “us” or “we”), a Delaware corporation, with the Securities and Exchange Commission, on December 26, 2018 and amended on January 22, 2019 (as amended, the “Schedule TO”), in connection with the offer by the Company to each of its warrant holders described below to receive 0.1920 shares of common stock, par value of $0.001 per share (the “Common Stock”), of the Company in exchange for every outstanding Warrant of the Company tendered by the holder and exchanged pursuant to the offer (the “Offer”). The Offer is made upon and subject to the terms and conditions set forth in the Prospectus/Offer to Exchange, dated February 11, 2019 (the “Prospectus/Offer to Exchange”), a copy of which is attached hereto as Exhibit (a)(1)(A), and in the related Letter of Transmittal and Consent, a copy of which is attached hereto as Exhibit (a)(1)(B).</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Concurrently with the Offer, we are also soliciting consents from holders of the Warrants to amend the warrant agreement, dated as of September 13, 2016, by and between the Company and American Stock Transfer &amp; Trust Company, LLC (the “Warrant Agreement”), which governs all of the Warrants, to permit the Company to require that each outstanding Warrant be converted into 0.1728 shares of Common Stock, which is a ratio 10% less than the ratio applicable to the Offer. Pursuant to the terms of the Warrant Agreement, the consent of holders of at least a majority of the outstanding Warrants is required to approve the amendment to the Warrant Agreement (the “Warrant Amendment”), with the holders of our publicly traded warrants (the “Public Warrants”) and holders of our privately issued warrants (the “Private Warrants”) voting together. Therefore, one of the conditions to the adoption of the Warrant Amendment is the receipt of the consent of holders of at least a majority of the then outstanding Warrants.</w:t>
      </w:r>
    </w:p>
    <w:p>
      <w:pPr>
        <w:spacing w:after="0" w:line="17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information in the Prospectus/Offer to Exchange and in the related Letter of Transmittal and Consent, including all schedules and exhibits thereto, is incorporated by reference herein to answer the items required in this Amendment No. 2.</w:t>
      </w:r>
    </w:p>
    <w:p>
      <w:pPr>
        <w:spacing w:after="0" w:line="170"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This Amendment No. 2 is being filed to update Item 12 of the Schedule TO to include the final Prospectus/Offer to Exchange which relates to the Form S-4 registration statement (the “Registration Statement”) which became effective on February 11, 2019 and a press release issued by the Company on February 12, 2019, announcing that the Company’s Registration Statement on Form S-4 relating to the Prospectus/Offer to Exchange became effective.</w:t>
      </w:r>
    </w:p>
    <w:p>
      <w:pPr>
        <w:spacing w:after="0" w:line="147"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Only those items amended are reported in this Amendment No. 2. Except as specifically provided herein, the information contained in the Schedule TO, the Prospectus/Offer to Exchange and the Letter of Transmittal and Consent remains unchanged, and this Amendment No. 2 does not modify any of the other information previously reported on the Schedule TO or in the Prospectus/Offer to Exchange or the Letter of Transmittal and Consent. You should read Amendment No. 2 together with the Schedule TO, the Prospectus/Offer to Exchange and the Letter of Transmittal and Consent.</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715"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99"/>
              </w:rPr>
              <w:t>Item 12. Exhibits.</w:t>
            </w:r>
          </w:p>
        </w:tc>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440" w:type="dxa"/>
            <w:vAlign w:val="bottom"/>
            <w:gridSpan w:val="18"/>
          </w:tcPr>
          <w:p>
            <w:pPr>
              <w:spacing w:after="0"/>
              <w:rPr>
                <w:sz w:val="20"/>
                <w:szCs w:val="20"/>
                <w:color w:val="auto"/>
              </w:rPr>
            </w:pPr>
            <w:r>
              <w:rPr>
                <w:rFonts w:ascii="Arial" w:cs="Arial" w:eastAsia="Arial" w:hAnsi="Arial"/>
                <w:sz w:val="18"/>
                <w:szCs w:val="18"/>
                <w:color w:val="auto"/>
                <w:w w:val="95"/>
              </w:rPr>
              <w:t>This Amendment No. 2 amends and restates Item 12 of the Schedule TO as follows: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46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 No.</w:t>
            </w:r>
          </w:p>
        </w:tc>
        <w:tc>
          <w:tcPr>
            <w:tcW w:w="720" w:type="dxa"/>
            <w:vAlign w:val="bottom"/>
          </w:tcPr>
          <w:p>
            <w:pPr>
              <w:spacing w:after="0"/>
              <w:rPr>
                <w:sz w:val="24"/>
                <w:szCs w:val="24"/>
                <w:color w:val="auto"/>
              </w:rPr>
            </w:pPr>
          </w:p>
        </w:tc>
        <w:tc>
          <w:tcPr>
            <w:tcW w:w="4240" w:type="dxa"/>
            <w:vAlign w:val="bottom"/>
            <w:gridSpan w:val="12"/>
          </w:tcPr>
          <w:p>
            <w:pPr>
              <w:ind w:left="130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1"/>
              </w:rPr>
              <w:t>Included</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Form</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Filing Date</w:t>
            </w:r>
          </w:p>
        </w:tc>
      </w:tr>
      <w:tr>
        <w:trPr>
          <w:trHeight w:val="169"/>
        </w:trPr>
        <w:tc>
          <w:tcPr>
            <w:tcW w:w="20" w:type="dxa"/>
            <w:vAlign w:val="bottom"/>
          </w:tcPr>
          <w:p>
            <w:pPr>
              <w:spacing w:after="0"/>
              <w:rPr>
                <w:sz w:val="14"/>
                <w:szCs w:val="14"/>
                <w:color w:val="auto"/>
              </w:rPr>
            </w:pPr>
          </w:p>
        </w:tc>
        <w:tc>
          <w:tcPr>
            <w:tcW w:w="1280" w:type="dxa"/>
            <w:vAlign w:val="bottom"/>
            <w:tcBorders>
              <w:top w:val="single" w:sz="8" w:color="auto"/>
            </w:tcBorders>
            <w:gridSpan w:val="3"/>
          </w:tcPr>
          <w:p>
            <w:pPr>
              <w:spacing w:after="0" w:line="170" w:lineRule="exact"/>
              <w:rPr>
                <w:rFonts w:ascii="Arial" w:cs="Arial" w:eastAsia="Arial" w:hAnsi="Arial"/>
                <w:sz w:val="18"/>
                <w:szCs w:val="18"/>
                <w:color w:val="0000EE"/>
              </w:rPr>
            </w:pPr>
            <w:hyperlink r:id="rId16">
              <w:r>
                <w:rPr>
                  <w:rFonts w:ascii="Arial" w:cs="Arial" w:eastAsia="Arial" w:hAnsi="Arial"/>
                  <w:sz w:val="18"/>
                  <w:szCs w:val="18"/>
                  <w:color w:val="0000EE"/>
                </w:rPr>
                <w:t>(a)(1)(A)</w:t>
              </w:r>
            </w:hyperlink>
          </w:p>
        </w:tc>
        <w:tc>
          <w:tcPr>
            <w:tcW w:w="180" w:type="dxa"/>
            <w:vAlign w:val="bottom"/>
          </w:tcPr>
          <w:p>
            <w:pPr>
              <w:spacing w:after="0"/>
              <w:rPr>
                <w:sz w:val="14"/>
                <w:szCs w:val="14"/>
                <w:color w:val="auto"/>
              </w:rPr>
            </w:pPr>
          </w:p>
        </w:tc>
        <w:tc>
          <w:tcPr>
            <w:tcW w:w="4960" w:type="dxa"/>
            <w:vAlign w:val="bottom"/>
            <w:tcBorders>
              <w:top w:val="single" w:sz="8" w:color="auto"/>
            </w:tcBorders>
            <w:gridSpan w:val="13"/>
          </w:tcPr>
          <w:p>
            <w:pPr>
              <w:spacing w:after="0" w:line="170" w:lineRule="exact"/>
              <w:rPr>
                <w:rFonts w:ascii="Arial" w:cs="Arial" w:eastAsia="Arial" w:hAnsi="Arial"/>
                <w:sz w:val="18"/>
                <w:szCs w:val="18"/>
                <w:color w:val="0000EE"/>
              </w:rPr>
            </w:pPr>
            <w:hyperlink r:id="rId16">
              <w:r>
                <w:rPr>
                  <w:rFonts w:ascii="Arial" w:cs="Arial" w:eastAsia="Arial" w:hAnsi="Arial"/>
                  <w:sz w:val="18"/>
                  <w:szCs w:val="18"/>
                  <w:color w:val="0000EE"/>
                </w:rPr>
                <w:t>Prospectus/Offer to Exchange</w:t>
              </w:r>
            </w:hyperlink>
          </w:p>
        </w:tc>
        <w:tc>
          <w:tcPr>
            <w:tcW w:w="1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4"/>
          </w:tcPr>
          <w:p>
            <w:pPr>
              <w:jc w:val="center"/>
              <w:ind w:right="440"/>
              <w:spacing w:after="0" w:line="170" w:lineRule="exact"/>
              <w:rPr>
                <w:rFonts w:ascii="Arial" w:cs="Arial" w:eastAsia="Arial" w:hAnsi="Arial"/>
                <w:sz w:val="18"/>
                <w:szCs w:val="18"/>
                <w:color w:val="0000EE"/>
                <w:w w:val="89"/>
              </w:rPr>
            </w:pPr>
            <w:hyperlink r:id="rId16">
              <w:r>
                <w:rPr>
                  <w:rFonts w:ascii="Arial" w:cs="Arial" w:eastAsia="Arial" w:hAnsi="Arial"/>
                  <w:sz w:val="18"/>
                  <w:szCs w:val="18"/>
                  <w:color w:val="0000EE"/>
                  <w:w w:val="89"/>
                </w:rPr>
                <w:t>By Reference</w:t>
              </w:r>
            </w:hyperlink>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3"/>
          </w:tcPr>
          <w:p>
            <w:pPr>
              <w:jc w:val="center"/>
              <w:ind w:right="300"/>
              <w:spacing w:after="0" w:line="170" w:lineRule="exact"/>
              <w:rPr>
                <w:rFonts w:ascii="Arial" w:cs="Arial" w:eastAsia="Arial" w:hAnsi="Arial"/>
                <w:sz w:val="18"/>
                <w:szCs w:val="18"/>
                <w:color w:val="0000EE"/>
                <w:w w:val="84"/>
              </w:rPr>
            </w:pPr>
            <w:hyperlink r:id="rId16">
              <w:r>
                <w:rPr>
                  <w:rFonts w:ascii="Arial" w:cs="Arial" w:eastAsia="Arial" w:hAnsi="Arial"/>
                  <w:sz w:val="18"/>
                  <w:szCs w:val="18"/>
                  <w:color w:val="0000EE"/>
                  <w:w w:val="84"/>
                </w:rPr>
                <w:t>424B3</w:t>
              </w:r>
            </w:hyperlink>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7"/>
          </w:tcPr>
          <w:p>
            <w:pPr>
              <w:jc w:val="center"/>
              <w:ind w:right="40"/>
              <w:spacing w:after="0" w:line="170" w:lineRule="exact"/>
              <w:rPr>
                <w:rFonts w:ascii="Arial" w:cs="Arial" w:eastAsia="Arial" w:hAnsi="Arial"/>
                <w:sz w:val="18"/>
                <w:szCs w:val="18"/>
                <w:color w:val="0000EE"/>
                <w:w w:val="86"/>
              </w:rPr>
            </w:pPr>
            <w:hyperlink r:id="rId16">
              <w:r>
                <w:rPr>
                  <w:rFonts w:ascii="Arial" w:cs="Arial" w:eastAsia="Arial" w:hAnsi="Arial"/>
                  <w:sz w:val="18"/>
                  <w:szCs w:val="18"/>
                  <w:color w:val="0000EE"/>
                  <w:w w:val="86"/>
                </w:rPr>
                <w:t>February 11, 2019</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18"/>
        </w:trPr>
        <w:tc>
          <w:tcPr>
            <w:tcW w:w="660" w:type="dxa"/>
            <w:vAlign w:val="bottom"/>
            <w:gridSpan w:val="3"/>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(a)(1)(B)</w:t>
              </w:r>
            </w:hyperlink>
          </w:p>
        </w:tc>
        <w:tc>
          <w:tcPr>
            <w:tcW w:w="820" w:type="dxa"/>
            <w:vAlign w:val="bottom"/>
            <w:gridSpan w:val="2"/>
          </w:tcPr>
          <w:p>
            <w:pPr>
              <w:spacing w:after="0"/>
              <w:rPr>
                <w:sz w:val="24"/>
                <w:szCs w:val="24"/>
                <w:color w:val="auto"/>
              </w:rPr>
            </w:pPr>
          </w:p>
        </w:tc>
        <w:tc>
          <w:tcPr>
            <w:tcW w:w="4960" w:type="dxa"/>
            <w:vAlign w:val="bottom"/>
            <w:gridSpan w:val="13"/>
          </w:tcPr>
          <w:p>
            <w:pPr>
              <w:spacing w:after="0"/>
              <w:rPr>
                <w:rFonts w:ascii="Arial" w:cs="Arial" w:eastAsia="Arial" w:hAnsi="Arial"/>
                <w:sz w:val="18"/>
                <w:szCs w:val="18"/>
                <w:color w:val="0000EE"/>
              </w:rPr>
            </w:pPr>
            <w:hyperlink r:id="rId17">
              <w:r>
                <w:rPr>
                  <w:rFonts w:ascii="Arial" w:cs="Arial" w:eastAsia="Arial" w:hAnsi="Arial"/>
                  <w:sz w:val="18"/>
                  <w:szCs w:val="18"/>
                  <w:color w:val="0000EE"/>
                </w:rPr>
                <w:t>Form of Letter of Transmittal and Consent</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17">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320"/>
              <w:spacing w:after="0"/>
              <w:rPr>
                <w:rFonts w:ascii="Arial" w:cs="Arial" w:eastAsia="Arial" w:hAnsi="Arial"/>
                <w:sz w:val="18"/>
                <w:szCs w:val="18"/>
                <w:color w:val="0000EE"/>
                <w:w w:val="93"/>
              </w:rPr>
            </w:pPr>
            <w:hyperlink r:id="rId17">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00"/>
              <w:spacing w:after="0"/>
              <w:rPr>
                <w:rFonts w:ascii="Arial" w:cs="Arial" w:eastAsia="Arial" w:hAnsi="Arial"/>
                <w:sz w:val="18"/>
                <w:szCs w:val="18"/>
                <w:color w:val="0000EE"/>
                <w:w w:val="88"/>
              </w:rPr>
            </w:pPr>
            <w:hyperlink r:id="rId17">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jc w:val="center"/>
              <w:ind w:right="20"/>
              <w:spacing w:after="0" w:line="196" w:lineRule="exact"/>
              <w:rPr>
                <w:rFonts w:ascii="Arial" w:cs="Arial" w:eastAsia="Arial" w:hAnsi="Arial"/>
                <w:sz w:val="18"/>
                <w:szCs w:val="18"/>
                <w:color w:val="0000EE"/>
                <w:w w:val="89"/>
              </w:rPr>
            </w:pPr>
            <w:hyperlink r:id="rId17">
              <w:r>
                <w:rPr>
                  <w:rFonts w:ascii="Arial" w:cs="Arial" w:eastAsia="Arial" w:hAnsi="Arial"/>
                  <w:sz w:val="18"/>
                  <w:szCs w:val="18"/>
                  <w:color w:val="0000EE"/>
                  <w:w w:val="89"/>
                </w:rPr>
                <w:t>2018</w:t>
              </w:r>
            </w:hyperlink>
          </w:p>
        </w:tc>
        <w:tc>
          <w:tcPr>
            <w:tcW w:w="3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480" w:type="dxa"/>
            <w:vAlign w:val="bottom"/>
            <w:gridSpan w:val="5"/>
          </w:tcPr>
          <w:p>
            <w:pPr>
              <w:spacing w:after="0"/>
              <w:rPr>
                <w:rFonts w:ascii="Arial" w:cs="Arial" w:eastAsia="Arial" w:hAnsi="Arial"/>
                <w:sz w:val="18"/>
                <w:szCs w:val="18"/>
                <w:color w:val="0000EE"/>
              </w:rPr>
            </w:pPr>
            <w:hyperlink r:id="rId18">
              <w:r>
                <w:rPr>
                  <w:rFonts w:ascii="Arial" w:cs="Arial" w:eastAsia="Arial" w:hAnsi="Arial"/>
                  <w:sz w:val="18"/>
                  <w:szCs w:val="18"/>
                  <w:color w:val="0000EE"/>
                </w:rPr>
                <w:t>(a)(1)(C)</w:t>
              </w:r>
            </w:hyperlink>
          </w:p>
        </w:tc>
        <w:tc>
          <w:tcPr>
            <w:tcW w:w="4960" w:type="dxa"/>
            <w:vAlign w:val="bottom"/>
            <w:gridSpan w:val="13"/>
          </w:tcPr>
          <w:p>
            <w:pPr>
              <w:spacing w:after="0"/>
              <w:rPr>
                <w:rFonts w:ascii="Arial" w:cs="Arial" w:eastAsia="Arial" w:hAnsi="Arial"/>
                <w:sz w:val="18"/>
                <w:szCs w:val="18"/>
                <w:color w:val="0000EE"/>
              </w:rPr>
            </w:pPr>
            <w:hyperlink r:id="rId18">
              <w:r>
                <w:rPr>
                  <w:rFonts w:ascii="Arial" w:cs="Arial" w:eastAsia="Arial" w:hAnsi="Arial"/>
                  <w:sz w:val="18"/>
                  <w:szCs w:val="18"/>
                  <w:color w:val="0000EE"/>
                </w:rPr>
                <w:t>Form of Notice of Guaranteed Delivery</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18">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320"/>
              <w:spacing w:after="0"/>
              <w:rPr>
                <w:rFonts w:ascii="Arial" w:cs="Arial" w:eastAsia="Arial" w:hAnsi="Arial"/>
                <w:sz w:val="18"/>
                <w:szCs w:val="18"/>
                <w:color w:val="0000EE"/>
                <w:w w:val="93"/>
              </w:rPr>
            </w:pPr>
            <w:hyperlink r:id="rId18">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00"/>
              <w:spacing w:after="0"/>
              <w:rPr>
                <w:rFonts w:ascii="Arial" w:cs="Arial" w:eastAsia="Arial" w:hAnsi="Arial"/>
                <w:sz w:val="18"/>
                <w:szCs w:val="18"/>
                <w:color w:val="0000EE"/>
                <w:w w:val="88"/>
              </w:rPr>
            </w:pPr>
            <w:hyperlink r:id="rId18">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jc w:val="center"/>
              <w:ind w:right="20"/>
              <w:spacing w:after="0" w:line="196" w:lineRule="exact"/>
              <w:rPr>
                <w:rFonts w:ascii="Arial" w:cs="Arial" w:eastAsia="Arial" w:hAnsi="Arial"/>
                <w:sz w:val="18"/>
                <w:szCs w:val="18"/>
                <w:color w:val="0000EE"/>
                <w:w w:val="89"/>
              </w:rPr>
            </w:pPr>
            <w:hyperlink r:id="rId18">
              <w:r>
                <w:rPr>
                  <w:rFonts w:ascii="Arial" w:cs="Arial" w:eastAsia="Arial" w:hAnsi="Arial"/>
                  <w:sz w:val="18"/>
                  <w:szCs w:val="18"/>
                  <w:color w:val="0000EE"/>
                  <w:w w:val="89"/>
                </w:rPr>
                <w:t>2018</w:t>
              </w:r>
            </w:hyperlink>
          </w:p>
        </w:tc>
        <w:tc>
          <w:tcPr>
            <w:tcW w:w="3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480" w:type="dxa"/>
            <w:vAlign w:val="bottom"/>
            <w:gridSpan w:val="5"/>
          </w:tcPr>
          <w:p>
            <w:pPr>
              <w:spacing w:after="0"/>
              <w:rPr>
                <w:rFonts w:ascii="Arial" w:cs="Arial" w:eastAsia="Arial" w:hAnsi="Arial"/>
                <w:sz w:val="18"/>
                <w:szCs w:val="18"/>
                <w:color w:val="0000EE"/>
              </w:rPr>
            </w:pPr>
            <w:hyperlink r:id="rId19">
              <w:r>
                <w:rPr>
                  <w:rFonts w:ascii="Arial" w:cs="Arial" w:eastAsia="Arial" w:hAnsi="Arial"/>
                  <w:sz w:val="18"/>
                  <w:szCs w:val="18"/>
                  <w:color w:val="0000EE"/>
                </w:rPr>
                <w:t>(a)(1)(D)</w:t>
              </w:r>
            </w:hyperlink>
          </w:p>
        </w:tc>
        <w:tc>
          <w:tcPr>
            <w:tcW w:w="4960" w:type="dxa"/>
            <w:vAlign w:val="bottom"/>
            <w:gridSpan w:val="13"/>
          </w:tcPr>
          <w:p>
            <w:pPr>
              <w:spacing w:after="0"/>
              <w:rPr>
                <w:rFonts w:ascii="Arial" w:cs="Arial" w:eastAsia="Arial" w:hAnsi="Arial"/>
                <w:sz w:val="18"/>
                <w:szCs w:val="18"/>
                <w:color w:val="0000EE"/>
              </w:rPr>
            </w:pPr>
            <w:hyperlink r:id="rId19">
              <w:r>
                <w:rPr>
                  <w:rFonts w:ascii="Arial" w:cs="Arial" w:eastAsia="Arial" w:hAnsi="Arial"/>
                  <w:sz w:val="18"/>
                  <w:szCs w:val="18"/>
                  <w:color w:val="0000EE"/>
                </w:rPr>
                <w:t>Form of Letter to Brokers, Dealers, Commercial Banks, Trust</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19">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320"/>
              <w:spacing w:after="0"/>
              <w:rPr>
                <w:rFonts w:ascii="Arial" w:cs="Arial" w:eastAsia="Arial" w:hAnsi="Arial"/>
                <w:sz w:val="18"/>
                <w:szCs w:val="18"/>
                <w:color w:val="0000EE"/>
                <w:w w:val="93"/>
              </w:rPr>
            </w:pPr>
            <w:hyperlink r:id="rId19">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00"/>
              <w:spacing w:after="0"/>
              <w:rPr>
                <w:rFonts w:ascii="Arial" w:cs="Arial" w:eastAsia="Arial" w:hAnsi="Arial"/>
                <w:sz w:val="18"/>
                <w:szCs w:val="18"/>
                <w:color w:val="0000EE"/>
                <w:w w:val="88"/>
              </w:rPr>
            </w:pPr>
            <w:hyperlink r:id="rId19">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Companies and Other Nominees</w:t>
              </w:r>
            </w:hyperlink>
          </w:p>
        </w:tc>
        <w:tc>
          <w:tcPr>
            <w:tcW w:w="5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700" w:type="dxa"/>
            <w:vAlign w:val="bottom"/>
            <w:tcBorders>
              <w:top w:val="single" w:sz="8" w:color="0000EE"/>
            </w:tcBorders>
            <w:gridSpan w:val="3"/>
          </w:tcPr>
          <w:p>
            <w:pPr>
              <w:jc w:val="center"/>
              <w:ind w:left="210"/>
              <w:spacing w:after="0" w:line="196" w:lineRule="exact"/>
              <w:rPr>
                <w:rFonts w:ascii="Arial" w:cs="Arial" w:eastAsia="Arial" w:hAnsi="Arial"/>
                <w:sz w:val="18"/>
                <w:szCs w:val="18"/>
                <w:color w:val="0000EE"/>
                <w:w w:val="89"/>
              </w:rPr>
            </w:pPr>
            <w:hyperlink r:id="rId19">
              <w:r>
                <w:rPr>
                  <w:rFonts w:ascii="Arial" w:cs="Arial" w:eastAsia="Arial" w:hAnsi="Arial"/>
                  <w:sz w:val="18"/>
                  <w:szCs w:val="18"/>
                  <w:color w:val="0000EE"/>
                  <w:w w:val="89"/>
                </w:rPr>
                <w:t>2018</w:t>
              </w:r>
            </w:hyperlink>
          </w:p>
        </w:tc>
        <w:tc>
          <w:tcPr>
            <w:tcW w:w="3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480" w:type="dxa"/>
            <w:vAlign w:val="bottom"/>
            <w:gridSpan w:val="5"/>
          </w:tcPr>
          <w:p>
            <w:pPr>
              <w:spacing w:after="0"/>
              <w:rPr>
                <w:rFonts w:ascii="Arial" w:cs="Arial" w:eastAsia="Arial" w:hAnsi="Arial"/>
                <w:sz w:val="18"/>
                <w:szCs w:val="18"/>
                <w:color w:val="0000EE"/>
              </w:rPr>
            </w:pPr>
            <w:hyperlink r:id="rId20">
              <w:r>
                <w:rPr>
                  <w:rFonts w:ascii="Arial" w:cs="Arial" w:eastAsia="Arial" w:hAnsi="Arial"/>
                  <w:sz w:val="18"/>
                  <w:szCs w:val="18"/>
                  <w:color w:val="0000EE"/>
                </w:rPr>
                <w:t>(a)(1)(E)</w:t>
              </w:r>
            </w:hyperlink>
          </w:p>
        </w:tc>
        <w:tc>
          <w:tcPr>
            <w:tcW w:w="4960" w:type="dxa"/>
            <w:vAlign w:val="bottom"/>
            <w:gridSpan w:val="13"/>
          </w:tcPr>
          <w:p>
            <w:pPr>
              <w:spacing w:after="0"/>
              <w:rPr>
                <w:rFonts w:ascii="Arial" w:cs="Arial" w:eastAsia="Arial" w:hAnsi="Arial"/>
                <w:sz w:val="18"/>
                <w:szCs w:val="18"/>
                <w:color w:val="0000EE"/>
                <w:w w:val="95"/>
              </w:rPr>
            </w:pPr>
            <w:hyperlink r:id="rId20">
              <w:r>
                <w:rPr>
                  <w:rFonts w:ascii="Arial" w:cs="Arial" w:eastAsia="Arial" w:hAnsi="Arial"/>
                  <w:sz w:val="18"/>
                  <w:szCs w:val="18"/>
                  <w:color w:val="0000EE"/>
                  <w:w w:val="95"/>
                </w:rPr>
                <w:t>Form of Letter to Clients of Brokers, Dealers, Commercial Banks,</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20">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320"/>
              <w:spacing w:after="0"/>
              <w:rPr>
                <w:rFonts w:ascii="Arial" w:cs="Arial" w:eastAsia="Arial" w:hAnsi="Arial"/>
                <w:sz w:val="18"/>
                <w:szCs w:val="18"/>
                <w:color w:val="0000EE"/>
                <w:w w:val="93"/>
              </w:rPr>
            </w:pPr>
            <w:hyperlink r:id="rId20">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00"/>
              <w:spacing w:after="0"/>
              <w:rPr>
                <w:rFonts w:ascii="Arial" w:cs="Arial" w:eastAsia="Arial" w:hAnsi="Arial"/>
                <w:sz w:val="18"/>
                <w:szCs w:val="18"/>
                <w:color w:val="0000EE"/>
                <w:w w:val="88"/>
              </w:rPr>
            </w:pPr>
            <w:hyperlink r:id="rId20">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Trust Companies and Other Nominees</w:t>
              </w:r>
            </w:hyperlink>
          </w:p>
        </w:tc>
        <w:tc>
          <w:tcPr>
            <w:tcW w:w="1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700" w:type="dxa"/>
            <w:vAlign w:val="bottom"/>
            <w:tcBorders>
              <w:top w:val="single" w:sz="8" w:color="0000EE"/>
            </w:tcBorders>
            <w:gridSpan w:val="3"/>
          </w:tcPr>
          <w:p>
            <w:pPr>
              <w:jc w:val="center"/>
              <w:ind w:left="210"/>
              <w:spacing w:after="0" w:line="196" w:lineRule="exact"/>
              <w:rPr>
                <w:rFonts w:ascii="Arial" w:cs="Arial" w:eastAsia="Arial" w:hAnsi="Arial"/>
                <w:sz w:val="18"/>
                <w:szCs w:val="18"/>
                <w:color w:val="0000EE"/>
                <w:w w:val="89"/>
              </w:rPr>
            </w:pPr>
            <w:hyperlink r:id="rId20">
              <w:r>
                <w:rPr>
                  <w:rFonts w:ascii="Arial" w:cs="Arial" w:eastAsia="Arial" w:hAnsi="Arial"/>
                  <w:sz w:val="18"/>
                  <w:szCs w:val="18"/>
                  <w:color w:val="0000EE"/>
                  <w:w w:val="89"/>
                </w:rPr>
                <w:t>2018</w:t>
              </w:r>
            </w:hyperlink>
          </w:p>
        </w:tc>
        <w:tc>
          <w:tcPr>
            <w:tcW w:w="3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8"/>
        </w:trPr>
        <w:tc>
          <w:tcPr>
            <w:tcW w:w="1480" w:type="dxa"/>
            <w:vAlign w:val="bottom"/>
            <w:gridSpan w:val="5"/>
          </w:tcPr>
          <w:p>
            <w:pPr>
              <w:spacing w:after="0"/>
              <w:rPr>
                <w:sz w:val="20"/>
                <w:szCs w:val="20"/>
                <w:color w:val="auto"/>
              </w:rPr>
            </w:pPr>
            <w:r>
              <w:rPr>
                <w:rFonts w:ascii="Arial" w:cs="Arial" w:eastAsia="Arial" w:hAnsi="Arial"/>
                <w:sz w:val="18"/>
                <w:szCs w:val="18"/>
                <w:color w:val="auto"/>
              </w:rPr>
              <w:t>(a)(2)</w:t>
            </w:r>
          </w:p>
        </w:tc>
        <w:tc>
          <w:tcPr>
            <w:tcW w:w="27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Not applicable</w:t>
            </w:r>
          </w:p>
        </w:tc>
        <w:tc>
          <w:tcPr>
            <w:tcW w:w="220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gridSpan w:val="4"/>
          </w:tcPr>
          <w:p>
            <w:pPr>
              <w:spacing w:after="0"/>
              <w:rPr>
                <w:sz w:val="24"/>
                <w:szCs w:val="24"/>
                <w:color w:val="auto"/>
              </w:rPr>
            </w:pPr>
          </w:p>
        </w:tc>
      </w:tr>
      <w:tr>
        <w:trPr>
          <w:trHeight w:val="338"/>
        </w:trPr>
        <w:tc>
          <w:tcPr>
            <w:tcW w:w="1480" w:type="dxa"/>
            <w:vAlign w:val="bottom"/>
            <w:gridSpan w:val="5"/>
          </w:tcPr>
          <w:p>
            <w:pPr>
              <w:spacing w:after="0"/>
              <w:rPr>
                <w:sz w:val="20"/>
                <w:szCs w:val="20"/>
                <w:color w:val="auto"/>
              </w:rPr>
            </w:pPr>
            <w:r>
              <w:rPr>
                <w:rFonts w:ascii="Arial" w:cs="Arial" w:eastAsia="Arial" w:hAnsi="Arial"/>
                <w:sz w:val="18"/>
                <w:szCs w:val="18"/>
                <w:color w:val="auto"/>
              </w:rPr>
              <w:t>(a)(3)</w:t>
            </w:r>
          </w:p>
        </w:tc>
        <w:tc>
          <w:tcPr>
            <w:tcW w:w="4960" w:type="dxa"/>
            <w:vAlign w:val="bottom"/>
            <w:gridSpan w:val="13"/>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5"/>
          </w:tcPr>
          <w:p>
            <w:pPr>
              <w:jc w:val="center"/>
              <w:ind w:right="500"/>
              <w:spacing w:after="0"/>
              <w:rPr>
                <w:sz w:val="20"/>
                <w:szCs w:val="20"/>
                <w:color w:val="auto"/>
              </w:rPr>
            </w:pPr>
            <w:r>
              <w:rPr>
                <w:rFonts w:ascii="Arial" w:cs="Arial" w:eastAsia="Arial" w:hAnsi="Arial"/>
                <w:sz w:val="18"/>
                <w:szCs w:val="18"/>
                <w:color w:val="auto"/>
                <w:w w:val="99"/>
              </w:rPr>
              <w:t>—</w:t>
            </w:r>
          </w:p>
        </w:tc>
      </w:tr>
      <w:tr>
        <w:trPr>
          <w:trHeight w:val="297"/>
        </w:trPr>
        <w:tc>
          <w:tcPr>
            <w:tcW w:w="1480" w:type="dxa"/>
            <w:vAlign w:val="bottom"/>
            <w:gridSpan w:val="5"/>
          </w:tcPr>
          <w:p>
            <w:pPr>
              <w:spacing w:after="0"/>
              <w:rPr>
                <w:rFonts w:ascii="Arial" w:cs="Arial" w:eastAsia="Arial" w:hAnsi="Arial"/>
                <w:sz w:val="18"/>
                <w:szCs w:val="18"/>
                <w:color w:val="0000EE"/>
              </w:rPr>
            </w:pPr>
            <w:hyperlink r:id="rId16">
              <w:r>
                <w:rPr>
                  <w:rFonts w:ascii="Arial" w:cs="Arial" w:eastAsia="Arial" w:hAnsi="Arial"/>
                  <w:sz w:val="18"/>
                  <w:szCs w:val="18"/>
                  <w:color w:val="0000EE"/>
                </w:rPr>
                <w:t>(a)(4)</w:t>
              </w:r>
            </w:hyperlink>
          </w:p>
        </w:tc>
        <w:tc>
          <w:tcPr>
            <w:tcW w:w="4960" w:type="dxa"/>
            <w:vAlign w:val="bottom"/>
            <w:gridSpan w:val="13"/>
          </w:tcPr>
          <w:p>
            <w:pPr>
              <w:spacing w:after="0"/>
              <w:rPr>
                <w:rFonts w:ascii="Arial" w:cs="Arial" w:eastAsia="Arial" w:hAnsi="Arial"/>
                <w:sz w:val="18"/>
                <w:szCs w:val="18"/>
                <w:color w:val="0000EE"/>
                <w:w w:val="92"/>
              </w:rPr>
            </w:pPr>
            <w:hyperlink r:id="rId16">
              <w:r>
                <w:rPr>
                  <w:rFonts w:ascii="Arial" w:cs="Arial" w:eastAsia="Arial" w:hAnsi="Arial"/>
                  <w:sz w:val="18"/>
                  <w:szCs w:val="18"/>
                  <w:color w:val="0000EE"/>
                  <w:w w:val="92"/>
                </w:rPr>
                <w:t>Prospectus/Offer to Exchange (incorporated by reference to Exhibit</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16">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300"/>
              <w:spacing w:after="0"/>
              <w:rPr>
                <w:rFonts w:ascii="Arial" w:cs="Arial" w:eastAsia="Arial" w:hAnsi="Arial"/>
                <w:sz w:val="18"/>
                <w:szCs w:val="18"/>
                <w:color w:val="0000EE"/>
                <w:w w:val="84"/>
              </w:rPr>
            </w:pPr>
            <w:hyperlink r:id="rId16">
              <w:r>
                <w:rPr>
                  <w:rFonts w:ascii="Arial" w:cs="Arial" w:eastAsia="Arial" w:hAnsi="Arial"/>
                  <w:sz w:val="18"/>
                  <w:szCs w:val="18"/>
                  <w:color w:val="0000EE"/>
                  <w:w w:val="84"/>
                </w:rPr>
                <w:t>424B3</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7"/>
          </w:tcPr>
          <w:p>
            <w:pPr>
              <w:jc w:val="center"/>
              <w:ind w:right="40"/>
              <w:spacing w:after="0"/>
              <w:rPr>
                <w:rFonts w:ascii="Arial" w:cs="Arial" w:eastAsia="Arial" w:hAnsi="Arial"/>
                <w:sz w:val="18"/>
                <w:szCs w:val="18"/>
                <w:color w:val="0000EE"/>
                <w:w w:val="86"/>
              </w:rPr>
            </w:pPr>
            <w:hyperlink r:id="rId16">
              <w:r>
                <w:rPr>
                  <w:rFonts w:ascii="Arial" w:cs="Arial" w:eastAsia="Arial" w:hAnsi="Arial"/>
                  <w:sz w:val="18"/>
                  <w:szCs w:val="18"/>
                  <w:color w:val="0000EE"/>
                  <w:w w:val="86"/>
                </w:rPr>
                <w:t>February 11, 2019</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(a)(1)(A))</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480" w:type="dxa"/>
            <w:vAlign w:val="bottom"/>
            <w:gridSpan w:val="5"/>
          </w:tcPr>
          <w:p>
            <w:pPr>
              <w:spacing w:after="0"/>
              <w:rPr>
                <w:rFonts w:ascii="Arial" w:cs="Arial" w:eastAsia="Arial" w:hAnsi="Arial"/>
                <w:sz w:val="18"/>
                <w:szCs w:val="18"/>
                <w:color w:val="0000EE"/>
              </w:rPr>
            </w:pPr>
            <w:hyperlink r:id="rId21">
              <w:r>
                <w:rPr>
                  <w:rFonts w:ascii="Arial" w:cs="Arial" w:eastAsia="Arial" w:hAnsi="Arial"/>
                  <w:sz w:val="18"/>
                  <w:szCs w:val="18"/>
                  <w:color w:val="0000EE"/>
                </w:rPr>
                <w:t>(a)(5)(A)</w:t>
              </w:r>
            </w:hyperlink>
          </w:p>
        </w:tc>
        <w:tc>
          <w:tcPr>
            <w:tcW w:w="4960" w:type="dxa"/>
            <w:vAlign w:val="bottom"/>
            <w:gridSpan w:val="13"/>
          </w:tcPr>
          <w:p>
            <w:pPr>
              <w:spacing w:after="0"/>
              <w:rPr>
                <w:rFonts w:ascii="Arial" w:cs="Arial" w:eastAsia="Arial" w:hAnsi="Arial"/>
                <w:sz w:val="18"/>
                <w:szCs w:val="18"/>
                <w:color w:val="0000EE"/>
              </w:rPr>
            </w:pPr>
            <w:hyperlink r:id="rId21">
              <w:r>
                <w:rPr>
                  <w:rFonts w:ascii="Arial" w:cs="Arial" w:eastAsia="Arial" w:hAnsi="Arial"/>
                  <w:sz w:val="18"/>
                  <w:szCs w:val="18"/>
                  <w:color w:val="0000EE"/>
                </w:rPr>
                <w:t>Press Release, dated November 30, 2018</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21">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200"/>
              <w:spacing w:after="0"/>
              <w:rPr>
                <w:rFonts w:ascii="Arial" w:cs="Arial" w:eastAsia="Arial" w:hAnsi="Arial"/>
                <w:sz w:val="18"/>
                <w:szCs w:val="18"/>
                <w:color w:val="0000EE"/>
                <w:w w:val="72"/>
              </w:rPr>
            </w:pPr>
            <w:hyperlink r:id="rId21">
              <w:r>
                <w:rPr>
                  <w:rFonts w:ascii="Arial" w:cs="Arial" w:eastAsia="Arial" w:hAnsi="Arial"/>
                  <w:sz w:val="18"/>
                  <w:szCs w:val="18"/>
                  <w:color w:val="0000EE"/>
                  <w:w w:val="72"/>
                </w:rPr>
                <w:t>SC TO-C</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7"/>
          </w:tcPr>
          <w:p>
            <w:pPr>
              <w:jc w:val="center"/>
              <w:ind w:right="40"/>
              <w:spacing w:after="0"/>
              <w:rPr>
                <w:rFonts w:ascii="Arial" w:cs="Arial" w:eastAsia="Arial" w:hAnsi="Arial"/>
                <w:sz w:val="18"/>
                <w:szCs w:val="18"/>
                <w:color w:val="0000EE"/>
                <w:w w:val="86"/>
              </w:rPr>
            </w:pPr>
            <w:hyperlink r:id="rId21">
              <w:r>
                <w:rPr>
                  <w:rFonts w:ascii="Arial" w:cs="Arial" w:eastAsia="Arial" w:hAnsi="Arial"/>
                  <w:sz w:val="18"/>
                  <w:szCs w:val="18"/>
                  <w:color w:val="0000EE"/>
                  <w:w w:val="86"/>
                </w:rPr>
                <w:t>December 3, 2018</w:t>
              </w:r>
            </w:hyperlink>
          </w:p>
        </w:tc>
      </w:tr>
      <w:tr>
        <w:trPr>
          <w:trHeight w:val="20"/>
        </w:trPr>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18"/>
        </w:trPr>
        <w:tc>
          <w:tcPr>
            <w:tcW w:w="660" w:type="dxa"/>
            <w:vAlign w:val="bottom"/>
            <w:gridSpan w:val="3"/>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(a)(5)(B)</w:t>
              </w:r>
            </w:hyperlink>
          </w:p>
        </w:tc>
        <w:tc>
          <w:tcPr>
            <w:tcW w:w="820" w:type="dxa"/>
            <w:vAlign w:val="bottom"/>
            <w:gridSpan w:val="2"/>
          </w:tcPr>
          <w:p>
            <w:pPr>
              <w:spacing w:after="0"/>
              <w:rPr>
                <w:sz w:val="24"/>
                <w:szCs w:val="24"/>
                <w:color w:val="auto"/>
              </w:rPr>
            </w:pPr>
          </w:p>
        </w:tc>
        <w:tc>
          <w:tcPr>
            <w:tcW w:w="2940" w:type="dxa"/>
            <w:vAlign w:val="bottom"/>
            <w:gridSpan w:val="8"/>
          </w:tcPr>
          <w:p>
            <w:pPr>
              <w:spacing w:after="0"/>
              <w:rPr>
                <w:rFonts w:ascii="Arial" w:cs="Arial" w:eastAsia="Arial" w:hAnsi="Arial"/>
                <w:sz w:val="18"/>
                <w:szCs w:val="18"/>
                <w:color w:val="0000EE"/>
                <w:w w:val="86"/>
              </w:rPr>
            </w:pPr>
            <w:hyperlink r:id="rId22">
              <w:r>
                <w:rPr>
                  <w:rFonts w:ascii="Arial" w:cs="Arial" w:eastAsia="Arial" w:hAnsi="Arial"/>
                  <w:sz w:val="18"/>
                  <w:szCs w:val="18"/>
                  <w:color w:val="0000EE"/>
                  <w:w w:val="86"/>
                </w:rPr>
                <w:t>Press Release, dated December 26, 2018</w:t>
              </w:r>
            </w:hyperlink>
          </w:p>
        </w:tc>
        <w:tc>
          <w:tcPr>
            <w:tcW w:w="202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220"/>
              <w:spacing w:after="0"/>
              <w:rPr>
                <w:rFonts w:ascii="Arial" w:cs="Arial" w:eastAsia="Arial" w:hAnsi="Arial"/>
                <w:sz w:val="18"/>
                <w:szCs w:val="18"/>
                <w:color w:val="0000EE"/>
                <w:w w:val="78"/>
              </w:rPr>
            </w:pPr>
            <w:hyperlink r:id="rId22">
              <w:r>
                <w:rPr>
                  <w:rFonts w:ascii="Arial" w:cs="Arial" w:eastAsia="Arial" w:hAnsi="Arial"/>
                  <w:sz w:val="18"/>
                  <w:szCs w:val="18"/>
                  <w:color w:val="0000EE"/>
                  <w:w w:val="78"/>
                </w:rPr>
                <w:t>SC TO-I</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00"/>
              <w:spacing w:after="0"/>
              <w:rPr>
                <w:rFonts w:ascii="Arial" w:cs="Arial" w:eastAsia="Arial" w:hAnsi="Arial"/>
                <w:sz w:val="18"/>
                <w:szCs w:val="18"/>
                <w:color w:val="0000EE"/>
                <w:w w:val="88"/>
              </w:rPr>
            </w:pPr>
            <w:hyperlink r:id="rId22">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jc w:val="center"/>
              <w:ind w:right="20"/>
              <w:spacing w:after="0" w:line="196" w:lineRule="exact"/>
              <w:rPr>
                <w:rFonts w:ascii="Arial" w:cs="Arial" w:eastAsia="Arial" w:hAnsi="Arial"/>
                <w:sz w:val="18"/>
                <w:szCs w:val="18"/>
                <w:color w:val="0000EE"/>
                <w:w w:val="89"/>
              </w:rPr>
            </w:pPr>
            <w:hyperlink r:id="rId22">
              <w:r>
                <w:rPr>
                  <w:rFonts w:ascii="Arial" w:cs="Arial" w:eastAsia="Arial" w:hAnsi="Arial"/>
                  <w:sz w:val="18"/>
                  <w:szCs w:val="18"/>
                  <w:color w:val="0000EE"/>
                  <w:w w:val="89"/>
                </w:rPr>
                <w:t>2018</w:t>
              </w:r>
            </w:hyperlink>
          </w:p>
        </w:tc>
        <w:tc>
          <w:tcPr>
            <w:tcW w:w="3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660" w:type="dxa"/>
            <w:vAlign w:val="bottom"/>
            <w:gridSpan w:val="3"/>
          </w:tcPr>
          <w:p>
            <w:pPr>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(a)(5)(C)</w:t>
              </w:r>
            </w:hyperlink>
          </w:p>
        </w:tc>
        <w:tc>
          <w:tcPr>
            <w:tcW w:w="820" w:type="dxa"/>
            <w:vAlign w:val="bottom"/>
            <w:gridSpan w:val="2"/>
          </w:tcPr>
          <w:p>
            <w:pPr>
              <w:spacing w:after="0"/>
              <w:rPr>
                <w:sz w:val="24"/>
                <w:szCs w:val="24"/>
                <w:color w:val="auto"/>
              </w:rPr>
            </w:pPr>
          </w:p>
        </w:tc>
        <w:tc>
          <w:tcPr>
            <w:tcW w:w="4960" w:type="dxa"/>
            <w:vAlign w:val="bottom"/>
            <w:gridSpan w:val="13"/>
          </w:tcPr>
          <w:p>
            <w:pPr>
              <w:spacing w:after="0"/>
              <w:rPr>
                <w:rFonts w:ascii="Arial" w:cs="Arial" w:eastAsia="Arial" w:hAnsi="Arial"/>
                <w:sz w:val="18"/>
                <w:szCs w:val="18"/>
                <w:color w:val="0000EE"/>
              </w:rPr>
            </w:pPr>
            <w:hyperlink r:id="rId23">
              <w:r>
                <w:rPr>
                  <w:rFonts w:ascii="Arial" w:cs="Arial" w:eastAsia="Arial" w:hAnsi="Arial"/>
                  <w:sz w:val="18"/>
                  <w:szCs w:val="18"/>
                  <w:color w:val="0000EE"/>
                </w:rPr>
                <w:t>Press Release, dated January 22, 2019</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140"/>
              <w:spacing w:after="0"/>
              <w:rPr>
                <w:rFonts w:ascii="Arial" w:cs="Arial" w:eastAsia="Arial" w:hAnsi="Arial"/>
                <w:sz w:val="18"/>
                <w:szCs w:val="18"/>
                <w:color w:val="0000EE"/>
                <w:w w:val="72"/>
              </w:rPr>
            </w:pPr>
            <w:hyperlink r:id="rId23">
              <w:r>
                <w:rPr>
                  <w:rFonts w:ascii="Arial" w:cs="Arial" w:eastAsia="Arial" w:hAnsi="Arial"/>
                  <w:sz w:val="18"/>
                  <w:szCs w:val="18"/>
                  <w:color w:val="0000EE"/>
                  <w:w w:val="72"/>
                </w:rPr>
                <w:t>SC TO-I/A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7"/>
          </w:tcPr>
          <w:p>
            <w:pPr>
              <w:jc w:val="center"/>
              <w:ind w:right="80"/>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January 22, 2019</w:t>
              </w:r>
            </w:hyperlink>
          </w:p>
        </w:tc>
      </w:tr>
      <w:tr>
        <w:trPr>
          <w:trHeight w:val="20"/>
        </w:trPr>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480" w:type="dxa"/>
            <w:vAlign w:val="bottom"/>
            <w:gridSpan w:val="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(a)(5)(D)</w:t>
              </w:r>
            </w:hyperlink>
          </w:p>
        </w:tc>
        <w:tc>
          <w:tcPr>
            <w:tcW w:w="496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Press Release, dated February 11, 2019</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580"/>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Herewith</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1480" w:hanging="1472"/>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4"/>
          </w:tcPr>
          <w:p>
            <w:pPr>
              <w:spacing w:after="0"/>
              <w:rPr>
                <w:rFonts w:ascii="Arial" w:cs="Arial" w:eastAsia="Arial" w:hAnsi="Arial"/>
                <w:sz w:val="18"/>
                <w:szCs w:val="18"/>
                <w:color w:val="0000EE"/>
              </w:rPr>
            </w:pPr>
            <w:hyperlink r:id="rId24">
              <w:r>
                <w:rPr>
                  <w:rFonts w:ascii="Arial" w:cs="Arial" w:eastAsia="Arial" w:hAnsi="Arial"/>
                  <w:sz w:val="18"/>
                  <w:szCs w:val="18"/>
                  <w:color w:val="0000EE"/>
                </w:rPr>
                <w:t>(d)(i)</w:t>
              </w:r>
            </w:hyperlink>
          </w:p>
        </w:tc>
        <w:tc>
          <w:tcPr>
            <w:tcW w:w="5580" w:type="dxa"/>
            <w:vAlign w:val="bottom"/>
            <w:gridSpan w:val="10"/>
          </w:tcPr>
          <w:p>
            <w:pPr>
              <w:spacing w:after="0"/>
              <w:rPr>
                <w:rFonts w:ascii="Arial" w:cs="Arial" w:eastAsia="Arial" w:hAnsi="Arial"/>
                <w:sz w:val="18"/>
                <w:szCs w:val="18"/>
                <w:color w:val="0000EE"/>
              </w:rPr>
            </w:pPr>
            <w:hyperlink r:id="rId24">
              <w:r>
                <w:rPr>
                  <w:rFonts w:ascii="Arial" w:cs="Arial" w:eastAsia="Arial" w:hAnsi="Arial"/>
                  <w:sz w:val="18"/>
                  <w:szCs w:val="18"/>
                  <w:color w:val="0000EE"/>
                </w:rPr>
                <w:t>Second Amended and Restated Certificate of Incorporation of</w:t>
              </w:r>
            </w:hyperlink>
          </w:p>
        </w:tc>
        <w:tc>
          <w:tcPr>
            <w:tcW w:w="2000" w:type="dxa"/>
            <w:vAlign w:val="bottom"/>
            <w:gridSpan w:val="2"/>
          </w:tcPr>
          <w:p>
            <w:pPr>
              <w:spacing w:after="0"/>
              <w:rPr>
                <w:rFonts w:ascii="Arial" w:cs="Arial" w:eastAsia="Arial" w:hAnsi="Arial"/>
                <w:sz w:val="18"/>
                <w:szCs w:val="18"/>
                <w:color w:val="0000EE"/>
              </w:rPr>
            </w:pPr>
            <w:hyperlink r:id="rId24">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4">
              <w:r>
                <w:rPr>
                  <w:rFonts w:ascii="Arial" w:cs="Arial" w:eastAsia="Arial" w:hAnsi="Arial"/>
                  <w:sz w:val="18"/>
                  <w:szCs w:val="18"/>
                  <w:color w:val="0000EE"/>
                </w:rPr>
                <w:t>8-K</w:t>
              </w:r>
            </w:hyperlink>
          </w:p>
        </w:tc>
        <w:tc>
          <w:tcPr>
            <w:tcW w:w="1320" w:type="dxa"/>
            <w:vAlign w:val="bottom"/>
            <w:gridSpan w:val="5"/>
          </w:tcPr>
          <w:p>
            <w:pPr>
              <w:jc w:val="center"/>
              <w:ind w:right="260"/>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July 31, 2018</w:t>
              </w:r>
            </w:hyperlink>
          </w:p>
        </w:tc>
      </w:tr>
      <w:tr>
        <w:trPr>
          <w:trHeight w:val="196"/>
        </w:trPr>
        <w:tc>
          <w:tcPr>
            <w:tcW w:w="3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24">
              <w:r>
                <w:rPr>
                  <w:rFonts w:ascii="Arial" w:cs="Arial" w:eastAsia="Arial" w:hAnsi="Arial"/>
                  <w:sz w:val="18"/>
                  <w:szCs w:val="18"/>
                  <w:color w:val="0000EE"/>
                  <w:w w:val="93"/>
                </w:rPr>
                <w:t>Priority Technology Holdings, Inc.</w:t>
              </w:r>
            </w:hyperlink>
          </w:p>
        </w:tc>
        <w:tc>
          <w:tcPr>
            <w:tcW w:w="1940" w:type="dxa"/>
            <w:vAlign w:val="bottom"/>
            <w:tcBorders>
              <w:top w:val="single" w:sz="8" w:color="0000EE"/>
            </w:tcBorders>
            <w:gridSpan w:val="3"/>
          </w:tcPr>
          <w:p>
            <w:pPr>
              <w:spacing w:after="0"/>
              <w:rPr>
                <w:sz w:val="17"/>
                <w:szCs w:val="17"/>
                <w:color w:val="auto"/>
              </w:rPr>
            </w:pPr>
          </w:p>
        </w:tc>
        <w:tc>
          <w:tcPr>
            <w:tcW w:w="1120" w:type="dxa"/>
            <w:vAlign w:val="bottom"/>
            <w:gridSpan w:val="5"/>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318"/>
        </w:trPr>
        <w:tc>
          <w:tcPr>
            <w:tcW w:w="480" w:type="dxa"/>
            <w:vAlign w:val="bottom"/>
            <w:gridSpan w:val="3"/>
          </w:tcPr>
          <w:p>
            <w:pPr>
              <w:spacing w:after="0"/>
              <w:rPr>
                <w:rFonts w:ascii="Arial" w:cs="Arial" w:eastAsia="Arial" w:hAnsi="Arial"/>
                <w:sz w:val="18"/>
                <w:szCs w:val="18"/>
                <w:color w:val="0000EE"/>
              </w:rPr>
            </w:pPr>
            <w:hyperlink r:id="rId25">
              <w:r>
                <w:rPr>
                  <w:rFonts w:ascii="Arial" w:cs="Arial" w:eastAsia="Arial" w:hAnsi="Arial"/>
                  <w:sz w:val="18"/>
                  <w:szCs w:val="18"/>
                  <w:color w:val="0000EE"/>
                </w:rPr>
                <w:t>(d)(ii)</w:t>
              </w:r>
            </w:hyperlink>
          </w:p>
        </w:tc>
        <w:tc>
          <w:tcPr>
            <w:tcW w:w="1000" w:type="dxa"/>
            <w:vAlign w:val="bottom"/>
          </w:tcPr>
          <w:p>
            <w:pPr>
              <w:spacing w:after="0"/>
              <w:rPr>
                <w:sz w:val="24"/>
                <w:szCs w:val="24"/>
                <w:color w:val="auto"/>
              </w:rPr>
            </w:pPr>
          </w:p>
        </w:tc>
        <w:tc>
          <w:tcPr>
            <w:tcW w:w="5580" w:type="dxa"/>
            <w:vAlign w:val="bottom"/>
            <w:gridSpan w:val="10"/>
          </w:tcPr>
          <w:p>
            <w:pPr>
              <w:spacing w:after="0"/>
              <w:rPr>
                <w:rFonts w:ascii="Arial" w:cs="Arial" w:eastAsia="Arial" w:hAnsi="Arial"/>
                <w:sz w:val="18"/>
                <w:szCs w:val="18"/>
                <w:color w:val="0000EE"/>
              </w:rPr>
            </w:pPr>
            <w:hyperlink r:id="rId25">
              <w:r>
                <w:rPr>
                  <w:rFonts w:ascii="Arial" w:cs="Arial" w:eastAsia="Arial" w:hAnsi="Arial"/>
                  <w:sz w:val="18"/>
                  <w:szCs w:val="18"/>
                  <w:color w:val="0000EE"/>
                </w:rPr>
                <w:t>Amended and Restated Bylaws of Priority Technology Holdings,</w:t>
              </w:r>
            </w:hyperlink>
          </w:p>
        </w:tc>
        <w:tc>
          <w:tcPr>
            <w:tcW w:w="2000" w:type="dxa"/>
            <w:vAlign w:val="bottom"/>
            <w:gridSpan w:val="2"/>
          </w:tcPr>
          <w:p>
            <w:pPr>
              <w:spacing w:after="0"/>
              <w:rPr>
                <w:rFonts w:ascii="Arial" w:cs="Arial" w:eastAsia="Arial" w:hAnsi="Arial"/>
                <w:sz w:val="18"/>
                <w:szCs w:val="18"/>
                <w:color w:val="0000EE"/>
              </w:rPr>
            </w:pPr>
            <w:hyperlink r:id="rId25">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5">
              <w:r>
                <w:rPr>
                  <w:rFonts w:ascii="Arial" w:cs="Arial" w:eastAsia="Arial" w:hAnsi="Arial"/>
                  <w:sz w:val="18"/>
                  <w:szCs w:val="18"/>
                  <w:color w:val="0000EE"/>
                </w:rPr>
                <w:t>8-K</w:t>
              </w:r>
            </w:hyperlink>
          </w:p>
        </w:tc>
        <w:tc>
          <w:tcPr>
            <w:tcW w:w="1320" w:type="dxa"/>
            <w:vAlign w:val="bottom"/>
            <w:gridSpan w:val="5"/>
          </w:tcPr>
          <w:p>
            <w:pPr>
              <w:jc w:val="center"/>
              <w:ind w:right="260"/>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July 31, 2018</w:t>
              </w:r>
            </w:hyperlink>
          </w:p>
        </w:tc>
      </w:tr>
      <w:tr>
        <w:trPr>
          <w:trHeight w:val="196"/>
        </w:trPr>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25">
              <w:r>
                <w:rPr>
                  <w:rFonts w:ascii="Arial" w:cs="Arial" w:eastAsia="Arial" w:hAnsi="Arial"/>
                  <w:sz w:val="18"/>
                  <w:szCs w:val="18"/>
                  <w:color w:val="0000EE"/>
                  <w:w w:val="89"/>
                </w:rPr>
                <w:t>Inc.</w:t>
              </w:r>
            </w:hyperlink>
          </w:p>
        </w:tc>
        <w:tc>
          <w:tcPr>
            <w:tcW w:w="4400" w:type="dxa"/>
            <w:vAlign w:val="bottom"/>
            <w:tcBorders>
              <w:top w:val="single" w:sz="8" w:color="0000EE"/>
            </w:tcBorders>
            <w:gridSpan w:val="7"/>
          </w:tcPr>
          <w:p>
            <w:pPr>
              <w:spacing w:after="0"/>
              <w:rPr>
                <w:sz w:val="17"/>
                <w:szCs w:val="17"/>
                <w:color w:val="auto"/>
              </w:rPr>
            </w:pPr>
          </w:p>
        </w:tc>
        <w:tc>
          <w:tcPr>
            <w:tcW w:w="900" w:type="dxa"/>
            <w:vAlign w:val="bottom"/>
            <w:gridSpan w:val="2"/>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318"/>
        </w:trPr>
        <w:tc>
          <w:tcPr>
            <w:tcW w:w="1480" w:type="dxa"/>
            <w:vAlign w:val="bottom"/>
            <w:gridSpan w:val="4"/>
          </w:tcPr>
          <w:p>
            <w:pPr>
              <w:spacing w:after="0"/>
              <w:rPr>
                <w:rFonts w:ascii="Arial" w:cs="Arial" w:eastAsia="Arial" w:hAnsi="Arial"/>
                <w:sz w:val="18"/>
                <w:szCs w:val="18"/>
                <w:color w:val="0000EE"/>
              </w:rPr>
            </w:pPr>
            <w:hyperlink r:id="rId26">
              <w:r>
                <w:rPr>
                  <w:rFonts w:ascii="Arial" w:cs="Arial" w:eastAsia="Arial" w:hAnsi="Arial"/>
                  <w:sz w:val="18"/>
                  <w:szCs w:val="18"/>
                  <w:color w:val="0000EE"/>
                </w:rPr>
                <w:t>(d)(iii)</w:t>
              </w:r>
            </w:hyperlink>
          </w:p>
        </w:tc>
        <w:tc>
          <w:tcPr>
            <w:tcW w:w="5580" w:type="dxa"/>
            <w:vAlign w:val="bottom"/>
            <w:gridSpan w:val="10"/>
          </w:tcPr>
          <w:p>
            <w:pPr>
              <w:spacing w:after="0"/>
              <w:rPr>
                <w:rFonts w:ascii="Arial" w:cs="Arial" w:eastAsia="Arial" w:hAnsi="Arial"/>
                <w:sz w:val="18"/>
                <w:szCs w:val="18"/>
                <w:color w:val="0000EE"/>
              </w:rPr>
            </w:pPr>
            <w:hyperlink r:id="rId26">
              <w:r>
                <w:rPr>
                  <w:rFonts w:ascii="Arial" w:cs="Arial" w:eastAsia="Arial" w:hAnsi="Arial"/>
                  <w:sz w:val="18"/>
                  <w:szCs w:val="18"/>
                  <w:color w:val="0000EE"/>
                </w:rPr>
                <w:t>Warrant Agreement, dated September 13, 2016, by and between</w:t>
              </w:r>
            </w:hyperlink>
          </w:p>
        </w:tc>
        <w:tc>
          <w:tcPr>
            <w:tcW w:w="2000" w:type="dxa"/>
            <w:vAlign w:val="bottom"/>
            <w:gridSpan w:val="2"/>
          </w:tcPr>
          <w:p>
            <w:pPr>
              <w:spacing w:after="0"/>
              <w:rPr>
                <w:rFonts w:ascii="Arial" w:cs="Arial" w:eastAsia="Arial" w:hAnsi="Arial"/>
                <w:sz w:val="18"/>
                <w:szCs w:val="18"/>
                <w:color w:val="0000EE"/>
              </w:rPr>
            </w:pPr>
            <w:hyperlink r:id="rId26">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6">
              <w:r>
                <w:rPr>
                  <w:rFonts w:ascii="Arial" w:cs="Arial" w:eastAsia="Arial" w:hAnsi="Arial"/>
                  <w:sz w:val="18"/>
                  <w:szCs w:val="18"/>
                  <w:color w:val="0000EE"/>
                </w:rPr>
                <w:t>8-K</w:t>
              </w:r>
            </w:hyperlink>
          </w:p>
        </w:tc>
        <w:tc>
          <w:tcPr>
            <w:tcW w:w="1320" w:type="dxa"/>
            <w:vAlign w:val="bottom"/>
            <w:gridSpan w:val="5"/>
          </w:tcPr>
          <w:p>
            <w:pPr>
              <w:jc w:val="center"/>
              <w:ind w:right="280"/>
              <w:spacing w:after="0"/>
              <w:rPr>
                <w:rFonts w:ascii="Arial" w:cs="Arial" w:eastAsia="Arial" w:hAnsi="Arial"/>
                <w:sz w:val="18"/>
                <w:szCs w:val="18"/>
                <w:color w:val="0000EE"/>
                <w:w w:val="88"/>
              </w:rPr>
            </w:pPr>
            <w:hyperlink r:id="rId26">
              <w:r>
                <w:rPr>
                  <w:rFonts w:ascii="Arial" w:cs="Arial" w:eastAsia="Arial" w:hAnsi="Arial"/>
                  <w:sz w:val="18"/>
                  <w:szCs w:val="18"/>
                  <w:color w:val="0000EE"/>
                  <w:w w:val="88"/>
                </w:rPr>
                <w:t>September 16,</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40" w:type="dxa"/>
            <w:vAlign w:val="bottom"/>
            <w:gridSpan w:val="9"/>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American Stock Transfer &amp; Trust Company, LLC and the Registrant</w:t>
              </w:r>
            </w:hyperlink>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680" w:type="dxa"/>
            <w:vAlign w:val="bottom"/>
            <w:gridSpan w:val="2"/>
          </w:tcPr>
          <w:p>
            <w:pPr>
              <w:jc w:val="center"/>
              <w:ind w:right="320"/>
              <w:spacing w:after="0" w:line="196" w:lineRule="exact"/>
              <w:rPr>
                <w:rFonts w:ascii="Arial" w:cs="Arial" w:eastAsia="Arial" w:hAnsi="Arial"/>
                <w:sz w:val="18"/>
                <w:szCs w:val="18"/>
                <w:color w:val="0000EE"/>
                <w:w w:val="89"/>
              </w:rPr>
            </w:pPr>
            <w:hyperlink r:id="rId26">
              <w:r>
                <w:rPr>
                  <w:rFonts w:ascii="Arial" w:cs="Arial" w:eastAsia="Arial" w:hAnsi="Arial"/>
                  <w:sz w:val="18"/>
                  <w:szCs w:val="18"/>
                  <w:color w:val="0000EE"/>
                  <w:w w:val="89"/>
                </w:rPr>
                <w:t>2016</w:t>
              </w:r>
            </w:hyperlink>
          </w:p>
        </w:tc>
        <w:tc>
          <w:tcPr>
            <w:tcW w:w="30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8"/>
        </w:trPr>
        <w:tc>
          <w:tcPr>
            <w:tcW w:w="480" w:type="dxa"/>
            <w:vAlign w:val="bottom"/>
            <w:gridSpan w:val="3"/>
          </w:tcPr>
          <w:p>
            <w:pPr>
              <w:spacing w:after="0"/>
              <w:rPr>
                <w:rFonts w:ascii="Arial" w:cs="Arial" w:eastAsia="Arial" w:hAnsi="Arial"/>
                <w:sz w:val="18"/>
                <w:szCs w:val="18"/>
                <w:color w:val="0000EE"/>
                <w:w w:val="93"/>
              </w:rPr>
            </w:pPr>
            <w:hyperlink r:id="rId27">
              <w:r>
                <w:rPr>
                  <w:rFonts w:ascii="Arial" w:cs="Arial" w:eastAsia="Arial" w:hAnsi="Arial"/>
                  <w:sz w:val="18"/>
                  <w:szCs w:val="18"/>
                  <w:color w:val="0000EE"/>
                  <w:w w:val="93"/>
                </w:rPr>
                <w:t>(d)(iv)</w:t>
              </w:r>
            </w:hyperlink>
          </w:p>
        </w:tc>
        <w:tc>
          <w:tcPr>
            <w:tcW w:w="1000" w:type="dxa"/>
            <w:vAlign w:val="bottom"/>
          </w:tcPr>
          <w:p>
            <w:pPr>
              <w:spacing w:after="0"/>
              <w:rPr>
                <w:sz w:val="24"/>
                <w:szCs w:val="24"/>
                <w:color w:val="auto"/>
              </w:rPr>
            </w:pPr>
          </w:p>
        </w:tc>
        <w:tc>
          <w:tcPr>
            <w:tcW w:w="4620" w:type="dxa"/>
            <w:vAlign w:val="bottom"/>
            <w:gridSpan w:val="6"/>
          </w:tcPr>
          <w:p>
            <w:pPr>
              <w:spacing w:after="0"/>
              <w:rPr>
                <w:rFonts w:ascii="Arial" w:cs="Arial" w:eastAsia="Arial" w:hAnsi="Arial"/>
                <w:sz w:val="18"/>
                <w:szCs w:val="18"/>
                <w:color w:val="0000EE"/>
                <w:w w:val="90"/>
              </w:rPr>
            </w:pPr>
            <w:hyperlink r:id="rId27">
              <w:r>
                <w:rPr>
                  <w:rFonts w:ascii="Arial" w:cs="Arial" w:eastAsia="Arial" w:hAnsi="Arial"/>
                  <w:sz w:val="18"/>
                  <w:szCs w:val="18"/>
                  <w:color w:val="0000EE"/>
                  <w:w w:val="90"/>
                </w:rPr>
                <w:t>Registration Rights Agreement dated as of July 25, 2018 by and</w:t>
              </w:r>
            </w:hyperlink>
          </w:p>
        </w:tc>
        <w:tc>
          <w:tcPr>
            <w:tcW w:w="3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gridSpan w:val="2"/>
          </w:tcPr>
          <w:p>
            <w:pPr>
              <w:spacing w:after="0"/>
              <w:rPr>
                <w:rFonts w:ascii="Arial" w:cs="Arial" w:eastAsia="Arial" w:hAnsi="Arial"/>
                <w:sz w:val="18"/>
                <w:szCs w:val="18"/>
                <w:color w:val="0000EE"/>
              </w:rPr>
            </w:pPr>
            <w:hyperlink r:id="rId27">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7">
              <w:r>
                <w:rPr>
                  <w:rFonts w:ascii="Arial" w:cs="Arial" w:eastAsia="Arial" w:hAnsi="Arial"/>
                  <w:sz w:val="18"/>
                  <w:szCs w:val="18"/>
                  <w:color w:val="0000EE"/>
                </w:rPr>
                <w:t>8-K</w:t>
              </w:r>
            </w:hyperlink>
          </w:p>
        </w:tc>
        <w:tc>
          <w:tcPr>
            <w:tcW w:w="1320" w:type="dxa"/>
            <w:vAlign w:val="bottom"/>
            <w:gridSpan w:val="5"/>
          </w:tcPr>
          <w:p>
            <w:pPr>
              <w:jc w:val="center"/>
              <w:ind w:right="260"/>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July 31, 2018</w:t>
              </w:r>
            </w:hyperlink>
          </w:p>
        </w:tc>
      </w:tr>
      <w:tr>
        <w:trPr>
          <w:trHeight w:val="196"/>
        </w:trPr>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among M I Acquisitions, Inc. and the other parties thereto</w:t>
              </w:r>
            </w:hyperlink>
          </w:p>
        </w:tc>
        <w:tc>
          <w:tcPr>
            <w:tcW w:w="440" w:type="dxa"/>
            <w:vAlign w:val="bottom"/>
            <w:tcBorders>
              <w:top w:val="single" w:sz="8" w:color="0000EE"/>
            </w:tcBorders>
            <w:gridSpan w:val="3"/>
          </w:tcPr>
          <w:p>
            <w:pPr>
              <w:spacing w:after="0"/>
              <w:rPr>
                <w:sz w:val="17"/>
                <w:szCs w:val="17"/>
                <w:color w:val="auto"/>
              </w:rPr>
            </w:pPr>
          </w:p>
        </w:tc>
        <w:tc>
          <w:tcPr>
            <w:tcW w:w="960" w:type="dxa"/>
            <w:vAlign w:val="bottom"/>
            <w:gridSpan w:val="4"/>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318"/>
        </w:trPr>
        <w:tc>
          <w:tcPr>
            <w:tcW w:w="1480" w:type="dxa"/>
            <w:vAlign w:val="bottom"/>
            <w:gridSpan w:val="4"/>
          </w:tcPr>
          <w:p>
            <w:pPr>
              <w:spacing w:after="0"/>
              <w:rPr>
                <w:rFonts w:ascii="Arial" w:cs="Arial" w:eastAsia="Arial" w:hAnsi="Arial"/>
                <w:sz w:val="18"/>
                <w:szCs w:val="18"/>
                <w:color w:val="0000EE"/>
              </w:rPr>
            </w:pPr>
            <w:hyperlink r:id="rId28">
              <w:r>
                <w:rPr>
                  <w:rFonts w:ascii="Arial" w:cs="Arial" w:eastAsia="Arial" w:hAnsi="Arial"/>
                  <w:sz w:val="18"/>
                  <w:szCs w:val="18"/>
                  <w:color w:val="0000EE"/>
                </w:rPr>
                <w:t>(d)(v)</w:t>
              </w:r>
            </w:hyperlink>
          </w:p>
        </w:tc>
        <w:tc>
          <w:tcPr>
            <w:tcW w:w="5580" w:type="dxa"/>
            <w:vAlign w:val="bottom"/>
            <w:gridSpan w:val="10"/>
          </w:tcPr>
          <w:p>
            <w:pPr>
              <w:spacing w:after="0"/>
              <w:rPr>
                <w:rFonts w:ascii="Arial" w:cs="Arial" w:eastAsia="Arial" w:hAnsi="Arial"/>
                <w:sz w:val="18"/>
                <w:szCs w:val="18"/>
                <w:color w:val="0000EE"/>
              </w:rPr>
            </w:pPr>
            <w:hyperlink r:id="rId28">
              <w:r>
                <w:rPr>
                  <w:rFonts w:ascii="Arial" w:cs="Arial" w:eastAsia="Arial" w:hAnsi="Arial"/>
                  <w:sz w:val="18"/>
                  <w:szCs w:val="18"/>
                  <w:color w:val="0000EE"/>
                </w:rPr>
                <w:t>Priority Technology Holdings, Inc. 2018 Equity Incentive Plan †</w:t>
              </w:r>
            </w:hyperlink>
          </w:p>
        </w:tc>
        <w:tc>
          <w:tcPr>
            <w:tcW w:w="2000" w:type="dxa"/>
            <w:vAlign w:val="bottom"/>
            <w:gridSpan w:val="2"/>
          </w:tcPr>
          <w:p>
            <w:pPr>
              <w:spacing w:after="0"/>
              <w:rPr>
                <w:rFonts w:ascii="Arial" w:cs="Arial" w:eastAsia="Arial" w:hAnsi="Arial"/>
                <w:sz w:val="18"/>
                <w:szCs w:val="18"/>
                <w:color w:val="0000EE"/>
              </w:rPr>
            </w:pPr>
            <w:hyperlink r:id="rId28">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8">
              <w:r>
                <w:rPr>
                  <w:rFonts w:ascii="Arial" w:cs="Arial" w:eastAsia="Arial" w:hAnsi="Arial"/>
                  <w:sz w:val="18"/>
                  <w:szCs w:val="18"/>
                  <w:color w:val="0000EE"/>
                </w:rPr>
                <w:t>8-K</w:t>
              </w:r>
            </w:hyperlink>
          </w:p>
        </w:tc>
        <w:tc>
          <w:tcPr>
            <w:tcW w:w="1320" w:type="dxa"/>
            <w:vAlign w:val="bottom"/>
            <w:gridSpan w:val="5"/>
          </w:tcPr>
          <w:p>
            <w:pPr>
              <w:jc w:val="center"/>
              <w:ind w:right="260"/>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July 31, 2018</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34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8"/>
        </w:trPr>
        <w:tc>
          <w:tcPr>
            <w:tcW w:w="1480" w:type="dxa"/>
            <w:vAlign w:val="bottom"/>
            <w:gridSpan w:val="4"/>
          </w:tcPr>
          <w:p>
            <w:pPr>
              <w:spacing w:after="0"/>
              <w:rPr>
                <w:rFonts w:ascii="Arial" w:cs="Arial" w:eastAsia="Arial" w:hAnsi="Arial"/>
                <w:sz w:val="18"/>
                <w:szCs w:val="18"/>
                <w:color w:val="0000EE"/>
              </w:rPr>
            </w:pPr>
            <w:hyperlink r:id="rId29">
              <w:r>
                <w:rPr>
                  <w:rFonts w:ascii="Arial" w:cs="Arial" w:eastAsia="Arial" w:hAnsi="Arial"/>
                  <w:sz w:val="18"/>
                  <w:szCs w:val="18"/>
                  <w:color w:val="0000EE"/>
                </w:rPr>
                <w:t>(d)(vi)</w:t>
              </w:r>
            </w:hyperlink>
          </w:p>
        </w:tc>
        <w:tc>
          <w:tcPr>
            <w:tcW w:w="5580" w:type="dxa"/>
            <w:vAlign w:val="bottom"/>
            <w:gridSpan w:val="10"/>
          </w:tcPr>
          <w:p>
            <w:pPr>
              <w:spacing w:after="0"/>
              <w:rPr>
                <w:rFonts w:ascii="Arial" w:cs="Arial" w:eastAsia="Arial" w:hAnsi="Arial"/>
                <w:sz w:val="18"/>
                <w:szCs w:val="18"/>
                <w:color w:val="0000EE"/>
              </w:rPr>
            </w:pPr>
            <w:hyperlink r:id="rId29">
              <w:r>
                <w:rPr>
                  <w:rFonts w:ascii="Arial" w:cs="Arial" w:eastAsia="Arial" w:hAnsi="Arial"/>
                  <w:sz w:val="18"/>
                  <w:szCs w:val="18"/>
                  <w:color w:val="0000EE"/>
                </w:rPr>
                <w:t>Priority Technology Holdings, Inc. Earnout Incentive Plan †</w:t>
              </w:r>
            </w:hyperlink>
          </w:p>
        </w:tc>
        <w:tc>
          <w:tcPr>
            <w:tcW w:w="2000" w:type="dxa"/>
            <w:vAlign w:val="bottom"/>
            <w:gridSpan w:val="2"/>
          </w:tcPr>
          <w:p>
            <w:pPr>
              <w:spacing w:after="0"/>
              <w:rPr>
                <w:rFonts w:ascii="Arial" w:cs="Arial" w:eastAsia="Arial" w:hAnsi="Arial"/>
                <w:sz w:val="18"/>
                <w:szCs w:val="18"/>
                <w:color w:val="0000EE"/>
              </w:rPr>
            </w:pPr>
            <w:hyperlink r:id="rId29">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9">
              <w:r>
                <w:rPr>
                  <w:rFonts w:ascii="Arial" w:cs="Arial" w:eastAsia="Arial" w:hAnsi="Arial"/>
                  <w:sz w:val="18"/>
                  <w:szCs w:val="18"/>
                  <w:color w:val="0000EE"/>
                </w:rPr>
                <w:t>8-K</w:t>
              </w:r>
            </w:hyperlink>
          </w:p>
        </w:tc>
        <w:tc>
          <w:tcPr>
            <w:tcW w:w="1320" w:type="dxa"/>
            <w:vAlign w:val="bottom"/>
            <w:gridSpan w:val="5"/>
          </w:tcPr>
          <w:p>
            <w:pPr>
              <w:jc w:val="center"/>
              <w:ind w:right="260"/>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July 31, 2018</w:t>
              </w:r>
            </w:hyperlink>
          </w:p>
        </w:tc>
      </w:tr>
      <w:tr>
        <w:trPr>
          <w:trHeight w:val="703"/>
        </w:trPr>
        <w:tc>
          <w:tcPr>
            <w:tcW w:w="3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340" w:type="dxa"/>
            <w:vAlign w:val="bottom"/>
            <w:tcBorders>
              <w:top w:val="single" w:sz="8" w:color="0000EE"/>
              <w:bottom w:val="single" w:sz="8" w:color="auto"/>
            </w:tcBorders>
            <w:gridSpan w:val="4"/>
          </w:tcPr>
          <w:p>
            <w:pPr>
              <w:ind w:left="418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15"/>
          </w:tcPr>
          <w:p>
            <w:pPr>
              <w:ind w:left="15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1"/>
              </w:rPr>
              <w:t>Included</w:t>
            </w:r>
          </w:p>
        </w:tc>
        <w:tc>
          <w:tcPr>
            <w:tcW w:w="200" w:type="dxa"/>
            <w:vAlign w:val="bottom"/>
          </w:tcPr>
          <w:p>
            <w:pPr>
              <w:spacing w:after="0"/>
              <w:rPr>
                <w:sz w:val="20"/>
                <w:szCs w:val="20"/>
                <w:color w:val="auto"/>
              </w:rPr>
            </w:pPr>
          </w:p>
        </w:tc>
        <w:tc>
          <w:tcPr>
            <w:tcW w:w="10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7"/>
              </w:rPr>
              <w:t>Form</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91"/>
              </w:rPr>
              <w:t>Filing Date</w:t>
            </w:r>
          </w:p>
        </w:tc>
      </w:tr>
      <w:tr>
        <w:trPr>
          <w:trHeight w:val="169"/>
        </w:trPr>
        <w:tc>
          <w:tcPr>
            <w:tcW w:w="20" w:type="dxa"/>
            <w:vAlign w:val="bottom"/>
          </w:tcPr>
          <w:p>
            <w:pPr>
              <w:spacing w:after="0"/>
              <w:rPr>
                <w:sz w:val="14"/>
                <w:szCs w:val="14"/>
                <w:color w:val="auto"/>
              </w:rPr>
            </w:pPr>
          </w:p>
        </w:tc>
        <w:tc>
          <w:tcPr>
            <w:tcW w:w="1280" w:type="dxa"/>
            <w:vAlign w:val="bottom"/>
            <w:gridSpan w:val="3"/>
          </w:tcPr>
          <w:p>
            <w:pPr>
              <w:spacing w:after="0" w:line="170" w:lineRule="exact"/>
              <w:rPr>
                <w:rFonts w:ascii="Arial" w:cs="Arial" w:eastAsia="Arial" w:hAnsi="Arial"/>
                <w:sz w:val="18"/>
                <w:szCs w:val="18"/>
                <w:color w:val="0000EE"/>
              </w:rPr>
            </w:pPr>
            <w:hyperlink r:id="rId30">
              <w:r>
                <w:rPr>
                  <w:rFonts w:ascii="Arial" w:cs="Arial" w:eastAsia="Arial" w:hAnsi="Arial"/>
                  <w:sz w:val="18"/>
                  <w:szCs w:val="18"/>
                  <w:color w:val="0000EE"/>
                </w:rPr>
                <w:t>(d)(vii)</w:t>
              </w:r>
            </w:hyperlink>
          </w:p>
        </w:tc>
        <w:tc>
          <w:tcPr>
            <w:tcW w:w="180" w:type="dxa"/>
            <w:vAlign w:val="bottom"/>
          </w:tcPr>
          <w:p>
            <w:pPr>
              <w:spacing w:after="0"/>
              <w:rPr>
                <w:sz w:val="14"/>
                <w:szCs w:val="14"/>
                <w:color w:val="auto"/>
              </w:rPr>
            </w:pPr>
          </w:p>
        </w:tc>
        <w:tc>
          <w:tcPr>
            <w:tcW w:w="4960" w:type="dxa"/>
            <w:vAlign w:val="bottom"/>
            <w:gridSpan w:val="17"/>
          </w:tcPr>
          <w:p>
            <w:pPr>
              <w:spacing w:after="0" w:line="170" w:lineRule="exact"/>
              <w:rPr>
                <w:rFonts w:ascii="Arial" w:cs="Arial" w:eastAsia="Arial" w:hAnsi="Arial"/>
                <w:sz w:val="18"/>
                <w:szCs w:val="18"/>
                <w:color w:val="0000EE"/>
                <w:w w:val="94"/>
              </w:rPr>
            </w:pPr>
            <w:hyperlink r:id="rId30">
              <w:r>
                <w:rPr>
                  <w:rFonts w:ascii="Arial" w:cs="Arial" w:eastAsia="Arial" w:hAnsi="Arial"/>
                  <w:sz w:val="18"/>
                  <w:szCs w:val="18"/>
                  <w:color w:val="0000EE"/>
                  <w:w w:val="94"/>
                </w:rPr>
                <w:t>Director Agreement by and among Priority Holdings LLC, Pipeline</w:t>
              </w:r>
            </w:hyperlink>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jc w:val="center"/>
              <w:ind w:right="440"/>
              <w:spacing w:after="0" w:line="170" w:lineRule="exact"/>
              <w:rPr>
                <w:rFonts w:ascii="Arial" w:cs="Arial" w:eastAsia="Arial" w:hAnsi="Arial"/>
                <w:sz w:val="18"/>
                <w:szCs w:val="18"/>
                <w:color w:val="0000EE"/>
                <w:w w:val="89"/>
              </w:rPr>
            </w:pPr>
            <w:hyperlink r:id="rId30">
              <w:r>
                <w:rPr>
                  <w:rFonts w:ascii="Arial" w:cs="Arial" w:eastAsia="Arial" w:hAnsi="Arial"/>
                  <w:sz w:val="18"/>
                  <w:szCs w:val="18"/>
                  <w:color w:val="0000EE"/>
                  <w:w w:val="89"/>
                </w:rPr>
                <w:t>By Reference</w:t>
              </w:r>
            </w:hyperlink>
          </w:p>
        </w:tc>
        <w:tc>
          <w:tcPr>
            <w:tcW w:w="200" w:type="dxa"/>
            <w:vAlign w:val="bottom"/>
          </w:tcPr>
          <w:p>
            <w:pPr>
              <w:spacing w:after="0"/>
              <w:rPr>
                <w:sz w:val="14"/>
                <w:szCs w:val="14"/>
                <w:color w:val="auto"/>
              </w:rPr>
            </w:pPr>
          </w:p>
        </w:tc>
        <w:tc>
          <w:tcPr>
            <w:tcW w:w="1060" w:type="dxa"/>
            <w:vAlign w:val="bottom"/>
            <w:gridSpan w:val="4"/>
          </w:tcPr>
          <w:p>
            <w:pPr>
              <w:jc w:val="center"/>
              <w:spacing w:after="0" w:line="170" w:lineRule="exact"/>
              <w:rPr>
                <w:rFonts w:ascii="Arial" w:cs="Arial" w:eastAsia="Arial" w:hAnsi="Arial"/>
                <w:sz w:val="18"/>
                <w:szCs w:val="18"/>
                <w:color w:val="0000EE"/>
                <w:w w:val="93"/>
              </w:rPr>
            </w:pPr>
            <w:hyperlink r:id="rId30">
              <w:r>
                <w:rPr>
                  <w:rFonts w:ascii="Arial" w:cs="Arial" w:eastAsia="Arial" w:hAnsi="Arial"/>
                  <w:sz w:val="18"/>
                  <w:szCs w:val="18"/>
                  <w:color w:val="0000EE"/>
                  <w:w w:val="93"/>
                </w:rPr>
                <w:t>S-4/A</w:t>
              </w:r>
            </w:hyperlink>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center"/>
              <w:ind w:right="200"/>
              <w:spacing w:after="0" w:line="170" w:lineRule="exact"/>
              <w:rPr>
                <w:rFonts w:ascii="Arial" w:cs="Arial" w:eastAsia="Arial" w:hAnsi="Arial"/>
                <w:sz w:val="18"/>
                <w:szCs w:val="18"/>
                <w:color w:val="0000EE"/>
                <w:w w:val="88"/>
              </w:rPr>
            </w:pPr>
            <w:hyperlink r:id="rId30">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30">
              <w:r>
                <w:rPr>
                  <w:rFonts w:ascii="Arial" w:cs="Arial" w:eastAsia="Arial" w:hAnsi="Arial"/>
                  <w:sz w:val="18"/>
                  <w:szCs w:val="18"/>
                  <w:color w:val="0000EE"/>
                  <w:w w:val="93"/>
                </w:rPr>
                <w:t>Cynergy Holdings, LLC, Priority Payment Systems Holdings, LLC</w:t>
              </w:r>
            </w:hyperlink>
          </w:p>
        </w:tc>
        <w:tc>
          <w:tcPr>
            <w:tcW w:w="20" w:type="dxa"/>
            <w:vAlign w:val="bottom"/>
            <w:tcBorders>
              <w:top w:val="single" w:sz="8" w:color="0000EE"/>
            </w:tcBorders>
          </w:tcPr>
          <w:p>
            <w:pPr>
              <w:spacing w:after="0"/>
              <w:rPr>
                <w:sz w:val="17"/>
                <w:szCs w:val="17"/>
                <w:color w:val="auto"/>
              </w:rPr>
            </w:pPr>
          </w:p>
        </w:tc>
        <w:tc>
          <w:tcPr>
            <w:tcW w:w="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gridSpan w:val="2"/>
          </w:tcPr>
          <w:p>
            <w:pPr>
              <w:jc w:val="center"/>
              <w:ind w:right="320"/>
              <w:spacing w:after="0" w:line="196" w:lineRule="exact"/>
              <w:rPr>
                <w:rFonts w:ascii="Arial" w:cs="Arial" w:eastAsia="Arial" w:hAnsi="Arial"/>
                <w:sz w:val="18"/>
                <w:szCs w:val="18"/>
                <w:color w:val="0000EE"/>
                <w:w w:val="89"/>
              </w:rPr>
            </w:pPr>
            <w:hyperlink r:id="rId30">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and Thomas C. Priore, dated May 21, 2014 †</w:t>
              </w:r>
            </w:hyperlink>
          </w:p>
        </w:tc>
        <w:tc>
          <w:tcPr>
            <w:tcW w:w="10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1">
              <w:r>
                <w:rPr>
                  <w:rFonts w:ascii="Arial" w:cs="Arial" w:eastAsia="Arial" w:hAnsi="Arial"/>
                  <w:sz w:val="18"/>
                  <w:szCs w:val="18"/>
                  <w:color w:val="0000EE"/>
                </w:rPr>
                <w:t>(d)(viii)</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w w:val="97"/>
              </w:rPr>
            </w:pPr>
            <w:hyperlink r:id="rId31">
              <w:r>
                <w:rPr>
                  <w:rFonts w:ascii="Arial" w:cs="Arial" w:eastAsia="Arial" w:hAnsi="Arial"/>
                  <w:sz w:val="18"/>
                  <w:szCs w:val="18"/>
                  <w:color w:val="0000EE"/>
                  <w:w w:val="97"/>
                </w:rPr>
                <w:t>Amendment No. 1 to Director Agreement by and among Priority</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060" w:type="dxa"/>
            <w:vAlign w:val="bottom"/>
            <w:gridSpan w:val="4"/>
          </w:tcPr>
          <w:p>
            <w:pPr>
              <w:jc w:val="center"/>
              <w:spacing w:after="0"/>
              <w:rPr>
                <w:rFonts w:ascii="Arial" w:cs="Arial" w:eastAsia="Arial" w:hAnsi="Arial"/>
                <w:sz w:val="18"/>
                <w:szCs w:val="18"/>
                <w:color w:val="0000EE"/>
                <w:w w:val="93"/>
              </w:rPr>
            </w:pPr>
            <w:hyperlink r:id="rId31">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1">
              <w:r>
                <w:rPr>
                  <w:rFonts w:ascii="Arial" w:cs="Arial" w:eastAsia="Arial" w:hAnsi="Arial"/>
                  <w:sz w:val="18"/>
                  <w:szCs w:val="18"/>
                  <w:color w:val="0000EE"/>
                  <w:w w:val="88"/>
                </w:rPr>
                <w:t>December 26,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11"/>
          </w:tcPr>
          <w:p>
            <w:pPr>
              <w:spacing w:after="0" w:line="196"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Holdings LLC, Pipeline Cynergy Holdings, LLC, Priority Payment</w:t>
              </w:r>
            </w:hyperlink>
          </w:p>
        </w:tc>
        <w:tc>
          <w:tcPr>
            <w:tcW w:w="12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3"/>
          </w:tcPr>
          <w:p>
            <w:pPr>
              <w:spacing w:after="0"/>
              <w:rPr>
                <w:sz w:val="17"/>
                <w:szCs w:val="17"/>
                <w:color w:val="auto"/>
              </w:rPr>
            </w:pPr>
          </w:p>
        </w:tc>
        <w:tc>
          <w:tcPr>
            <w:tcW w:w="680" w:type="dxa"/>
            <w:vAlign w:val="bottom"/>
            <w:gridSpan w:val="2"/>
          </w:tcPr>
          <w:p>
            <w:pPr>
              <w:jc w:val="center"/>
              <w:ind w:right="320"/>
              <w:spacing w:after="0" w:line="196" w:lineRule="exact"/>
              <w:rPr>
                <w:rFonts w:ascii="Arial" w:cs="Arial" w:eastAsia="Arial" w:hAnsi="Arial"/>
                <w:sz w:val="18"/>
                <w:szCs w:val="18"/>
                <w:color w:val="0000EE"/>
                <w:w w:val="89"/>
              </w:rPr>
            </w:pPr>
            <w:hyperlink r:id="rId31">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gridSpan w:val="17"/>
          </w:tcPr>
          <w:p>
            <w:pP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Systems Holdings, LLC and Thomas C. Priore, dated April 19, 2018</w:t>
              </w:r>
            </w:hyperlink>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r:id="rId31">
              <w:r>
                <w:rPr>
                  <w:rFonts w:ascii="Arial" w:cs="Arial" w:eastAsia="Arial" w:hAnsi="Arial"/>
                  <w:sz w:val="18"/>
                  <w:szCs w:val="18"/>
                  <w:color w:val="0000EE"/>
                  <w:w w:val="79"/>
                </w:rPr>
                <w:t>†</w:t>
              </w:r>
            </w:hyperlink>
          </w:p>
        </w:tc>
        <w:tc>
          <w:tcPr>
            <w:tcW w:w="484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2">
              <w:r>
                <w:rPr>
                  <w:rFonts w:ascii="Arial" w:cs="Arial" w:eastAsia="Arial" w:hAnsi="Arial"/>
                  <w:sz w:val="18"/>
                  <w:szCs w:val="18"/>
                  <w:color w:val="0000EE"/>
                </w:rPr>
                <w:t>(d)(ix)</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rPr>
            </w:pPr>
            <w:hyperlink r:id="rId32">
              <w:r>
                <w:rPr>
                  <w:rFonts w:ascii="Arial" w:cs="Arial" w:eastAsia="Arial" w:hAnsi="Arial"/>
                  <w:sz w:val="18"/>
                  <w:szCs w:val="18"/>
                  <w:color w:val="0000EE"/>
                </w:rPr>
                <w:t>Executive Employment Agreement between Priority Payment</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2">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400"/>
              <w:spacing w:after="0"/>
              <w:rPr>
                <w:rFonts w:ascii="Arial" w:cs="Arial" w:eastAsia="Arial" w:hAnsi="Arial"/>
                <w:sz w:val="18"/>
                <w:szCs w:val="18"/>
                <w:color w:val="0000EE"/>
                <w:w w:val="99"/>
              </w:rPr>
            </w:pPr>
            <w:hyperlink r:id="rId32">
              <w:r>
                <w:rPr>
                  <w:rFonts w:ascii="Arial" w:cs="Arial" w:eastAsia="Arial" w:hAnsi="Arial"/>
                  <w:sz w:val="18"/>
                  <w:szCs w:val="18"/>
                  <w:color w:val="0000EE"/>
                  <w:w w:val="99"/>
                </w:rPr>
                <w:t>8-K</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2">
              <w:r>
                <w:rPr>
                  <w:rFonts w:ascii="Arial" w:cs="Arial" w:eastAsia="Arial" w:hAnsi="Arial"/>
                  <w:sz w:val="18"/>
                  <w:szCs w:val="18"/>
                  <w:color w:val="0000EE"/>
                  <w:w w:val="88"/>
                </w:rPr>
                <w:t>December 26,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gridSpan w:val="17"/>
          </w:tcPr>
          <w:p>
            <w:pPr>
              <w:spacing w:after="0" w:line="196" w:lineRule="exact"/>
              <w:rPr>
                <w:rFonts w:ascii="Arial" w:cs="Arial" w:eastAsia="Arial" w:hAnsi="Arial"/>
                <w:sz w:val="18"/>
                <w:szCs w:val="18"/>
                <w:color w:val="0000EE"/>
                <w:w w:val="96"/>
              </w:rPr>
            </w:pPr>
            <w:hyperlink r:id="rId32">
              <w:r>
                <w:rPr>
                  <w:rFonts w:ascii="Arial" w:cs="Arial" w:eastAsia="Arial" w:hAnsi="Arial"/>
                  <w:sz w:val="18"/>
                  <w:szCs w:val="18"/>
                  <w:color w:val="0000EE"/>
                  <w:w w:val="96"/>
                </w:rPr>
                <w:t>Systems Holdings LLC, Pipeline Cynergy Holdings, LLC, Priority</w:t>
              </w:r>
            </w:hyperlink>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5"/>
          </w:tcPr>
          <w:p>
            <w:pPr>
              <w:jc w:val="center"/>
              <w:ind w:left="290"/>
              <w:spacing w:after="0" w:line="196" w:lineRule="exact"/>
              <w:rPr>
                <w:rFonts w:ascii="Arial" w:cs="Arial" w:eastAsia="Arial" w:hAnsi="Arial"/>
                <w:sz w:val="18"/>
                <w:szCs w:val="18"/>
                <w:color w:val="0000EE"/>
                <w:w w:val="89"/>
              </w:rPr>
            </w:pPr>
            <w:hyperlink r:id="rId32">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Holdings, LLC and John V. Priore, dated May 21, 2014 †</w:t>
              </w:r>
            </w:hyperlink>
          </w:p>
        </w:tc>
        <w:tc>
          <w:tcPr>
            <w:tcW w:w="12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3">
              <w:r>
                <w:rPr>
                  <w:rFonts w:ascii="Arial" w:cs="Arial" w:eastAsia="Arial" w:hAnsi="Arial"/>
                  <w:sz w:val="18"/>
                  <w:szCs w:val="18"/>
                  <w:color w:val="0000EE"/>
                </w:rPr>
                <w:t>(d)(x)</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w w:val="92"/>
              </w:rPr>
            </w:pPr>
            <w:hyperlink r:id="rId33">
              <w:r>
                <w:rPr>
                  <w:rFonts w:ascii="Arial" w:cs="Arial" w:eastAsia="Arial" w:hAnsi="Arial"/>
                  <w:sz w:val="18"/>
                  <w:szCs w:val="18"/>
                  <w:color w:val="0000EE"/>
                  <w:w w:val="92"/>
                </w:rPr>
                <w:t>Amendment to Executive Employment Agreement between Priority</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400"/>
              <w:spacing w:after="0"/>
              <w:rPr>
                <w:rFonts w:ascii="Arial" w:cs="Arial" w:eastAsia="Arial" w:hAnsi="Arial"/>
                <w:sz w:val="18"/>
                <w:szCs w:val="18"/>
                <w:color w:val="0000EE"/>
                <w:w w:val="99"/>
              </w:rPr>
            </w:pPr>
            <w:hyperlink r:id="rId33">
              <w:r>
                <w:rPr>
                  <w:rFonts w:ascii="Arial" w:cs="Arial" w:eastAsia="Arial" w:hAnsi="Arial"/>
                  <w:sz w:val="18"/>
                  <w:szCs w:val="18"/>
                  <w:color w:val="0000EE"/>
                  <w:w w:val="99"/>
                </w:rPr>
                <w:t>8-K</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3">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top w:val="single" w:sz="8" w:color="0000EE"/>
            </w:tcBorders>
            <w:gridSpan w:val="14"/>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Payment Systems Holdings LLC, Pipeline Cynergy Holdings, LLC,</w:t>
              </w:r>
            </w:hyperlink>
          </w:p>
        </w:tc>
        <w:tc>
          <w:tcPr>
            <w:tcW w:w="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0" w:type="dxa"/>
            <w:vAlign w:val="bottom"/>
            <w:tcBorders>
              <w:top w:val="single" w:sz="8" w:color="0000EE"/>
            </w:tcBorders>
            <w:gridSpan w:val="3"/>
          </w:tcPr>
          <w:p>
            <w:pPr>
              <w:jc w:val="center"/>
              <w:spacing w:after="0" w:line="196" w:lineRule="exact"/>
              <w:rPr>
                <w:rFonts w:ascii="Arial" w:cs="Arial" w:eastAsia="Arial" w:hAnsi="Arial"/>
                <w:sz w:val="18"/>
                <w:szCs w:val="18"/>
                <w:color w:val="0000EE"/>
                <w:w w:val="89"/>
              </w:rPr>
            </w:pPr>
            <w:hyperlink r:id="rId33">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Priority Holdings, LLC and John V. Priore, dated November 13,</w:t>
              </w:r>
            </w:hyperlink>
          </w:p>
        </w:tc>
        <w:tc>
          <w:tcPr>
            <w:tcW w:w="200" w:type="dxa"/>
            <w:vAlign w:val="bottom"/>
            <w:tcBorders>
              <w:top w:val="single" w:sz="8" w:color="0000EE"/>
            </w:tcBorders>
            <w:gridSpan w:val="4"/>
          </w:tcPr>
          <w:p>
            <w:pPr>
              <w:spacing w:after="0"/>
              <w:rPr>
                <w:sz w:val="17"/>
                <w:szCs w:val="17"/>
                <w:color w:val="auto"/>
              </w:rPr>
            </w:pPr>
          </w:p>
        </w:tc>
        <w:tc>
          <w:tcPr>
            <w:tcW w:w="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33">
              <w:r>
                <w:rPr>
                  <w:rFonts w:ascii="Arial" w:cs="Arial" w:eastAsia="Arial" w:hAnsi="Arial"/>
                  <w:sz w:val="18"/>
                  <w:szCs w:val="18"/>
                  <w:color w:val="0000EE"/>
                  <w:w w:val="87"/>
                </w:rPr>
                <w:t>2018 †</w:t>
              </w:r>
            </w:hyperlink>
          </w:p>
        </w:tc>
        <w:tc>
          <w:tcPr>
            <w:tcW w:w="446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4">
              <w:r>
                <w:rPr>
                  <w:rFonts w:ascii="Arial" w:cs="Arial" w:eastAsia="Arial" w:hAnsi="Arial"/>
                  <w:sz w:val="18"/>
                  <w:szCs w:val="18"/>
                  <w:color w:val="0000EE"/>
                </w:rPr>
                <w:t>(d)(xi)</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w w:val="96"/>
              </w:rPr>
            </w:pPr>
            <w:hyperlink r:id="rId34">
              <w:r>
                <w:rPr>
                  <w:rFonts w:ascii="Arial" w:cs="Arial" w:eastAsia="Arial" w:hAnsi="Arial"/>
                  <w:sz w:val="18"/>
                  <w:szCs w:val="18"/>
                  <w:color w:val="0000EE"/>
                  <w:w w:val="96"/>
                </w:rPr>
                <w:t>Director Agreement by and among Priority Technology Holdings,</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400"/>
              <w:spacing w:after="0"/>
              <w:rPr>
                <w:rFonts w:ascii="Arial" w:cs="Arial" w:eastAsia="Arial" w:hAnsi="Arial"/>
                <w:sz w:val="18"/>
                <w:szCs w:val="18"/>
                <w:color w:val="0000EE"/>
                <w:w w:val="99"/>
              </w:rPr>
            </w:pPr>
            <w:hyperlink r:id="rId34">
              <w:r>
                <w:rPr>
                  <w:rFonts w:ascii="Arial" w:cs="Arial" w:eastAsia="Arial" w:hAnsi="Arial"/>
                  <w:sz w:val="18"/>
                  <w:szCs w:val="18"/>
                  <w:color w:val="0000EE"/>
                  <w:w w:val="99"/>
                </w:rPr>
                <w:t>8-K</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4">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Inc. and John V. Priore, dated December 1, 2018†</w:t>
              </w:r>
            </w:hyperlink>
          </w:p>
        </w:tc>
        <w:tc>
          <w:tcPr>
            <w:tcW w:w="22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0" w:type="dxa"/>
            <w:vAlign w:val="bottom"/>
            <w:tcBorders>
              <w:top w:val="single" w:sz="8" w:color="0000EE"/>
            </w:tcBorders>
            <w:gridSpan w:val="3"/>
          </w:tcPr>
          <w:p>
            <w:pPr>
              <w:jc w:val="center"/>
              <w:spacing w:after="0" w:line="196" w:lineRule="exact"/>
              <w:rPr>
                <w:rFonts w:ascii="Arial" w:cs="Arial" w:eastAsia="Arial" w:hAnsi="Arial"/>
                <w:sz w:val="18"/>
                <w:szCs w:val="18"/>
                <w:color w:val="0000EE"/>
                <w:w w:val="89"/>
              </w:rPr>
            </w:pPr>
            <w:hyperlink r:id="rId34">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20"/>
        </w:trPr>
        <w:tc>
          <w:tcPr>
            <w:tcW w:w="13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5">
              <w:r>
                <w:rPr>
                  <w:rFonts w:ascii="Arial" w:cs="Arial" w:eastAsia="Arial" w:hAnsi="Arial"/>
                  <w:sz w:val="18"/>
                  <w:szCs w:val="18"/>
                  <w:color w:val="0000EE"/>
                </w:rPr>
                <w:t>(d)(xii)</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rPr>
            </w:pPr>
            <w:hyperlink r:id="rId35">
              <w:r>
                <w:rPr>
                  <w:rFonts w:ascii="Arial" w:cs="Arial" w:eastAsia="Arial" w:hAnsi="Arial"/>
                  <w:sz w:val="18"/>
                  <w:szCs w:val="18"/>
                  <w:color w:val="0000EE"/>
                </w:rPr>
                <w:t>Employment Agreement between Priority Payment Systems</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5">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060" w:type="dxa"/>
            <w:vAlign w:val="bottom"/>
            <w:gridSpan w:val="4"/>
          </w:tcPr>
          <w:p>
            <w:pPr>
              <w:jc w:val="center"/>
              <w:spacing w:after="0"/>
              <w:rPr>
                <w:rFonts w:ascii="Arial" w:cs="Arial" w:eastAsia="Arial" w:hAnsi="Arial"/>
                <w:sz w:val="18"/>
                <w:szCs w:val="18"/>
                <w:color w:val="0000EE"/>
                <w:w w:val="93"/>
              </w:rPr>
            </w:pPr>
            <w:hyperlink r:id="rId35">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5">
              <w:r>
                <w:rPr>
                  <w:rFonts w:ascii="Arial" w:cs="Arial" w:eastAsia="Arial" w:hAnsi="Arial"/>
                  <w:sz w:val="18"/>
                  <w:szCs w:val="18"/>
                  <w:color w:val="0000EE"/>
                  <w:w w:val="88"/>
                </w:rPr>
                <w:t>December 26,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gridSpan w:val="15"/>
          </w:tcPr>
          <w:p>
            <w:pPr>
              <w:spacing w:after="0" w:line="196" w:lineRule="exact"/>
              <w:rPr>
                <w:rFonts w:ascii="Arial" w:cs="Arial" w:eastAsia="Arial" w:hAnsi="Arial"/>
                <w:sz w:val="18"/>
                <w:szCs w:val="18"/>
                <w:color w:val="0000EE"/>
                <w:w w:val="94"/>
              </w:rPr>
            </w:pPr>
            <w:hyperlink r:id="rId35">
              <w:r>
                <w:rPr>
                  <w:rFonts w:ascii="Arial" w:cs="Arial" w:eastAsia="Arial" w:hAnsi="Arial"/>
                  <w:sz w:val="18"/>
                  <w:szCs w:val="18"/>
                  <w:color w:val="0000EE"/>
                  <w:w w:val="94"/>
                </w:rPr>
                <w:t>Holdings LLC, Pipeline Cynergy Holdings, LLC, Priority Holdings,</w:t>
              </w:r>
            </w:hyperlink>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3"/>
          </w:tcPr>
          <w:p>
            <w:pPr>
              <w:spacing w:after="0"/>
              <w:rPr>
                <w:sz w:val="17"/>
                <w:szCs w:val="17"/>
                <w:color w:val="auto"/>
              </w:rPr>
            </w:pPr>
          </w:p>
        </w:tc>
        <w:tc>
          <w:tcPr>
            <w:tcW w:w="680" w:type="dxa"/>
            <w:vAlign w:val="bottom"/>
            <w:gridSpan w:val="2"/>
          </w:tcPr>
          <w:p>
            <w:pPr>
              <w:jc w:val="center"/>
              <w:ind w:right="320"/>
              <w:spacing w:after="0" w:line="196" w:lineRule="exact"/>
              <w:rPr>
                <w:rFonts w:ascii="Arial" w:cs="Arial" w:eastAsia="Arial" w:hAnsi="Arial"/>
                <w:sz w:val="18"/>
                <w:szCs w:val="18"/>
                <w:color w:val="0000EE"/>
                <w:w w:val="89"/>
              </w:rPr>
            </w:pPr>
            <w:hyperlink r:id="rId35">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LLC and Afshin Yazdian, dated May 21, 2014†</w:t>
              </w:r>
            </w:hyperlink>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3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6">
              <w:r>
                <w:rPr>
                  <w:rFonts w:ascii="Arial" w:cs="Arial" w:eastAsia="Arial" w:hAnsi="Arial"/>
                  <w:sz w:val="18"/>
                  <w:szCs w:val="18"/>
                  <w:color w:val="0000EE"/>
                </w:rPr>
                <w:t>(d)(xiii)</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w w:val="97"/>
              </w:rPr>
            </w:pPr>
            <w:hyperlink r:id="rId36">
              <w:r>
                <w:rPr>
                  <w:rFonts w:ascii="Arial" w:cs="Arial" w:eastAsia="Arial" w:hAnsi="Arial"/>
                  <w:sz w:val="18"/>
                  <w:szCs w:val="18"/>
                  <w:color w:val="0000EE"/>
                  <w:w w:val="97"/>
                </w:rPr>
                <w:t>Executive Employment Agreement between Priority Technology</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400"/>
              <w:spacing w:after="0"/>
              <w:rPr>
                <w:rFonts w:ascii="Arial" w:cs="Arial" w:eastAsia="Arial" w:hAnsi="Arial"/>
                <w:sz w:val="18"/>
                <w:szCs w:val="18"/>
                <w:color w:val="0000EE"/>
                <w:w w:val="99"/>
              </w:rPr>
            </w:pPr>
            <w:hyperlink r:id="rId36">
              <w:r>
                <w:rPr>
                  <w:rFonts w:ascii="Arial" w:cs="Arial" w:eastAsia="Arial" w:hAnsi="Arial"/>
                  <w:sz w:val="18"/>
                  <w:szCs w:val="18"/>
                  <w:color w:val="0000EE"/>
                  <w:w w:val="99"/>
                </w:rPr>
                <w:t>8-K</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6">
              <w:r>
                <w:rPr>
                  <w:rFonts w:ascii="Arial" w:cs="Arial" w:eastAsia="Arial" w:hAnsi="Arial"/>
                  <w:sz w:val="18"/>
                  <w:szCs w:val="18"/>
                  <w:color w:val="0000EE"/>
                  <w:w w:val="88"/>
                </w:rPr>
                <w:t>December 26,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80" w:type="dxa"/>
            <w:vAlign w:val="bottom"/>
            <w:tcBorders>
              <w:right w:val="single" w:sz="8" w:color="0000EE"/>
            </w:tcBorders>
            <w:gridSpan w:val="9"/>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gridSpan w:val="17"/>
          </w:tcPr>
          <w:p>
            <w:pPr>
              <w:spacing w:after="0" w:line="196" w:lineRule="exact"/>
              <w:rPr>
                <w:rFonts w:ascii="Arial" w:cs="Arial" w:eastAsia="Arial" w:hAnsi="Arial"/>
                <w:sz w:val="18"/>
                <w:szCs w:val="18"/>
                <w:color w:val="0000EE"/>
                <w:w w:val="93"/>
              </w:rPr>
            </w:pPr>
            <w:hyperlink r:id="rId36">
              <w:r>
                <w:rPr>
                  <w:rFonts w:ascii="Arial" w:cs="Arial" w:eastAsia="Arial" w:hAnsi="Arial"/>
                  <w:sz w:val="18"/>
                  <w:szCs w:val="18"/>
                  <w:color w:val="0000EE"/>
                  <w:w w:val="93"/>
                </w:rPr>
                <w:t>Holdings, Inc. and Michael Vollkommer, dated December 20, 2018</w:t>
              </w:r>
            </w:hyperlink>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5"/>
          </w:tcPr>
          <w:p>
            <w:pPr>
              <w:jc w:val="center"/>
              <w:ind w:left="290"/>
              <w:spacing w:after="0" w:line="196" w:lineRule="exact"/>
              <w:rPr>
                <w:rFonts w:ascii="Arial" w:cs="Arial" w:eastAsia="Arial" w:hAnsi="Arial"/>
                <w:sz w:val="18"/>
                <w:szCs w:val="18"/>
                <w:color w:val="0000EE"/>
                <w:w w:val="89"/>
              </w:rPr>
            </w:pPr>
            <w:hyperlink r:id="rId36">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r:id="rId36">
              <w:r>
                <w:rPr>
                  <w:rFonts w:ascii="Arial" w:cs="Arial" w:eastAsia="Arial" w:hAnsi="Arial"/>
                  <w:sz w:val="18"/>
                  <w:szCs w:val="18"/>
                  <w:color w:val="0000EE"/>
                  <w:w w:val="79"/>
                </w:rPr>
                <w:t>†</w:t>
              </w:r>
            </w:hyperlink>
          </w:p>
        </w:tc>
        <w:tc>
          <w:tcPr>
            <w:tcW w:w="4740" w:type="dxa"/>
            <w:vAlign w:val="bottom"/>
            <w:tcBorders>
              <w:top w:val="single" w:sz="8" w:color="0000EE"/>
            </w:tcBorders>
            <w:gridSpan w:val="10"/>
          </w:tcPr>
          <w:p>
            <w:pPr>
              <w:spacing w:after="0"/>
              <w:rPr>
                <w:sz w:val="17"/>
                <w:szCs w:val="17"/>
                <w:color w:val="auto"/>
              </w:rPr>
            </w:pPr>
          </w:p>
        </w:tc>
        <w:tc>
          <w:tcPr>
            <w:tcW w:w="12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58"/>
        </w:trPr>
        <w:tc>
          <w:tcPr>
            <w:tcW w:w="1300" w:type="dxa"/>
            <w:vAlign w:val="bottom"/>
            <w:gridSpan w:val="4"/>
          </w:tcPr>
          <w:p>
            <w:pPr>
              <w:spacing w:after="0"/>
              <w:rPr>
                <w:sz w:val="20"/>
                <w:szCs w:val="20"/>
                <w:color w:val="auto"/>
              </w:rPr>
            </w:pPr>
            <w:r>
              <w:rPr>
                <w:rFonts w:ascii="Arial" w:cs="Arial" w:eastAsia="Arial" w:hAnsi="Arial"/>
                <w:sz w:val="18"/>
                <w:szCs w:val="18"/>
                <w:color w:val="auto"/>
              </w:rPr>
              <w:t>(g)</w:t>
            </w:r>
          </w:p>
        </w:tc>
        <w:tc>
          <w:tcPr>
            <w:tcW w:w="180" w:type="dxa"/>
            <w:vAlign w:val="bottom"/>
          </w:tcPr>
          <w:p>
            <w:pPr>
              <w:spacing w:after="0"/>
              <w:rPr>
                <w:sz w:val="24"/>
                <w:szCs w:val="24"/>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w:t>
            </w:r>
          </w:p>
        </w:tc>
      </w:tr>
      <w:tr>
        <w:trPr>
          <w:trHeight w:val="338"/>
        </w:trPr>
        <w:tc>
          <w:tcPr>
            <w:tcW w:w="1300" w:type="dxa"/>
            <w:vAlign w:val="bottom"/>
            <w:gridSpan w:val="4"/>
          </w:tcPr>
          <w:p>
            <w:pPr>
              <w:spacing w:after="0"/>
              <w:rPr>
                <w:sz w:val="20"/>
                <w:szCs w:val="20"/>
                <w:color w:val="auto"/>
              </w:rPr>
            </w:pPr>
            <w:r>
              <w:rPr>
                <w:rFonts w:ascii="Arial" w:cs="Arial" w:eastAsia="Arial" w:hAnsi="Arial"/>
                <w:sz w:val="18"/>
                <w:szCs w:val="18"/>
                <w:color w:val="auto"/>
              </w:rPr>
              <w:t>(h)</w:t>
            </w:r>
          </w:p>
        </w:tc>
        <w:tc>
          <w:tcPr>
            <w:tcW w:w="180" w:type="dxa"/>
            <w:vAlign w:val="bottom"/>
          </w:tcPr>
          <w:p>
            <w:pPr>
              <w:spacing w:after="0"/>
              <w:rPr>
                <w:sz w:val="24"/>
                <w:szCs w:val="24"/>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60" w:right="4260" w:hanging="5652"/>
        <w:spacing w:after="0" w:line="653" w:lineRule="auto"/>
        <w:tabs>
          <w:tab w:leader="none" w:pos="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exhibits that constitute management contracts or compensatory plans or arrangements.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796" w:right="339" w:bottom="1440" w:gutter="0" w:footer="0" w:header="0"/>
        </w:sectPr>
      </w:pPr>
    </w:p>
    <w:bookmarkStart w:id="5" w:name="page6"/>
    <w:bookmarkEnd w:id="5"/>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Priority Technology Holdings,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C. Priore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2019</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00"/>
          </w:cols>
          <w:pgMar w:left="240" w:top="796"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99(a)(5)(D)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71513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17151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Priority Technology Holdings, Inc. (PRTH) Announces Effectiveness of Registration Statement For its Exchange Offer and Consent Solicitation Relating to its Outstanding Warrants</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Alpharetta, GA and New York, NY, February 11, 2019 – Priority Technology Holdings, Inc. (NASDAQ: PRTH) (“Priority” or the “Company”) today announces that its Registration Statement filed with the Securities and Exchange Commission (the “SEC”) registering shares of common stock issuable as part of Priority’s previously announced offer to exchange newly issued shares of its common stock for its currently outstanding warrants (the “Exchange Offer”), and a related consent solicitation (the “Consent Solicitation”), has become effective.</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Exchange Offer and Consent Solicitation will be open until 11:59 p.m., Eastern Standard Time, on February 12, 2019 (as the same may be further extended, the “Expiration Date”). Tendered warrants may be withdrawn by holders at any time prior to the Expiration Date. Priority’s obligation to complete the Exchange Offer and Consent Solicitation is not conditioned on the receipt of a minimum number of tendered warrants.</w:t>
      </w:r>
    </w:p>
    <w:p>
      <w:pPr>
        <w:spacing w:after="0" w:line="166"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Priority has engaged Cowen as the Dealer Manager for the Exchange Offer and Consent Solicitation. Any questions or requests for assistance concerning the Exchange Offer or the Consent Solicitation may be directed to Cowen at (833) 297-2926. D.F. King &amp; Co., Inc. has been appointed the Information Agent for the Exchange Offer and Consent Solicitation, and American Stock Transfer &amp; Trust Company, LLC has been appointed the Exchange Agent. Schulte Roth &amp; Zabel LLP is serving as legal counsel to Priority and Ellenoff Grossman &amp; Schole LLP is serving as legal counsel to Cowen.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Copies of the Schedule TO and Prospectus/Offer to Exchange will be available free of charge at the website of the SEC at www.sec.gov. Requests for documents may also be directed to Cowen at (833) 297-2926.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registration statement on Form S-4 relating to the securities to be issued in the Exchange Offer has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ind w:right="20"/>
        <w:spacing w:after="0" w:line="270" w:lineRule="auto"/>
        <w:rPr>
          <w:sz w:val="20"/>
          <w:szCs w:val="20"/>
          <w:color w:val="auto"/>
        </w:rPr>
      </w:pPr>
      <w:r>
        <w:rPr>
          <w:rFonts w:ascii="Arial" w:cs="Arial" w:eastAsia="Arial" w:hAnsi="Arial"/>
          <w:sz w:val="17"/>
          <w:szCs w:val="17"/>
          <w:color w:val="auto"/>
        </w:rPr>
        <w:t>This announcement is for informational purposes only and shall not constitute an offer to purchase or a solicitation of an offer to sell the Warrants or an offer to sell or a solicitation of an offer to buy any shares of common stock in any state in which such offer, solicitation or sale would be unlawful before registration or qualification under the laws of any such state. The Exchange Offer and Consent Solicitation are being made only through the Schedule TO and Prospectus/Offer to Exchange, and the complete terms and conditions of the Exchange Offer and Consent Solicitation are set forth in the Schedule TO and Prospectus/Offer to Exchange. Holders of the Warrants are urged to read the Schedule TO and Prospectus/Offer to Exchange carefully before making any decision with respect to the Exchange Offer and Consent Solicitation because they contain important information, including the various terms of, and conditions to, the Exchange Offer and Consent Solicitation. None of Priority, or any of its management or its board of directors, or the Information Agent, the Exchange Agent or the Dealer Manager makes any recommendation as to whether or not holders of warrants should tender Warrants for exchange in the Exchange Offer or consent to the Warrant Amendment in the Consent Solicitation.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Priority Technology Holdings, Inc.</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Priority is a leading provider of merchant acquiring and commercial payment solutions, offering unique product and service capabilities to its merchant network and distribution partners. Our enterprise operates from a purpose-built business platform that includes tailored customer service offerings and bespoke technology development, allowing us to provide end-to-end solutions for payment and payment-adjacent opportunities. Additional information can be found at </w:t>
      </w:r>
      <w:r>
        <w:rPr>
          <w:rFonts w:ascii="Arial" w:cs="Arial" w:eastAsia="Arial" w:hAnsi="Arial"/>
          <w:sz w:val="18"/>
          <w:szCs w:val="18"/>
          <w:u w:val="single" w:color="auto"/>
          <w:color w:val="auto"/>
        </w:rPr>
        <w:t>www.PRTH.com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statements in this press release constitute “forward-looking statements” within the meaning of the federal securities laws. Words such as “may,” “might,” “will,” “should,” “believe,” “expect,” “anticipate,” “estimate,” “continue,” “predict,” “forecast,” “project,” “plan,” “intend” or similar expressions, or statements regarding intent, belief, or expectations, are forward-looking statements. Although the Company believes that its forward-looking statements are reasonable, undue reliance should not be placed on any forward-looking statements. The Company’s forward-looking statements are based upon current estimates and assumptions and are subject to various risks and uncertainties, including those described in the Company’s filings with the SEC. As a result, actual results could be materially different. The Company expressly disclaims any obligation to update any forward-looking statements,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69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7" Type="http://schemas.openxmlformats.org/officeDocument/2006/relationships/image" Target="media/image9.png"/><Relationship Id="rId38"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jpeg"/><Relationship Id="rId42" Type="http://schemas.openxmlformats.org/officeDocument/2006/relationships/image" Target="media/image14.png"/><Relationship Id="rId43" Type="http://schemas.openxmlformats.org/officeDocument/2006/relationships/image" Target="media/image15.png"/><Relationship Id="rId16" Type="http://schemas.openxmlformats.org/officeDocument/2006/relationships/hyperlink" Target="http://www.sec.gov/Archives/edgar/data/1653558/000161577419002268/s116002_424b3.htm" TargetMode="External"/><Relationship Id="rId17" Type="http://schemas.openxmlformats.org/officeDocument/2006/relationships/hyperlink" Target="http://www.sec.gov/Archives/edgar/data/1653558/000161577418014981/s114881_ex99-1.htm" TargetMode="External"/><Relationship Id="rId18" Type="http://schemas.openxmlformats.org/officeDocument/2006/relationships/hyperlink" Target="http://www.sec.gov/Archives/edgar/data/1653558/000161577418014981/s114881_ex99-2.htm" TargetMode="External"/><Relationship Id="rId19" Type="http://schemas.openxmlformats.org/officeDocument/2006/relationships/hyperlink" Target="http://www.sec.gov/Archives/edgar/data/1653558/000161577418014981/s114881_ex99-3.htm" TargetMode="External"/><Relationship Id="rId20" Type="http://schemas.openxmlformats.org/officeDocument/2006/relationships/hyperlink" Target="http://www.sec.gov/Archives/edgar/data/1653558/000161577418014981/s114881_ex99-4.htm" TargetMode="External"/><Relationship Id="rId21" Type="http://schemas.openxmlformats.org/officeDocument/2006/relationships/hyperlink" Target="http://www.sec.gov/Archives/edgar/data/1653558/000161577418013696/s114397_ex99-2.htm" TargetMode="External"/><Relationship Id="rId22" Type="http://schemas.openxmlformats.org/officeDocument/2006/relationships/hyperlink" Target="http://www.sec.gov/Archives/edgar/data/1653558/000161577418014996/s114882_exa5b.htm" TargetMode="External"/><Relationship Id="rId23" Type="http://schemas.openxmlformats.org/officeDocument/2006/relationships/hyperlink" Target="http://www.sec.gov/Archives/edgar/data/1653558/000161577419000805/s115450_ex99-a5c.htm" TargetMode="External"/><Relationship Id="rId24" Type="http://schemas.openxmlformats.org/officeDocument/2006/relationships/hyperlink" Target="http://www.sec.gov/Archives/edgar/data/1653558/000161577418007231/s111606_ex3-1.htm" TargetMode="External"/><Relationship Id="rId25" Type="http://schemas.openxmlformats.org/officeDocument/2006/relationships/hyperlink" Target="http://www.sec.gov/Archives/edgar/data/1653558/000161577418007231/s111606_ex3-2.htm" TargetMode="External"/><Relationship Id="rId26" Type="http://schemas.openxmlformats.org/officeDocument/2006/relationships/hyperlink" Target="http://www.sec.gov/Archives/edgar/data/1653558/000161577416007233/s104127_ex4-1.htm" TargetMode="External"/><Relationship Id="rId27" Type="http://schemas.openxmlformats.org/officeDocument/2006/relationships/hyperlink" Target="http://www.sec.gov/Archives/edgar/data/1653558/000161577418007231/s111606_ex10-1.htm" TargetMode="External"/><Relationship Id="rId28" Type="http://schemas.openxmlformats.org/officeDocument/2006/relationships/hyperlink" Target="http://www.sec.gov/Archives/edgar/data/1653558/000161577418007231/s111606_ex10-2.htm" TargetMode="External"/><Relationship Id="rId29" Type="http://schemas.openxmlformats.org/officeDocument/2006/relationships/hyperlink" Target="http://www.sec.gov/Archives/edgar/data/1653558/000161577418007231/s111606_ex10-3.htm" TargetMode="External"/><Relationship Id="rId30" Type="http://schemas.openxmlformats.org/officeDocument/2006/relationships/hyperlink" Target="http://www.sec.gov/Archives/edgar/data/1653558/000161577418014981/s114881_ex10-6.htm" TargetMode="External"/><Relationship Id="rId31" Type="http://schemas.openxmlformats.org/officeDocument/2006/relationships/hyperlink" Target="http://www.sec.gov/Archives/edgar/data/1653558/000161577418014981/s114881_ex10-7.htm" TargetMode="External"/><Relationship Id="rId32" Type="http://schemas.openxmlformats.org/officeDocument/2006/relationships/hyperlink" Target="http://www.sec.gov/Archives/edgar/data/1653558/000161577418014966/s114910_ex10-2.htm" TargetMode="External"/><Relationship Id="rId33" Type="http://schemas.openxmlformats.org/officeDocument/2006/relationships/hyperlink" Target="http://www.sec.gov/Archives/edgar/data/1653558/000161577418014966/s114910_ex10-3.htm" TargetMode="External"/><Relationship Id="rId34" Type="http://schemas.openxmlformats.org/officeDocument/2006/relationships/hyperlink" Target="http://www.sec.gov/Archives/edgar/data/1653558/000161577418014966/s114910_ex10-4.htm" TargetMode="External"/><Relationship Id="rId35" Type="http://schemas.openxmlformats.org/officeDocument/2006/relationships/hyperlink" Target="http://www.sec.gov/Archives/edgar/data/1653558/000161577418014981/s114881_ex10-11.htm" TargetMode="External"/><Relationship Id="rId36" Type="http://schemas.openxmlformats.org/officeDocument/2006/relationships/hyperlink" Target="http://www.sec.gov/Archives/edgar/data/1653558/000161577418014966/s11491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2020-01-09T20:08:58Z</dcterms:created>
  <dcterms:modified xsi:type="dcterms:W3CDTF">2020-01-09T20:08:58Z</dcterms:modified>
</cp:coreProperties>
</file>