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 SPAC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 I Acquisitions,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MACQU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14"/>
        <w:spacing w:after="0" w:line="402" w:lineRule="auto"/>
        <w:rPr>
          <w:sz w:val="20"/>
          <w:szCs w:val="20"/>
          <w:color w:val="auto"/>
        </w:rPr>
      </w:pPr>
      <w:r>
        <w:rPr>
          <w:rFonts w:ascii="Arial" w:cs="Arial" w:eastAsia="Arial" w:hAnsi="Arial"/>
          <w:sz w:val="16"/>
          <w:szCs w:val="16"/>
          <w:color w:val="0000FF"/>
        </w:rPr>
        <w:t>C/O MAGNA MANAGEMENT LLC, 40 WALL STREET, 58TH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10005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1,202,354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Warrant</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259,334</w:t>
            </w:r>
          </w:p>
        </w:tc>
        <w:tc>
          <w:tcPr>
            <w:tcW w:w="880" w:type="dxa"/>
            <w:vAlign w:val="bottom"/>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include an aggregate of up to 122,876 shares that are subject to forfeiture to the extent that the underwriters do not exercise their overallotment option in full, in connection with the registrant's initial public offering.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91"/>
              </w:rPr>
              <w:t>/s/ M SPAC LLC</w:t>
            </w:r>
          </w:p>
        </w:tc>
        <w:tc>
          <w:tcPr>
            <w:tcW w:w="9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09/14/2016</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4516" TargetMode="External"/><Relationship Id="rId12"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2020-01-19T09:20:04Z</dcterms:created>
  <dcterms:modified xsi:type="dcterms:W3CDTF">2020-01-19T09:20:04Z</dcterms:modified>
</cp:coreProperties>
</file>