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M I ACQUISITIONS,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 stock, par value $0.001 per share</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55304A203</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30, 2016</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1" w:lineRule="exact"/>
        <w:rPr>
          <w:sz w:val="24"/>
          <w:szCs w:val="24"/>
          <w:color w:val="auto"/>
        </w:rPr>
      </w:pPr>
    </w:p>
    <w:p>
      <w:pPr>
        <w:jc w:val="both"/>
        <w:ind w:left="4640" w:right="4560" w:hanging="8"/>
        <w:spacing w:after="0" w:line="237" w:lineRule="auto"/>
        <w:tabs>
          <w:tab w:leader="none" w:pos="494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8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240" w:top="246" w:right="107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55304A203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6757670" cy="4210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2106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20" w:right="7020" w:hanging="374"/>
        <w:spacing w:after="0" w:line="238"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AQR Capital Management, LLC</w:t>
      </w:r>
    </w:p>
    <w:p>
      <w:pPr>
        <w:spacing w:after="0" w:line="187"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80" w:hanging="386"/>
        <w:spacing w:after="0" w:line="238"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 USA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50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500" w:type="dxa"/>
            <w:vAlign w:val="bottom"/>
          </w:tcPr>
          <w:p>
            <w:pPr>
              <w:ind w:left="60"/>
              <w:spacing w:after="0" w:line="202" w:lineRule="exact"/>
              <w:rPr>
                <w:sz w:val="20"/>
                <w:szCs w:val="20"/>
                <w:color w:val="auto"/>
              </w:rPr>
            </w:pPr>
            <w:r>
              <w:rPr>
                <w:rFonts w:ascii="Georgia" w:cs="Georgia" w:eastAsia="Georgia" w:hAnsi="Georgia"/>
                <w:sz w:val="18"/>
                <w:szCs w:val="18"/>
                <w:color w:val="auto"/>
              </w:rPr>
              <w:t>500,000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7"/>
                <w:szCs w:val="17"/>
                <w:color w:val="auto"/>
              </w:rPr>
            </w:pPr>
          </w:p>
        </w:tc>
        <w:tc>
          <w:tcPr>
            <w:tcW w:w="8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REPORTING</w:t>
            </w:r>
          </w:p>
        </w:tc>
        <w:tc>
          <w:tcPr>
            <w:tcW w:w="5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850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500,000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2500" w:hanging="386"/>
        <w:spacing w:after="0" w:line="238"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500,000</w:t>
      </w:r>
    </w:p>
    <w:p>
      <w:pPr>
        <w:spacing w:after="0" w:line="148" w:lineRule="exact"/>
        <w:rPr>
          <w:sz w:val="20"/>
          <w:szCs w:val="20"/>
          <w:color w:val="auto"/>
        </w:rPr>
      </w:pPr>
    </w:p>
    <w:p>
      <w:pPr>
        <w:ind w:left="620" w:right="1880" w:hanging="429"/>
        <w:spacing w:after="0" w:line="238"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48" w:lineRule="exact"/>
        <w:rPr>
          <w:sz w:val="20"/>
          <w:szCs w:val="20"/>
          <w:color w:val="auto"/>
        </w:rPr>
      </w:pPr>
    </w:p>
    <w:p>
      <w:pPr>
        <w:ind w:left="620" w:right="4200" w:hanging="413"/>
        <w:spacing w:after="0" w:line="238"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6.97%</w:t>
      </w:r>
    </w:p>
    <w:p>
      <w:pPr>
        <w:spacing w:after="0" w:line="148" w:lineRule="exact"/>
        <w:rPr>
          <w:sz w:val="20"/>
          <w:szCs w:val="20"/>
          <w:color w:val="auto"/>
        </w:rPr>
      </w:pPr>
    </w:p>
    <w:p>
      <w:pPr>
        <w:ind w:left="620" w:right="7100" w:hanging="424"/>
        <w:spacing w:after="0" w:line="238"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w:t>
      </w:r>
    </w:p>
    <w:p>
      <w:pPr>
        <w:sectPr>
          <w:pgSz w:w="11900" w:h="16838" w:orient="portrait"/>
          <w:cols w:equalWidth="0" w:num="1">
            <w:col w:w="10660"/>
          </w:cols>
          <w:pgMar w:left="240" w:top="959" w:right="999" w:bottom="1440" w:gutter="0" w:footer="0" w:header="0"/>
        </w:sectPr>
      </w:pPr>
    </w:p>
    <w:bookmarkStart w:id="2" w:name="page3"/>
    <w:bookmarkEnd w:id="2"/>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55304A203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6757670" cy="4210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42106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20" w:right="6760" w:hanging="374"/>
        <w:spacing w:after="0" w:line="238" w:lineRule="auto"/>
        <w:tabs>
          <w:tab w:leader="none" w:pos="620" w:val="left"/>
        </w:tabs>
        <w:numPr>
          <w:ilvl w:val="0"/>
          <w:numId w:val="10"/>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AQR Capital Management Holdings, LLC</w:t>
      </w:r>
    </w:p>
    <w:p>
      <w:pPr>
        <w:spacing w:after="0" w:line="187"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3" w:lineRule="exact"/>
        <w:rPr>
          <w:sz w:val="20"/>
          <w:szCs w:val="20"/>
          <w:color w:val="auto"/>
        </w:rPr>
      </w:pPr>
    </w:p>
    <w:p>
      <w:pPr>
        <w:ind w:left="620" w:hanging="385"/>
        <w:spacing w:after="0"/>
        <w:tabs>
          <w:tab w:leader="none" w:pos="620" w:val="left"/>
        </w:tabs>
        <w:numPr>
          <w:ilvl w:val="0"/>
          <w:numId w:val="11"/>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12"/>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80" w:hanging="386"/>
        <w:spacing w:after="0" w:line="238" w:lineRule="auto"/>
        <w:tabs>
          <w:tab w:leader="none" w:pos="620" w:val="left"/>
        </w:tabs>
        <w:numPr>
          <w:ilvl w:val="0"/>
          <w:numId w:val="1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 USA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50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500" w:type="dxa"/>
            <w:vAlign w:val="bottom"/>
          </w:tcPr>
          <w:p>
            <w:pPr>
              <w:ind w:left="60"/>
              <w:spacing w:after="0" w:line="202" w:lineRule="exact"/>
              <w:rPr>
                <w:sz w:val="20"/>
                <w:szCs w:val="20"/>
                <w:color w:val="auto"/>
              </w:rPr>
            </w:pPr>
            <w:r>
              <w:rPr>
                <w:rFonts w:ascii="Georgia" w:cs="Georgia" w:eastAsia="Georgia" w:hAnsi="Georgia"/>
                <w:sz w:val="18"/>
                <w:szCs w:val="18"/>
                <w:color w:val="auto"/>
              </w:rPr>
              <w:t>500,000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7"/>
                <w:szCs w:val="17"/>
                <w:color w:val="auto"/>
              </w:rPr>
            </w:pPr>
          </w:p>
        </w:tc>
        <w:tc>
          <w:tcPr>
            <w:tcW w:w="8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REPORTING</w:t>
            </w:r>
          </w:p>
        </w:tc>
        <w:tc>
          <w:tcPr>
            <w:tcW w:w="5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850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500,000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2500" w:hanging="386"/>
        <w:spacing w:after="0" w:line="238" w:lineRule="auto"/>
        <w:tabs>
          <w:tab w:leader="none" w:pos="620" w:val="left"/>
        </w:tabs>
        <w:numPr>
          <w:ilvl w:val="0"/>
          <w:numId w:val="1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500,000</w:t>
      </w:r>
    </w:p>
    <w:p>
      <w:pPr>
        <w:spacing w:after="0" w:line="148" w:lineRule="exact"/>
        <w:rPr>
          <w:sz w:val="20"/>
          <w:szCs w:val="20"/>
          <w:color w:val="auto"/>
        </w:rPr>
      </w:pPr>
    </w:p>
    <w:p>
      <w:pPr>
        <w:ind w:left="620" w:right="1880" w:hanging="429"/>
        <w:spacing w:after="0" w:line="238" w:lineRule="auto"/>
        <w:tabs>
          <w:tab w:leader="none" w:pos="620" w:val="left"/>
        </w:tabs>
        <w:numPr>
          <w:ilvl w:val="0"/>
          <w:numId w:val="1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48" w:lineRule="exact"/>
        <w:rPr>
          <w:sz w:val="20"/>
          <w:szCs w:val="20"/>
          <w:color w:val="auto"/>
        </w:rPr>
      </w:pPr>
    </w:p>
    <w:p>
      <w:pPr>
        <w:ind w:left="620" w:right="4200" w:hanging="413"/>
        <w:spacing w:after="0" w:line="238" w:lineRule="auto"/>
        <w:tabs>
          <w:tab w:leader="none" w:pos="620" w:val="left"/>
        </w:tabs>
        <w:numPr>
          <w:ilvl w:val="0"/>
          <w:numId w:val="1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6.97%</w:t>
      </w:r>
    </w:p>
    <w:p>
      <w:pPr>
        <w:spacing w:after="0" w:line="148" w:lineRule="exact"/>
        <w:rPr>
          <w:sz w:val="20"/>
          <w:szCs w:val="20"/>
          <w:color w:val="auto"/>
        </w:rPr>
      </w:pPr>
    </w:p>
    <w:p>
      <w:pPr>
        <w:ind w:left="620" w:right="7100" w:hanging="424"/>
        <w:spacing w:after="0" w:line="238" w:lineRule="auto"/>
        <w:tabs>
          <w:tab w:leader="none" w:pos="620" w:val="left"/>
        </w:tabs>
        <w:numPr>
          <w:ilvl w:val="0"/>
          <w:numId w:val="1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w:t>
      </w:r>
    </w:p>
    <w:p>
      <w:pPr>
        <w:sectPr>
          <w:pgSz w:w="11900" w:h="16838" w:orient="portrait"/>
          <w:cols w:equalWidth="0" w:num="1">
            <w:col w:w="10660"/>
          </w:cols>
          <w:pgMar w:left="240" w:top="959" w:right="999" w:bottom="1440" w:gutter="0" w:footer="0" w:header="0"/>
        </w:sectPr>
      </w:pPr>
    </w:p>
    <w:bookmarkStart w:id="3" w:name="page4"/>
    <w:bookmarkEnd w:id="3"/>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55304A203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6757670" cy="4210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7670" cy="42106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20" w:right="7020" w:hanging="374"/>
        <w:spacing w:after="0" w:line="238" w:lineRule="auto"/>
        <w:tabs>
          <w:tab w:leader="none" w:pos="620" w:val="left"/>
        </w:tabs>
        <w:numPr>
          <w:ilvl w:val="0"/>
          <w:numId w:val="1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CNH Partners, LLC</w:t>
      </w:r>
    </w:p>
    <w:p>
      <w:pPr>
        <w:spacing w:after="0" w:line="187"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3" w:lineRule="exact"/>
        <w:rPr>
          <w:sz w:val="20"/>
          <w:szCs w:val="20"/>
          <w:color w:val="auto"/>
        </w:rPr>
      </w:pPr>
    </w:p>
    <w:p>
      <w:pPr>
        <w:ind w:left="620" w:hanging="385"/>
        <w:spacing w:after="0"/>
        <w:tabs>
          <w:tab w:leader="none" w:pos="620" w:val="left"/>
        </w:tabs>
        <w:numPr>
          <w:ilvl w:val="0"/>
          <w:numId w:val="19"/>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20"/>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80" w:hanging="386"/>
        <w:spacing w:after="0" w:line="238" w:lineRule="auto"/>
        <w:tabs>
          <w:tab w:leader="none" w:pos="620" w:val="left"/>
        </w:tabs>
        <w:numPr>
          <w:ilvl w:val="0"/>
          <w:numId w:val="21"/>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 USA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50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500" w:type="dxa"/>
            <w:vAlign w:val="bottom"/>
          </w:tcPr>
          <w:p>
            <w:pPr>
              <w:ind w:left="60"/>
              <w:spacing w:after="0" w:line="202" w:lineRule="exact"/>
              <w:rPr>
                <w:sz w:val="20"/>
                <w:szCs w:val="20"/>
                <w:color w:val="auto"/>
              </w:rPr>
            </w:pPr>
            <w:r>
              <w:rPr>
                <w:rFonts w:ascii="Georgia" w:cs="Georgia" w:eastAsia="Georgia" w:hAnsi="Georgia"/>
                <w:sz w:val="18"/>
                <w:szCs w:val="18"/>
                <w:color w:val="auto"/>
              </w:rPr>
              <w:t>500,000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7"/>
                <w:szCs w:val="17"/>
                <w:color w:val="auto"/>
              </w:rPr>
            </w:pPr>
          </w:p>
        </w:tc>
        <w:tc>
          <w:tcPr>
            <w:tcW w:w="8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REPORTING</w:t>
            </w:r>
          </w:p>
        </w:tc>
        <w:tc>
          <w:tcPr>
            <w:tcW w:w="5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50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850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500,000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2500" w:hanging="386"/>
        <w:spacing w:after="0" w:line="238" w:lineRule="auto"/>
        <w:tabs>
          <w:tab w:leader="none" w:pos="620" w:val="left"/>
        </w:tabs>
        <w:numPr>
          <w:ilvl w:val="0"/>
          <w:numId w:val="2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500,000</w:t>
      </w:r>
    </w:p>
    <w:p>
      <w:pPr>
        <w:spacing w:after="0" w:line="148" w:lineRule="exact"/>
        <w:rPr>
          <w:sz w:val="20"/>
          <w:szCs w:val="20"/>
          <w:color w:val="auto"/>
        </w:rPr>
      </w:pPr>
    </w:p>
    <w:p>
      <w:pPr>
        <w:ind w:left="620" w:right="1880" w:hanging="429"/>
        <w:spacing w:after="0" w:line="238" w:lineRule="auto"/>
        <w:tabs>
          <w:tab w:leader="none" w:pos="620" w:val="left"/>
        </w:tabs>
        <w:numPr>
          <w:ilvl w:val="0"/>
          <w:numId w:val="2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48" w:lineRule="exact"/>
        <w:rPr>
          <w:sz w:val="20"/>
          <w:szCs w:val="20"/>
          <w:color w:val="auto"/>
        </w:rPr>
      </w:pPr>
    </w:p>
    <w:p>
      <w:pPr>
        <w:ind w:left="620" w:right="4200" w:hanging="413"/>
        <w:spacing w:after="0" w:line="238" w:lineRule="auto"/>
        <w:tabs>
          <w:tab w:leader="none" w:pos="620" w:val="left"/>
        </w:tabs>
        <w:numPr>
          <w:ilvl w:val="0"/>
          <w:numId w:val="2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6.97%</w:t>
      </w:r>
    </w:p>
    <w:p>
      <w:pPr>
        <w:spacing w:after="0" w:line="148" w:lineRule="exact"/>
        <w:rPr>
          <w:sz w:val="20"/>
          <w:szCs w:val="20"/>
          <w:color w:val="auto"/>
        </w:rPr>
      </w:pPr>
    </w:p>
    <w:p>
      <w:pPr>
        <w:ind w:left="620" w:right="7100" w:hanging="424"/>
        <w:spacing w:after="0" w:line="238" w:lineRule="auto"/>
        <w:tabs>
          <w:tab w:leader="none" w:pos="620" w:val="left"/>
        </w:tabs>
        <w:numPr>
          <w:ilvl w:val="0"/>
          <w:numId w:val="2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w:t>
      </w:r>
    </w:p>
    <w:p>
      <w:pPr>
        <w:sectPr>
          <w:pgSz w:w="11900" w:h="16838" w:orient="portrait"/>
          <w:cols w:equalWidth="0" w:num="1">
            <w:col w:w="10660"/>
          </w:cols>
          <w:pgMar w:left="240" w:top="959" w:right="999" w:bottom="1440" w:gutter="0" w:footer="0" w:header="0"/>
        </w:sectPr>
      </w:pPr>
    </w:p>
    <w:bookmarkStart w:id="4" w:name="page5"/>
    <w:bookmarkEnd w:id="4"/>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9625" cy="269875"/>
                    </a:xfrm>
                    <a:prstGeom prst="rect">
                      <a:avLst/>
                    </a:prstGeom>
                    <a:noFill/>
                  </pic:spPr>
                </pic:pic>
              </a:graphicData>
            </a:graphic>
          </wp:anchor>
        </w:drawing>
      </w:r>
    </w:p>
    <w:p>
      <w:pPr>
        <w:ind w:left="300"/>
        <w:spacing w:after="0"/>
        <w:rPr>
          <w:sz w:val="20"/>
          <w:szCs w:val="20"/>
          <w:color w:val="auto"/>
        </w:rPr>
      </w:pPr>
      <w:r>
        <w:rPr>
          <w:rFonts w:ascii="Georgia" w:cs="Georgia" w:eastAsia="Georgia" w:hAnsi="Georgia"/>
          <w:sz w:val="18"/>
          <w:szCs w:val="18"/>
          <w:b w:val="1"/>
          <w:bCs w:val="1"/>
          <w:color w:val="auto"/>
        </w:rPr>
        <w:t>CUSIP No.: 55304A203</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M I ACQUISITIONS, INC.</w:t>
      </w:r>
    </w:p>
    <w:p>
      <w:pPr>
        <w:spacing w:after="0" w:line="22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 HANOVER SQUARE</w:t>
      </w:r>
    </w:p>
    <w:p>
      <w:pPr>
        <w:ind w:left="1160"/>
        <w:spacing w:after="0" w:line="238" w:lineRule="auto"/>
        <w:rPr>
          <w:sz w:val="20"/>
          <w:szCs w:val="20"/>
          <w:color w:val="auto"/>
        </w:rPr>
      </w:pPr>
      <w:r>
        <w:rPr>
          <w:rFonts w:ascii="Georgia" w:cs="Georgia" w:eastAsia="Georgia" w:hAnsi="Georgia"/>
          <w:sz w:val="18"/>
          <w:szCs w:val="18"/>
          <w:color w:val="auto"/>
        </w:rPr>
        <w:t>NEW YORK NY 10004</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420" w:hanging="262"/>
        <w:spacing w:after="0"/>
        <w:tabs>
          <w:tab w:leader="none" w:pos="142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AQR Capital Management, LLC</w:t>
      </w:r>
    </w:p>
    <w:p>
      <w:pPr>
        <w:ind w:left="1440" w:hanging="282"/>
        <w:spacing w:after="0" w:line="237" w:lineRule="auto"/>
        <w:tabs>
          <w:tab w:leader="none" w:pos="144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AQR Capital Management Holdings, LLC</w:t>
      </w:r>
    </w:p>
    <w:p>
      <w:pPr>
        <w:ind w:left="1440" w:hanging="282"/>
        <w:spacing w:after="0" w:line="238" w:lineRule="auto"/>
        <w:tabs>
          <w:tab w:leader="none" w:pos="144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CNH Partners, LLC</w:t>
      </w:r>
    </w:p>
    <w:p>
      <w:pPr>
        <w:spacing w:after="0" w:line="202" w:lineRule="exact"/>
        <w:rPr>
          <w:sz w:val="20"/>
          <w:szCs w:val="20"/>
          <w:color w:val="auto"/>
        </w:rPr>
      </w:pPr>
    </w:p>
    <w:p>
      <w:pPr>
        <w:ind w:left="1160" w:right="480"/>
        <w:spacing w:after="0" w:line="238" w:lineRule="auto"/>
        <w:rPr>
          <w:sz w:val="20"/>
          <w:szCs w:val="20"/>
          <w:color w:val="auto"/>
        </w:rPr>
      </w:pPr>
      <w:r>
        <w:rPr>
          <w:rFonts w:ascii="Georgia" w:cs="Georgia" w:eastAsia="Georgia" w:hAnsi="Georgia"/>
          <w:sz w:val="18"/>
          <w:szCs w:val="18"/>
          <w:color w:val="auto"/>
        </w:rPr>
        <w:t>AQR Capital Management, LLC is a wholly owned subsidiary of AQR Capital Management Holdings, LLC. CNH Partners is deemed to be controlled by AQR Capital Management, LLC</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4" w:lineRule="exact"/>
        <w:rPr>
          <w:sz w:val="20"/>
          <w:szCs w:val="20"/>
          <w:color w:val="auto"/>
        </w:rPr>
      </w:pPr>
    </w:p>
    <w:p>
      <w:pPr>
        <w:ind w:left="1160" w:right="6840" w:hanging="2"/>
        <w:spacing w:after="0" w:line="264" w:lineRule="auto"/>
        <w:tabs>
          <w:tab w:leader="none" w:pos="1416" w:val="left"/>
        </w:tabs>
        <w:numPr>
          <w:ilvl w:val="0"/>
          <w:numId w:val="27"/>
        </w:numPr>
        <w:rPr>
          <w:rFonts w:ascii="Georgia" w:cs="Georgia" w:eastAsia="Georgia" w:hAnsi="Georgia"/>
          <w:sz w:val="17"/>
          <w:szCs w:val="17"/>
          <w:color w:val="auto"/>
        </w:rPr>
      </w:pPr>
      <w:r>
        <w:rPr>
          <w:rFonts w:ascii="Georgia" w:cs="Georgia" w:eastAsia="Georgia" w:hAnsi="Georgia"/>
          <w:sz w:val="17"/>
          <w:szCs w:val="17"/>
          <w:color w:val="auto"/>
        </w:rPr>
        <w:t>TWO GREENWICH PLAZA GREENWICH, CT 06830</w:t>
      </w:r>
    </w:p>
    <w:p>
      <w:pPr>
        <w:spacing w:after="0" w:line="182" w:lineRule="exact"/>
        <w:rPr>
          <w:rFonts w:ascii="Georgia" w:cs="Georgia" w:eastAsia="Georgia" w:hAnsi="Georgia"/>
          <w:sz w:val="17"/>
          <w:szCs w:val="17"/>
          <w:color w:val="auto"/>
        </w:rPr>
      </w:pPr>
    </w:p>
    <w:p>
      <w:pPr>
        <w:ind w:left="1160" w:right="6800" w:hanging="2"/>
        <w:spacing w:after="0" w:line="238" w:lineRule="auto"/>
        <w:tabs>
          <w:tab w:leader="none" w:pos="1439"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TWO GREENWICH PLAZA GREENWICH, CT 06830</w:t>
      </w:r>
    </w:p>
    <w:p>
      <w:pPr>
        <w:spacing w:after="0" w:line="202" w:lineRule="exact"/>
        <w:rPr>
          <w:rFonts w:ascii="Georgia" w:cs="Georgia" w:eastAsia="Georgia" w:hAnsi="Georgia"/>
          <w:sz w:val="18"/>
          <w:szCs w:val="18"/>
          <w:color w:val="auto"/>
        </w:rPr>
      </w:pPr>
    </w:p>
    <w:p>
      <w:pPr>
        <w:ind w:left="1160" w:right="6800" w:hanging="2"/>
        <w:spacing w:after="0" w:line="238" w:lineRule="auto"/>
        <w:tabs>
          <w:tab w:leader="none" w:pos="1438" w:val="left"/>
        </w:tabs>
        <w:numPr>
          <w:ilvl w:val="0"/>
          <w:numId w:val="27"/>
        </w:numPr>
        <w:rPr>
          <w:rFonts w:ascii="Georgia" w:cs="Georgia" w:eastAsia="Georgia" w:hAnsi="Georgia"/>
          <w:sz w:val="18"/>
          <w:szCs w:val="18"/>
          <w:color w:val="auto"/>
        </w:rPr>
      </w:pPr>
      <w:r>
        <w:rPr>
          <w:rFonts w:ascii="Georgia" w:cs="Georgia" w:eastAsia="Georgia" w:hAnsi="Georgia"/>
          <w:sz w:val="18"/>
          <w:szCs w:val="18"/>
          <w:color w:val="auto"/>
        </w:rPr>
        <w:t>TWO GREENWICH PLAZA GREENWICH, CT 06830</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420" w:hanging="262"/>
        <w:spacing w:after="0"/>
        <w:tabs>
          <w:tab w:leader="none" w:pos="142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Delaware, USA</w:t>
      </w:r>
    </w:p>
    <w:p>
      <w:pPr>
        <w:ind w:left="1440" w:hanging="282"/>
        <w:spacing w:after="0" w:line="237" w:lineRule="auto"/>
        <w:tabs>
          <w:tab w:leader="none" w:pos="144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Delaware, USA</w:t>
      </w:r>
    </w:p>
    <w:p>
      <w:pPr>
        <w:ind w:left="1440" w:hanging="282"/>
        <w:spacing w:after="0" w:line="238" w:lineRule="auto"/>
        <w:tabs>
          <w:tab w:leader="none" w:pos="1440" w:val="left"/>
        </w:tabs>
        <w:numPr>
          <w:ilvl w:val="0"/>
          <w:numId w:val="28"/>
        </w:numPr>
        <w:rPr>
          <w:rFonts w:ascii="Georgia" w:cs="Georgia" w:eastAsia="Georgia" w:hAnsi="Georgia"/>
          <w:sz w:val="18"/>
          <w:szCs w:val="18"/>
          <w:color w:val="auto"/>
        </w:rPr>
      </w:pPr>
      <w:r>
        <w:rPr>
          <w:rFonts w:ascii="Georgia" w:cs="Georgia" w:eastAsia="Georgia" w:hAnsi="Georgia"/>
          <w:sz w:val="18"/>
          <w:szCs w:val="18"/>
          <w:color w:val="auto"/>
        </w:rPr>
        <w:t>Delaware, USA</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 stock, par value $0.001 per share</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55304A203</w:t>
      </w:r>
    </w:p>
    <w:p>
      <w:pPr>
        <w:spacing w:after="0" w:line="229" w:lineRule="exact"/>
        <w:rPr>
          <w:sz w:val="20"/>
          <w:szCs w:val="20"/>
          <w:color w:val="auto"/>
        </w:rPr>
      </w:pPr>
    </w:p>
    <w:p>
      <w:pPr>
        <w:ind w:left="1160" w:right="380" w:hanging="1160"/>
        <w:spacing w:after="0" w:line="238"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3" w:lineRule="exact"/>
        <w:rPr>
          <w:sz w:val="20"/>
          <w:szCs w:val="20"/>
          <w:color w:val="auto"/>
        </w:rPr>
      </w:pPr>
    </w:p>
    <w:p>
      <w:pPr>
        <w:ind w:left="1600" w:hanging="442"/>
        <w:spacing w:after="0"/>
        <w:tabs>
          <w:tab w:leader="none" w:pos="160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 ]Insurance company as defined in Section 3(a)(19) of the Act (15 U.S.C. 78c);</w:t>
      </w:r>
    </w:p>
    <w:p>
      <w:pPr>
        <w:spacing w:after="0" w:line="134" w:lineRule="exact"/>
        <w:rPr>
          <w:rFonts w:ascii="Georgia" w:cs="Georgia" w:eastAsia="Georgia" w:hAnsi="Georgia"/>
          <w:sz w:val="18"/>
          <w:szCs w:val="18"/>
          <w:color w:val="auto"/>
        </w:rPr>
      </w:pPr>
    </w:p>
    <w:p>
      <w:pPr>
        <w:ind w:left="2320" w:right="360" w:hanging="1162"/>
        <w:spacing w:after="0" w:line="238" w:lineRule="auto"/>
        <w:tabs>
          <w:tab w:leader="none" w:pos="1607"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[X]A parent holding company or control person in accordance with 240.13d-1(b)(1)(ii)(G);</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 ]A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8" w:lineRule="auto"/>
        <w:tabs>
          <w:tab w:leader="none" w:pos="1607"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3" w:lineRule="exact"/>
        <w:rPr>
          <w:rFonts w:ascii="Georgia" w:cs="Georgia" w:eastAsia="Georgia" w:hAnsi="Georgia"/>
          <w:sz w:val="18"/>
          <w:szCs w:val="18"/>
          <w:color w:val="auto"/>
        </w:rPr>
      </w:pPr>
    </w:p>
    <w:p>
      <w:pPr>
        <w:ind w:left="1600" w:hanging="442"/>
        <w:spacing w:after="0"/>
        <w:tabs>
          <w:tab w:leader="none" w:pos="160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 ]A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9"/>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500,000</w:t>
      </w:r>
    </w:p>
    <w:p>
      <w:pPr>
        <w:spacing w:after="0" w:line="201"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As of 12/30/2016 AQR Capital Management, LLC holds units convertible into 500,000 shares of common stock.</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ectPr>
          <w:pgSz w:w="11900" w:h="16841" w:orient="portrait"/>
          <w:cols w:equalWidth="0" w:num="1">
            <w:col w:w="10460"/>
          </w:cols>
          <w:pgMar w:left="320" w:top="959" w:right="1119" w:bottom="0" w:gutter="0" w:footer="0" w:header="0"/>
        </w:sectPr>
      </w:pPr>
    </w:p>
    <w:bookmarkStart w:id="5" w:name="page6"/>
    <w:bookmarkEnd w:id="5"/>
    <w:p>
      <w:pPr>
        <w:ind w:left="1160"/>
        <w:spacing w:after="0"/>
        <w:rPr>
          <w:sz w:val="20"/>
          <w:szCs w:val="20"/>
          <w:color w:val="auto"/>
        </w:rPr>
      </w:pPr>
      <w:r>
        <w:rPr>
          <w:rFonts w:ascii="Georgia" w:cs="Georgia" w:eastAsia="Georgia" w:hAnsi="Georgia"/>
          <w:sz w:val="18"/>
          <w:szCs w:val="18"/>
          <w:color w:val="auto"/>
        </w:rPr>
        <w:t>6.97%</w:t>
      </w:r>
    </w:p>
    <w:p>
      <w:pPr>
        <w:spacing w:after="0" w:line="133" w:lineRule="exact"/>
        <w:rPr>
          <w:sz w:val="20"/>
          <w:szCs w:val="20"/>
          <w:color w:val="auto"/>
        </w:rPr>
      </w:pPr>
    </w:p>
    <w:p>
      <w:pPr>
        <w:ind w:left="1460" w:hanging="302"/>
        <w:spacing w:after="0"/>
        <w:tabs>
          <w:tab w:leader="none" w:pos="1460" w:val="left"/>
        </w:tabs>
        <w:numPr>
          <w:ilvl w:val="0"/>
          <w:numId w:val="30"/>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3" w:lineRule="exact"/>
        <w:rPr>
          <w:rFonts w:ascii="Georgia" w:cs="Georgia" w:eastAsia="Georgia" w:hAnsi="Georgia"/>
          <w:sz w:val="18"/>
          <w:szCs w:val="18"/>
          <w:b w:val="1"/>
          <w:bCs w:val="1"/>
          <w:color w:val="auto"/>
        </w:rPr>
      </w:pPr>
    </w:p>
    <w:p>
      <w:pPr>
        <w:ind w:left="1700" w:hanging="231"/>
        <w:spacing w:after="0"/>
        <w:tabs>
          <w:tab w:leader="none" w:pos="1700" w:val="left"/>
        </w:tabs>
        <w:numPr>
          <w:ilvl w:val="1"/>
          <w:numId w:val="30"/>
        </w:numPr>
        <w:rPr>
          <w:rFonts w:ascii="Georgia" w:cs="Georgia" w:eastAsia="Georgia" w:hAnsi="Georgia"/>
          <w:sz w:val="18"/>
          <w:szCs w:val="18"/>
          <w:color w:val="auto"/>
        </w:rPr>
      </w:pPr>
      <w:r>
        <w:rPr>
          <w:rFonts w:ascii="Georgia" w:cs="Georgia" w:eastAsia="Georgia" w:hAnsi="Georgia"/>
          <w:sz w:val="18"/>
          <w:szCs w:val="18"/>
          <w:color w:val="auto"/>
        </w:rPr>
        <w:t>sole power to vote or to direct the vote:</w:t>
      </w:r>
    </w:p>
    <w:p>
      <w:pPr>
        <w:spacing w:after="0" w:line="269" w:lineRule="exact"/>
        <w:rPr>
          <w:rFonts w:ascii="Georgia" w:cs="Georgia" w:eastAsia="Georgia" w:hAnsi="Georgia"/>
          <w:sz w:val="18"/>
          <w:szCs w:val="18"/>
          <w:color w:val="auto"/>
        </w:rPr>
      </w:pPr>
    </w:p>
    <w:p>
      <w:pPr>
        <w:ind w:left="1460" w:right="5320" w:firstLine="9"/>
        <w:spacing w:after="0" w:line="394" w:lineRule="auto"/>
        <w:tabs>
          <w:tab w:leader="none" w:pos="1744" w:val="left"/>
        </w:tabs>
        <w:numPr>
          <w:ilvl w:val="1"/>
          <w:numId w:val="30"/>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 500,000</w:t>
      </w:r>
    </w:p>
    <w:p>
      <w:pPr>
        <w:spacing w:after="0" w:line="2" w:lineRule="exact"/>
        <w:rPr>
          <w:rFonts w:ascii="Georgia" w:cs="Georgia" w:eastAsia="Georgia" w:hAnsi="Georgia"/>
          <w:sz w:val="18"/>
          <w:szCs w:val="18"/>
          <w:color w:val="auto"/>
        </w:rPr>
      </w:pPr>
    </w:p>
    <w:p>
      <w:pPr>
        <w:ind w:left="1800" w:hanging="331"/>
        <w:spacing w:after="0"/>
        <w:tabs>
          <w:tab w:leader="none" w:pos="1800" w:val="left"/>
        </w:tabs>
        <w:numPr>
          <w:ilvl w:val="1"/>
          <w:numId w:val="30"/>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w:t>
      </w:r>
    </w:p>
    <w:p>
      <w:pPr>
        <w:spacing w:after="0" w:line="269" w:lineRule="exact"/>
        <w:rPr>
          <w:rFonts w:ascii="Georgia" w:cs="Georgia" w:eastAsia="Georgia" w:hAnsi="Georgia"/>
          <w:sz w:val="18"/>
          <w:szCs w:val="18"/>
          <w:color w:val="auto"/>
        </w:rPr>
      </w:pPr>
    </w:p>
    <w:p>
      <w:pPr>
        <w:ind w:left="1460" w:right="4280" w:firstLine="9"/>
        <w:spacing w:after="0" w:line="394" w:lineRule="auto"/>
        <w:tabs>
          <w:tab w:leader="none" w:pos="1780" w:val="left"/>
        </w:tabs>
        <w:numPr>
          <w:ilvl w:val="1"/>
          <w:numId w:val="30"/>
        </w:numPr>
        <w:rPr>
          <w:rFonts w:ascii="Georgia" w:cs="Georgia" w:eastAsia="Georgia" w:hAnsi="Georgia"/>
          <w:sz w:val="18"/>
          <w:szCs w:val="18"/>
          <w:color w:val="auto"/>
        </w:rPr>
      </w:pPr>
      <w:r>
        <w:rPr>
          <w:rFonts w:ascii="Georgia" w:cs="Georgia" w:eastAsia="Georgia" w:hAnsi="Georgia"/>
          <w:sz w:val="18"/>
          <w:szCs w:val="18"/>
          <w:color w:val="auto"/>
        </w:rPr>
        <w:t>shared power to dispose or to direct the disposition of: 500,000</w:t>
      </w:r>
    </w:p>
    <w:p>
      <w:pPr>
        <w:spacing w:after="0" w:line="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8"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This Item [6] is 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See Item 2(a) above.</w:t>
      </w:r>
    </w:p>
    <w:p>
      <w:pPr>
        <w:spacing w:after="0" w:line="22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This Item [8] is not applicable.</w:t>
      </w:r>
    </w:p>
    <w:p>
      <w:pPr>
        <w:spacing w:after="0" w:line="228" w:lineRule="exact"/>
        <w:rPr>
          <w:sz w:val="20"/>
          <w:szCs w:val="20"/>
          <w:color w:val="auto"/>
        </w:rPr>
      </w:pPr>
    </w:p>
    <w:p>
      <w:pPr>
        <w:jc w:val="center"/>
        <w:ind w:right="5580"/>
        <w:spacing w:after="0"/>
        <w:tabs>
          <w:tab w:leader="none" w:pos="40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This Item [9] is not applicable.</w:t>
      </w:r>
    </w:p>
    <w:p>
      <w:pPr>
        <w:spacing w:after="0" w:line="22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320" w:top="203" w:right="1199" w:bottom="1440" w:gutter="0" w:footer="0" w:header="0"/>
        </w:sectPr>
      </w:pPr>
    </w:p>
    <w:bookmarkStart w:id="6" w:name="page7"/>
    <w:bookmarkEnd w:id="6"/>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55304A203</w:t>
      </w:r>
    </w:p>
    <w:p>
      <w:pPr>
        <w:spacing w:after="0" w:line="200" w:lineRule="exact"/>
        <w:rPr>
          <w:sz w:val="20"/>
          <w:szCs w:val="20"/>
          <w:color w:val="auto"/>
        </w:rPr>
      </w:pPr>
    </w:p>
    <w:p>
      <w:pPr>
        <w:spacing w:after="0" w:line="220" w:lineRule="exact"/>
        <w:rPr>
          <w:sz w:val="20"/>
          <w:szCs w:val="20"/>
          <w:color w:val="auto"/>
        </w:rPr>
      </w:pPr>
    </w:p>
    <w:p>
      <w:pPr>
        <w:jc w:val="center"/>
        <w:ind w:right="-440"/>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20" w:type="dxa"/>
            <w:vAlign w:val="bottom"/>
          </w:tcPr>
          <w:p>
            <w:pPr>
              <w:spacing w:after="0"/>
              <w:rPr>
                <w:sz w:val="20"/>
                <w:szCs w:val="20"/>
                <w:color w:val="auto"/>
              </w:rPr>
            </w:pPr>
            <w:r>
              <w:rPr>
                <w:rFonts w:ascii="Georgia" w:cs="Georgia" w:eastAsia="Georgia" w:hAnsi="Georgia"/>
                <w:sz w:val="16"/>
                <w:szCs w:val="16"/>
                <w:color w:val="auto"/>
              </w:rPr>
              <w:t>February 13 2017</w:t>
            </w:r>
          </w:p>
        </w:tc>
        <w:tc>
          <w:tcPr>
            <w:tcW w:w="6120" w:type="dxa"/>
            <w:vAlign w:val="bottom"/>
            <w:gridSpan w:val="2"/>
          </w:tcPr>
          <w:p>
            <w:pPr>
              <w:ind w:left="980"/>
              <w:spacing w:after="0"/>
              <w:rPr>
                <w:sz w:val="20"/>
                <w:szCs w:val="20"/>
                <w:color w:val="auto"/>
              </w:rPr>
            </w:pPr>
            <w:r>
              <w:rPr>
                <w:rFonts w:ascii="Georgia" w:cs="Georgia" w:eastAsia="Georgia" w:hAnsi="Georgia"/>
                <w:sz w:val="16"/>
                <w:szCs w:val="16"/>
                <w:color w:val="auto"/>
              </w:rPr>
              <w:t>AQR Capital Management, LLC</w:t>
            </w:r>
          </w:p>
        </w:tc>
      </w:tr>
      <w:tr>
        <w:trPr>
          <w:trHeight w:val="284"/>
        </w:trPr>
        <w:tc>
          <w:tcPr>
            <w:tcW w:w="2220" w:type="dxa"/>
            <w:vAlign w:val="bottom"/>
          </w:tcPr>
          <w:p>
            <w:pPr>
              <w:spacing w:after="0"/>
              <w:rPr>
                <w:sz w:val="24"/>
                <w:szCs w:val="24"/>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Bradley D. Asness</w:t>
            </w:r>
          </w:p>
        </w:tc>
      </w:tr>
      <w:tr>
        <w:trPr>
          <w:trHeight w:val="264"/>
        </w:trPr>
        <w:tc>
          <w:tcPr>
            <w:tcW w:w="2220" w:type="dxa"/>
            <w:vAlign w:val="bottom"/>
          </w:tcPr>
          <w:p>
            <w:pPr>
              <w:spacing w:after="0"/>
              <w:rPr>
                <w:sz w:val="22"/>
                <w:szCs w:val="22"/>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Bradley D. Asness</w:t>
            </w:r>
          </w:p>
        </w:tc>
      </w:tr>
      <w:tr>
        <w:trPr>
          <w:trHeight w:val="270"/>
        </w:trPr>
        <w:tc>
          <w:tcPr>
            <w:tcW w:w="2220" w:type="dxa"/>
            <w:vAlign w:val="bottom"/>
          </w:tcPr>
          <w:p>
            <w:pPr>
              <w:spacing w:after="0"/>
              <w:rPr>
                <w:sz w:val="23"/>
                <w:szCs w:val="23"/>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Chief Legal Officer</w:t>
            </w:r>
          </w:p>
        </w:tc>
      </w:tr>
      <w:tr>
        <w:trPr>
          <w:trHeight w:val="459"/>
        </w:trPr>
        <w:tc>
          <w:tcPr>
            <w:tcW w:w="2220" w:type="dxa"/>
            <w:vAlign w:val="bottom"/>
          </w:tcPr>
          <w:p>
            <w:pPr>
              <w:spacing w:after="0"/>
              <w:rPr>
                <w:sz w:val="20"/>
                <w:szCs w:val="20"/>
                <w:color w:val="auto"/>
              </w:rPr>
            </w:pPr>
            <w:r>
              <w:rPr>
                <w:rFonts w:ascii="Georgia" w:cs="Georgia" w:eastAsia="Georgia" w:hAnsi="Georgia"/>
                <w:sz w:val="16"/>
                <w:szCs w:val="16"/>
                <w:color w:val="auto"/>
              </w:rPr>
              <w:t>February 13 2017</w:t>
            </w:r>
          </w:p>
        </w:tc>
        <w:tc>
          <w:tcPr>
            <w:tcW w:w="6120" w:type="dxa"/>
            <w:vAlign w:val="bottom"/>
            <w:gridSpan w:val="2"/>
          </w:tcPr>
          <w:p>
            <w:pPr>
              <w:ind w:left="980"/>
              <w:spacing w:after="0"/>
              <w:rPr>
                <w:sz w:val="20"/>
                <w:szCs w:val="20"/>
                <w:color w:val="auto"/>
              </w:rPr>
            </w:pPr>
            <w:r>
              <w:rPr>
                <w:rFonts w:ascii="Georgia" w:cs="Georgia" w:eastAsia="Georgia" w:hAnsi="Georgia"/>
                <w:sz w:val="16"/>
                <w:szCs w:val="16"/>
                <w:color w:val="auto"/>
              </w:rPr>
              <w:t>AQR Capital Management Holdings, LLC</w:t>
            </w:r>
          </w:p>
        </w:tc>
      </w:tr>
      <w:tr>
        <w:trPr>
          <w:trHeight w:val="284"/>
        </w:trPr>
        <w:tc>
          <w:tcPr>
            <w:tcW w:w="2220" w:type="dxa"/>
            <w:vAlign w:val="bottom"/>
          </w:tcPr>
          <w:p>
            <w:pPr>
              <w:spacing w:after="0"/>
              <w:rPr>
                <w:sz w:val="24"/>
                <w:szCs w:val="24"/>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Bradley D. Asness</w:t>
            </w:r>
          </w:p>
        </w:tc>
      </w:tr>
      <w:tr>
        <w:trPr>
          <w:trHeight w:val="264"/>
        </w:trPr>
        <w:tc>
          <w:tcPr>
            <w:tcW w:w="2220" w:type="dxa"/>
            <w:vAlign w:val="bottom"/>
          </w:tcPr>
          <w:p>
            <w:pPr>
              <w:spacing w:after="0"/>
              <w:rPr>
                <w:sz w:val="22"/>
                <w:szCs w:val="22"/>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Bradley D. Asness</w:t>
            </w:r>
          </w:p>
        </w:tc>
      </w:tr>
      <w:tr>
        <w:trPr>
          <w:trHeight w:val="270"/>
        </w:trPr>
        <w:tc>
          <w:tcPr>
            <w:tcW w:w="2220" w:type="dxa"/>
            <w:vAlign w:val="bottom"/>
          </w:tcPr>
          <w:p>
            <w:pPr>
              <w:spacing w:after="0"/>
              <w:rPr>
                <w:sz w:val="23"/>
                <w:szCs w:val="23"/>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Authorized Signatory</w:t>
            </w:r>
          </w:p>
        </w:tc>
      </w:tr>
      <w:tr>
        <w:trPr>
          <w:trHeight w:val="446"/>
        </w:trPr>
        <w:tc>
          <w:tcPr>
            <w:tcW w:w="2220" w:type="dxa"/>
            <w:vAlign w:val="bottom"/>
          </w:tcPr>
          <w:p>
            <w:pPr>
              <w:spacing w:after="0"/>
              <w:rPr>
                <w:sz w:val="20"/>
                <w:szCs w:val="20"/>
                <w:color w:val="auto"/>
              </w:rPr>
            </w:pPr>
            <w:r>
              <w:rPr>
                <w:rFonts w:ascii="Georgia" w:cs="Georgia" w:eastAsia="Georgia" w:hAnsi="Georgia"/>
                <w:sz w:val="16"/>
                <w:szCs w:val="16"/>
                <w:color w:val="auto"/>
              </w:rPr>
              <w:t>February 13 2017</w:t>
            </w:r>
          </w:p>
        </w:tc>
        <w:tc>
          <w:tcPr>
            <w:tcW w:w="6120" w:type="dxa"/>
            <w:vAlign w:val="bottom"/>
            <w:gridSpan w:val="2"/>
          </w:tcPr>
          <w:p>
            <w:pPr>
              <w:ind w:left="980"/>
              <w:spacing w:after="0"/>
              <w:rPr>
                <w:sz w:val="20"/>
                <w:szCs w:val="20"/>
                <w:color w:val="auto"/>
              </w:rPr>
            </w:pPr>
            <w:r>
              <w:rPr>
                <w:rFonts w:ascii="Georgia" w:cs="Georgia" w:eastAsia="Georgia" w:hAnsi="Georgia"/>
                <w:sz w:val="16"/>
                <w:szCs w:val="16"/>
                <w:color w:val="auto"/>
              </w:rPr>
              <w:t>CNH Partners, LLC</w:t>
            </w:r>
          </w:p>
        </w:tc>
      </w:tr>
      <w:tr>
        <w:trPr>
          <w:trHeight w:val="284"/>
        </w:trPr>
        <w:tc>
          <w:tcPr>
            <w:tcW w:w="2220" w:type="dxa"/>
            <w:vAlign w:val="bottom"/>
          </w:tcPr>
          <w:p>
            <w:pPr>
              <w:spacing w:after="0"/>
              <w:rPr>
                <w:sz w:val="24"/>
                <w:szCs w:val="24"/>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Bradley D. Asness</w:t>
            </w:r>
          </w:p>
        </w:tc>
      </w:tr>
      <w:tr>
        <w:trPr>
          <w:trHeight w:val="264"/>
        </w:trPr>
        <w:tc>
          <w:tcPr>
            <w:tcW w:w="2220" w:type="dxa"/>
            <w:vAlign w:val="bottom"/>
          </w:tcPr>
          <w:p>
            <w:pPr>
              <w:spacing w:after="0"/>
              <w:rPr>
                <w:sz w:val="22"/>
                <w:szCs w:val="22"/>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Bradley D. Asness</w:t>
            </w:r>
          </w:p>
        </w:tc>
      </w:tr>
      <w:tr>
        <w:trPr>
          <w:trHeight w:val="270"/>
        </w:trPr>
        <w:tc>
          <w:tcPr>
            <w:tcW w:w="2220" w:type="dxa"/>
            <w:vAlign w:val="bottom"/>
          </w:tcPr>
          <w:p>
            <w:pPr>
              <w:spacing w:after="0"/>
              <w:rPr>
                <w:sz w:val="23"/>
                <w:szCs w:val="23"/>
                <w:color w:val="auto"/>
              </w:rPr>
            </w:pPr>
          </w:p>
        </w:tc>
        <w:tc>
          <w:tcPr>
            <w:tcW w:w="1640" w:type="dxa"/>
            <w:vAlign w:val="bottom"/>
          </w:tcPr>
          <w:p>
            <w:pPr>
              <w:ind w:left="98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Authorized Signatory</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p>
      <w:pPr>
        <w:sectPr>
          <w:pgSz w:w="11900" w:h="16838" w:orient="portrait"/>
          <w:cols w:equalWidth="0" w:num="1">
            <w:col w:w="10219"/>
          </w:cols>
          <w:pgMar w:left="240" w:top="959" w:right="1440" w:bottom="1440" w:gutter="0" w:footer="0" w:header="0"/>
        </w:sectPr>
      </w:pPr>
    </w:p>
    <w:bookmarkStart w:id="7" w:name="page8"/>
    <w:bookmarkEnd w:id="7"/>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55304A203</w:t>
      </w:r>
    </w:p>
    <w:p>
      <w:pPr>
        <w:spacing w:after="0" w:line="29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AQR Capital Management Holdings, LLC, AQR Capital Management, LLC, and CNH Partners, LLC hereby agree that this Schedule 13G is filed on behalf of each of the parties. AQR Capital Management, LLC is a wholly owned subsidiary of AQR Capital Management Holdings, LLC. CNH Partners is deemed to be controlled by AQR Capital Management, LLC</w:t>
      </w:r>
    </w:p>
    <w:p>
      <w:pPr>
        <w:sectPr>
          <w:pgSz w:w="11900" w:h="16838" w:orient="portrait"/>
          <w:cols w:equalWidth="0" w:num="1">
            <w:col w:w="10600"/>
          </w:cols>
          <w:pgMar w:left="240" w:top="959" w:right="1059" w:bottom="1440" w:gutter="0" w:footer="0" w:header="0"/>
        </w:sectPr>
      </w:pPr>
    </w:p>
    <w:bookmarkStart w:id="8" w:name="page9"/>
    <w:bookmarkEnd w:id="8"/>
    <w:p>
      <w:pPr>
        <w:spacing w:after="0"/>
        <w:rPr>
          <w:sz w:val="20"/>
          <w:szCs w:val="20"/>
          <w:color w:val="auto"/>
        </w:rPr>
      </w:pPr>
      <w:r>
        <w:rPr>
          <w:rFonts w:ascii="Georgia" w:cs="Georgia" w:eastAsia="Georgia" w:hAnsi="Georgia"/>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55304A203</w:t>
      </w:r>
    </w:p>
    <w:sectPr>
      <w:pgSz w:w="11900" w:h="16838" w:orient="portrait"/>
      <w:cols w:equalWidth="0" w:num="1">
        <w:col w:w="9839"/>
      </w:cols>
      <w:pgMar w:left="620" w:top="9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lvl w:ilvl="1">
      <w:lvlJc w:val="left"/>
      <w:lvlText w:val="[%2]"/>
      <w:numFmt w:val="upperLetter"/>
      <w:start w:val="24"/>
    </w:lvl>
  </w:abstractNum>
  <w:abstractNum w:abstractNumId="1">
    <w:nsid w:val="6B68079A"/>
    <w:multiLevelType w:val="hybridMultilevel"/>
    <w:lvl w:ilvl="0">
      <w:lvlJc w:val="left"/>
      <w:lvlText w:val="1"/>
      <w:numFmt w:val="bullet"/>
      <w:start w:val="1"/>
    </w:lvl>
  </w:abstractNum>
  <w:abstractNum w:abstractNumId="2">
    <w:nsid w:val="4E6AFB66"/>
    <w:multiLevelType w:val="hybridMultilevel"/>
    <w:lvl w:ilvl="0">
      <w:lvlJc w:val="left"/>
      <w:lvlText w:val="2"/>
      <w:numFmt w:val="bullet"/>
      <w:start w:val="1"/>
    </w:lvl>
    <w:lvl w:ilvl="1">
      <w:lvlJc w:val="left"/>
      <w:lvlText w:val="(%2)"/>
      <w:numFmt w:val="lowerLetter"/>
      <w:start w:val="1"/>
    </w:lvl>
  </w:abstractNum>
  <w:abstractNum w:abstractNumId="3">
    <w:nsid w:val="25E45D32"/>
    <w:multiLevelType w:val="hybridMultilevel"/>
    <w:lvl w:ilvl="0">
      <w:lvlJc w:val="left"/>
      <w:lvlText w:val="3"/>
      <w:numFmt w:val="bullet"/>
      <w:start w:val="1"/>
    </w:lvl>
  </w:abstractNum>
  <w:abstractNum w:abstractNumId="4">
    <w:nsid w:val="519B500D"/>
    <w:multiLevelType w:val="hybridMultilevel"/>
    <w:lvl w:ilvl="0">
      <w:lvlJc w:val="left"/>
      <w:lvlText w:val="4"/>
      <w:numFmt w:val="bullet"/>
      <w:start w:val="1"/>
    </w:lvl>
  </w:abstractNum>
  <w:abstractNum w:abstractNumId="5">
    <w:nsid w:val="431BD7B7"/>
    <w:multiLevelType w:val="hybridMultilevel"/>
    <w:lvl w:ilvl="0">
      <w:lvlJc w:val="left"/>
      <w:lvlText w:val="9"/>
      <w:numFmt w:val="bullet"/>
      <w:start w:val="1"/>
    </w:lvl>
  </w:abstractNum>
  <w:abstractNum w:abstractNumId="6">
    <w:nsid w:val="3F2DBA31"/>
    <w:multiLevelType w:val="hybridMultilevel"/>
    <w:lvl w:ilvl="0">
      <w:lvlJc w:val="left"/>
      <w:lvlText w:val="%1"/>
      <w:numFmt w:val="decimal"/>
      <w:start w:val="10"/>
    </w:lvl>
  </w:abstractNum>
  <w:abstractNum w:abstractNumId="7">
    <w:nsid w:val="7C83E458"/>
    <w:multiLevelType w:val="hybridMultilevel"/>
    <w:lvl w:ilvl="0">
      <w:lvlJc w:val="left"/>
      <w:lvlText w:val="%1"/>
      <w:numFmt w:val="decimal"/>
      <w:start w:val="11"/>
    </w:lvl>
  </w:abstractNum>
  <w:abstractNum w:abstractNumId="8">
    <w:nsid w:val="257130A3"/>
    <w:multiLevelType w:val="hybridMultilevel"/>
    <w:lvl w:ilvl="0">
      <w:lvlJc w:val="left"/>
      <w:lvlText w:val="%1"/>
      <w:numFmt w:val="decimal"/>
      <w:start w:val="12"/>
    </w:lvl>
  </w:abstractNum>
  <w:abstractNum w:abstractNumId="9">
    <w:nsid w:val="62BBD95A"/>
    <w:multiLevelType w:val="hybridMultilevel"/>
    <w:lvl w:ilvl="0">
      <w:lvlJc w:val="left"/>
      <w:lvlText w:val="1"/>
      <w:numFmt w:val="bullet"/>
      <w:start w:val="1"/>
    </w:lvl>
  </w:abstractNum>
  <w:abstractNum w:abstractNumId="10">
    <w:nsid w:val="436C6125"/>
    <w:multiLevelType w:val="hybridMultilevel"/>
    <w:lvl w:ilvl="0">
      <w:lvlJc w:val="left"/>
      <w:lvlText w:val="2"/>
      <w:numFmt w:val="bullet"/>
      <w:start w:val="1"/>
    </w:lvl>
    <w:lvl w:ilvl="1">
      <w:lvlJc w:val="left"/>
      <w:lvlText w:val="(%2)"/>
      <w:numFmt w:val="lowerLetter"/>
      <w:start w:val="1"/>
    </w:lvl>
  </w:abstractNum>
  <w:abstractNum w:abstractNumId="11">
    <w:nsid w:val="628C895D"/>
    <w:multiLevelType w:val="hybridMultilevel"/>
    <w:lvl w:ilvl="0">
      <w:lvlJc w:val="left"/>
      <w:lvlText w:val="3"/>
      <w:numFmt w:val="bullet"/>
      <w:start w:val="1"/>
    </w:lvl>
  </w:abstractNum>
  <w:abstractNum w:abstractNumId="12">
    <w:nsid w:val="333AB105"/>
    <w:multiLevelType w:val="hybridMultilevel"/>
    <w:lvl w:ilvl="0">
      <w:lvlJc w:val="left"/>
      <w:lvlText w:val="4"/>
      <w:numFmt w:val="bullet"/>
      <w:start w:val="1"/>
    </w:lvl>
  </w:abstractNum>
  <w:abstractNum w:abstractNumId="13">
    <w:nsid w:val="721DA317"/>
    <w:multiLevelType w:val="hybridMultilevel"/>
    <w:lvl w:ilvl="0">
      <w:lvlJc w:val="left"/>
      <w:lvlText w:val="9"/>
      <w:numFmt w:val="bullet"/>
      <w:start w:val="1"/>
    </w:lvl>
  </w:abstractNum>
  <w:abstractNum w:abstractNumId="14">
    <w:nsid w:val="2443A858"/>
    <w:multiLevelType w:val="hybridMultilevel"/>
    <w:lvl w:ilvl="0">
      <w:lvlJc w:val="left"/>
      <w:lvlText w:val="%1"/>
      <w:numFmt w:val="decimal"/>
      <w:start w:val="10"/>
    </w:lvl>
  </w:abstractNum>
  <w:abstractNum w:abstractNumId="15">
    <w:nsid w:val="2D1D5AE9"/>
    <w:multiLevelType w:val="hybridMultilevel"/>
    <w:lvl w:ilvl="0">
      <w:lvlJc w:val="left"/>
      <w:lvlText w:val="%1"/>
      <w:numFmt w:val="decimal"/>
      <w:start w:val="11"/>
    </w:lvl>
  </w:abstractNum>
  <w:abstractNum w:abstractNumId="16">
    <w:nsid w:val="6763845E"/>
    <w:multiLevelType w:val="hybridMultilevel"/>
    <w:lvl w:ilvl="0">
      <w:lvlJc w:val="left"/>
      <w:lvlText w:val="%1"/>
      <w:numFmt w:val="decimal"/>
      <w:start w:val="12"/>
    </w:lvl>
  </w:abstractNum>
  <w:abstractNum w:abstractNumId="17">
    <w:nsid w:val="75A2A8D4"/>
    <w:multiLevelType w:val="hybridMultilevel"/>
    <w:lvl w:ilvl="0">
      <w:lvlJc w:val="left"/>
      <w:lvlText w:val="1"/>
      <w:numFmt w:val="bullet"/>
      <w:start w:val="1"/>
    </w:lvl>
  </w:abstractNum>
  <w:abstractNum w:abstractNumId="18">
    <w:nsid w:val="8EDBDAB"/>
    <w:multiLevelType w:val="hybridMultilevel"/>
    <w:lvl w:ilvl="0">
      <w:lvlJc w:val="left"/>
      <w:lvlText w:val="2"/>
      <w:numFmt w:val="bullet"/>
      <w:start w:val="1"/>
    </w:lvl>
    <w:lvl w:ilvl="1">
      <w:lvlJc w:val="left"/>
      <w:lvlText w:val="(%2)"/>
      <w:numFmt w:val="lowerLetter"/>
      <w:start w:val="1"/>
    </w:lvl>
  </w:abstractNum>
  <w:abstractNum w:abstractNumId="19">
    <w:nsid w:val="79838CB2"/>
    <w:multiLevelType w:val="hybridMultilevel"/>
    <w:lvl w:ilvl="0">
      <w:lvlJc w:val="left"/>
      <w:lvlText w:val="3"/>
      <w:numFmt w:val="bullet"/>
      <w:start w:val="1"/>
    </w:lvl>
  </w:abstractNum>
  <w:abstractNum w:abstractNumId="20">
    <w:nsid w:val="4353D0CD"/>
    <w:multiLevelType w:val="hybridMultilevel"/>
    <w:lvl w:ilvl="0">
      <w:lvlJc w:val="left"/>
      <w:lvlText w:val="4"/>
      <w:numFmt w:val="bullet"/>
      <w:start w:val="1"/>
    </w:lvl>
  </w:abstractNum>
  <w:abstractNum w:abstractNumId="21">
    <w:nsid w:val="B03E0C6"/>
    <w:multiLevelType w:val="hybridMultilevel"/>
    <w:lvl w:ilvl="0">
      <w:lvlJc w:val="left"/>
      <w:lvlText w:val="9"/>
      <w:numFmt w:val="bullet"/>
      <w:start w:val="1"/>
    </w:lvl>
  </w:abstractNum>
  <w:abstractNum w:abstractNumId="22">
    <w:nsid w:val="189A769B"/>
    <w:multiLevelType w:val="hybridMultilevel"/>
    <w:lvl w:ilvl="0">
      <w:lvlJc w:val="left"/>
      <w:lvlText w:val="%1"/>
      <w:numFmt w:val="decimal"/>
      <w:start w:val="10"/>
    </w:lvl>
  </w:abstractNum>
  <w:abstractNum w:abstractNumId="23">
    <w:nsid w:val="54E49EB4"/>
    <w:multiLevelType w:val="hybridMultilevel"/>
    <w:lvl w:ilvl="0">
      <w:lvlJc w:val="left"/>
      <w:lvlText w:val="%1"/>
      <w:numFmt w:val="decimal"/>
      <w:start w:val="11"/>
    </w:lvl>
  </w:abstractNum>
  <w:abstractNum w:abstractNumId="24">
    <w:nsid w:val="71F32454"/>
    <w:multiLevelType w:val="hybridMultilevel"/>
    <w:lvl w:ilvl="0">
      <w:lvlJc w:val="left"/>
      <w:lvlText w:val="%1"/>
      <w:numFmt w:val="decimal"/>
      <w:start w:val="12"/>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2020-01-16T07:56:59Z</dcterms:created>
  <dcterms:modified xsi:type="dcterms:W3CDTF">2020-01-16T07:56:59Z</dcterms:modified>
</cp:coreProperties>
</file>