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100000</w:t>
            </w: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349000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80065145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Founder shares</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which were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exchanged for</w:t>
      </w:r>
    </w:p>
    <w:p>
      <w:pPr>
        <w:ind w:left="2560"/>
        <w:spacing w:after="0" w:line="231" w:lineRule="auto"/>
        <w:rPr>
          <w:sz w:val="20"/>
          <w:szCs w:val="20"/>
          <w:color w:val="auto"/>
        </w:rPr>
      </w:pPr>
      <w:r>
        <w:rPr>
          <w:rFonts w:ascii="Times New Roman" w:cs="Times New Roman" w:eastAsia="Times New Roman" w:hAnsi="Times New Roman"/>
          <w:sz w:val="22"/>
          <w:szCs w:val="22"/>
          <w:color w:val="auto"/>
        </w:rPr>
        <w:t>post-merger shares</w:t>
      </w: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07/25/2018 from the Priority</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1331853</w:t>
      </w:r>
      <w:r>
        <w:rPr>
          <w:sz w:val="20"/>
          <w:szCs w:val="20"/>
          <w:color w:val="auto"/>
        </w:rPr>
        <w:tab/>
      </w:r>
      <w:r>
        <w:rPr>
          <w:rFonts w:ascii="Times New Roman" w:cs="Times New Roman" w:eastAsia="Times New Roman" w:hAnsi="Times New Roman"/>
          <w:sz w:val="21"/>
          <w:szCs w:val="21"/>
          <w:color w:val="auto"/>
        </w:rPr>
        <w:t>07/25/2018 N/A</w:t>
      </w:r>
    </w:p>
    <w:p>
      <w:pPr>
        <w:ind w:left="2560"/>
        <w:spacing w:after="0" w:line="231" w:lineRule="auto"/>
        <w:rPr>
          <w:sz w:val="20"/>
          <w:szCs w:val="20"/>
          <w:color w:val="auto"/>
        </w:rPr>
      </w:pPr>
      <w:r>
        <w:rPr>
          <w:rFonts w:ascii="Times New Roman" w:cs="Times New Roman" w:eastAsia="Times New Roman" w:hAnsi="Times New Roman"/>
          <w:sz w:val="22"/>
          <w:szCs w:val="22"/>
          <w:color w:val="auto"/>
        </w:rPr>
        <w:t>Holdings LLC &amp;</w:t>
      </w:r>
    </w:p>
    <w:p>
      <w:pPr>
        <w:ind w:left="2560"/>
        <w:spacing w:after="0" w:line="230" w:lineRule="auto"/>
        <w:rPr>
          <w:sz w:val="20"/>
          <w:szCs w:val="20"/>
          <w:color w:val="auto"/>
        </w:rPr>
      </w:pPr>
      <w:r>
        <w:rPr>
          <w:rFonts w:ascii="Times New Roman" w:cs="Times New Roman" w:eastAsia="Times New Roman" w:hAnsi="Times New Roman"/>
          <w:sz w:val="22"/>
          <w:szCs w:val="22"/>
          <w:color w:val="auto"/>
        </w:rPr>
        <w:t>M I Acquisition</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 on July 31,</w:t>
      </w:r>
    </w:p>
    <w:p>
      <w:pPr>
        <w:ind w:left="2560"/>
        <w:spacing w:after="0"/>
        <w:rPr>
          <w:sz w:val="20"/>
          <w:szCs w:val="20"/>
          <w:color w:val="auto"/>
        </w:rPr>
      </w:pPr>
      <w:r>
        <w:rPr>
          <w:rFonts w:ascii="Times New Roman" w:cs="Times New Roman" w:eastAsia="Times New Roman" w:hAnsi="Times New Roman"/>
          <w:sz w:val="22"/>
          <w:szCs w:val="22"/>
          <w:color w:val="auto"/>
        </w:rPr>
        <w:t>2018</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0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gridSpan w:val="2"/>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05/01/2024 1305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4148.19</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3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0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30004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04/01/2024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33018.27</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36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0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30004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03/05/2024 2063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6608.74</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3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0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30004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03/04/2024 4495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14318.05</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3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0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30004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Priority Technology Holdings, Inc.</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03/01/2024 3442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10988.33</w:t>
            </w: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3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0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30004</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6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Sean Kiewiet</w:t>
      </w:r>
    </w:p>
    <w:p>
      <w:pPr>
        <w:sectPr>
          <w:pgSz w:w="11900" w:h="16838" w:orient="portrait"/>
          <w:cols w:equalWidth="0" w:num="1">
            <w:col w:w="11240"/>
          </w:cols>
          <w:pgMar w:left="320" w:top="10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2024-05-14T16:47:11Z</dcterms:created>
  <dcterms:modified xsi:type="dcterms:W3CDTF">2024-05-14T16:47:11Z</dcterms:modified>
</cp:coreProperties>
</file>