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June 26, 2018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 I Acquisitions,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80" w:type="dxa"/>
            <w:vAlign w:val="bottom"/>
            <w:gridSpan w:val="3"/>
          </w:tcPr>
          <w:p>
            <w:pPr>
              <w:jc w:val="center"/>
              <w:ind w:right="840"/>
              <w:spacing w:after="0"/>
              <w:rPr>
                <w:sz w:val="20"/>
                <w:szCs w:val="20"/>
                <w:color w:val="auto"/>
              </w:rPr>
            </w:pPr>
            <w:r>
              <w:rPr>
                <w:rFonts w:ascii="Arial" w:cs="Arial" w:eastAsia="Arial" w:hAnsi="Arial"/>
                <w:sz w:val="18"/>
                <w:szCs w:val="18"/>
                <w:b w:val="1"/>
                <w:bCs w:val="1"/>
                <w:color w:val="auto"/>
                <w:w w:val="91"/>
              </w:rPr>
              <w:t>Delaware</w:t>
            </w:r>
          </w:p>
        </w:tc>
        <w:tc>
          <w:tcPr>
            <w:tcW w:w="3040" w:type="dxa"/>
            <w:vAlign w:val="bottom"/>
            <w:gridSpan w:val="3"/>
          </w:tcPr>
          <w:p>
            <w:pPr>
              <w:jc w:val="right"/>
              <w:ind w:right="1420"/>
              <w:spacing w:after="0"/>
              <w:rPr>
                <w:sz w:val="20"/>
                <w:szCs w:val="20"/>
                <w:color w:val="auto"/>
              </w:rPr>
            </w:pPr>
            <w:r>
              <w:rPr>
                <w:rFonts w:ascii="Arial" w:cs="Arial" w:eastAsia="Arial" w:hAnsi="Arial"/>
                <w:sz w:val="18"/>
                <w:szCs w:val="18"/>
                <w:b w:val="1"/>
                <w:bCs w:val="1"/>
                <w:color w:val="auto"/>
              </w:rPr>
              <w:t>001-37872</w:t>
            </w:r>
          </w:p>
        </w:tc>
        <w:tc>
          <w:tcPr>
            <w:tcW w:w="3860" w:type="dxa"/>
            <w:vAlign w:val="bottom"/>
            <w:gridSpan w:val="2"/>
          </w:tcPr>
          <w:p>
            <w:pPr>
              <w:jc w:val="right"/>
              <w:ind w:right="1270"/>
              <w:spacing w:after="0"/>
              <w:rPr>
                <w:sz w:val="20"/>
                <w:szCs w:val="20"/>
                <w:color w:val="auto"/>
              </w:rPr>
            </w:pPr>
            <w:r>
              <w:rPr>
                <w:rFonts w:ascii="Arial" w:cs="Arial" w:eastAsia="Arial" w:hAnsi="Arial"/>
                <w:sz w:val="18"/>
                <w:szCs w:val="18"/>
                <w:b w:val="1"/>
                <w:bCs w:val="1"/>
                <w:color w:val="auto"/>
              </w:rPr>
              <w:t>47-4257046</w:t>
            </w:r>
          </w:p>
        </w:tc>
        <w:tc>
          <w:tcPr>
            <w:tcW w:w="20" w:type="dxa"/>
            <w:vAlign w:val="bottom"/>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26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040" w:type="dxa"/>
            <w:vAlign w:val="bottom"/>
            <w:tcBorders>
              <w:top w:val="single" w:sz="8" w:color="auto"/>
            </w:tcBorders>
            <w:gridSpan w:val="3"/>
          </w:tcPr>
          <w:p>
            <w:pPr>
              <w:jc w:val="center"/>
              <w:ind w:right="580"/>
              <w:spacing w:after="0"/>
              <w:rPr>
                <w:sz w:val="20"/>
                <w:szCs w:val="20"/>
                <w:color w:val="auto"/>
              </w:rPr>
            </w:pPr>
            <w:r>
              <w:rPr>
                <w:rFonts w:ascii="Arial" w:cs="Arial" w:eastAsia="Arial" w:hAnsi="Arial"/>
                <w:sz w:val="18"/>
                <w:szCs w:val="18"/>
                <w:color w:val="auto"/>
                <w:w w:val="92"/>
              </w:rPr>
              <w:t>(Commission File Number)</w:t>
            </w:r>
          </w:p>
        </w:tc>
        <w:tc>
          <w:tcPr>
            <w:tcW w:w="240" w:type="dxa"/>
            <w:vAlign w:val="bottom"/>
          </w:tcPr>
          <w:p>
            <w:pPr>
              <w:spacing w:after="0"/>
              <w:rPr>
                <w:sz w:val="19"/>
                <w:szCs w:val="19"/>
                <w:color w:val="auto"/>
              </w:rPr>
            </w:pPr>
          </w:p>
        </w:tc>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c>
          <w:tcPr>
            <w:tcW w:w="20" w:type="dxa"/>
            <w:vAlign w:val="bottom"/>
          </w:tcPr>
          <w:p>
            <w:pPr>
              <w:spacing w:after="0"/>
              <w:rPr>
                <w:sz w:val="19"/>
                <w:szCs w:val="19"/>
                <w:color w:val="auto"/>
              </w:rPr>
            </w:pPr>
          </w:p>
        </w:tc>
      </w:tr>
      <w:tr>
        <w:trPr>
          <w:trHeight w:val="454"/>
        </w:trPr>
        <w:tc>
          <w:tcPr>
            <w:tcW w:w="20" w:type="dxa"/>
            <w:vAlign w:val="bottom"/>
          </w:tcPr>
          <w:p>
            <w:pPr>
              <w:spacing w:after="0"/>
              <w:rPr>
                <w:sz w:val="24"/>
                <w:szCs w:val="24"/>
                <w:color w:val="auto"/>
              </w:rPr>
            </w:pPr>
          </w:p>
        </w:tc>
        <w:tc>
          <w:tcPr>
            <w:tcW w:w="448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2"/>
              </w:rPr>
              <w:t>c/o Magna Management LLC</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48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2"/>
              </w:rPr>
              <w:t>40 Wall Street, 58th Floor</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0" w:type="dxa"/>
            <w:vAlign w:val="bottom"/>
            <w:tcBorders>
              <w:bottom w:val="single" w:sz="8" w:color="auto"/>
            </w:tcBorders>
          </w:tcPr>
          <w:p>
            <w:pPr>
              <w:spacing w:after="0"/>
              <w:rPr>
                <w:sz w:val="20"/>
                <w:szCs w:val="20"/>
                <w:color w:val="auto"/>
              </w:rPr>
            </w:pPr>
          </w:p>
        </w:tc>
        <w:tc>
          <w:tcPr>
            <w:tcW w:w="4480" w:type="dxa"/>
            <w:vAlign w:val="bottom"/>
            <w:tcBorders>
              <w:bottom w:val="single" w:sz="8" w:color="auto"/>
            </w:tcBorders>
            <w:gridSpan w:val="3"/>
          </w:tcPr>
          <w:p>
            <w:pPr>
              <w:jc w:val="center"/>
              <w:ind w:left="1010"/>
              <w:spacing w:after="0"/>
              <w:rPr>
                <w:sz w:val="20"/>
                <w:szCs w:val="20"/>
                <w:color w:val="auto"/>
              </w:rPr>
            </w:pPr>
            <w:r>
              <w:rPr>
                <w:rFonts w:ascii="Arial" w:cs="Arial" w:eastAsia="Arial" w:hAnsi="Arial"/>
                <w:sz w:val="18"/>
                <w:szCs w:val="18"/>
                <w:b w:val="1"/>
                <w:bCs w:val="1"/>
                <w:color w:val="auto"/>
                <w:w w:val="93"/>
              </w:rPr>
              <w:t>New York, NY</w:t>
            </w:r>
          </w:p>
        </w:tc>
        <w:tc>
          <w:tcPr>
            <w:tcW w:w="11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2"/>
          </w:tcPr>
          <w:p>
            <w:pPr>
              <w:jc w:val="right"/>
              <w:ind w:right="2470"/>
              <w:spacing w:after="0"/>
              <w:rPr>
                <w:sz w:val="20"/>
                <w:szCs w:val="20"/>
                <w:color w:val="auto"/>
              </w:rPr>
            </w:pPr>
            <w:r>
              <w:rPr>
                <w:rFonts w:ascii="Arial" w:cs="Arial" w:eastAsia="Arial" w:hAnsi="Arial"/>
                <w:sz w:val="18"/>
                <w:szCs w:val="18"/>
                <w:b w:val="1"/>
                <w:bCs w:val="1"/>
                <w:color w:val="auto"/>
              </w:rPr>
              <w:t>10005</w:t>
            </w:r>
          </w:p>
        </w:tc>
        <w:tc>
          <w:tcPr>
            <w:tcW w:w="20" w:type="dxa"/>
            <w:vAlign w:val="bottom"/>
            <w:tcBorders>
              <w:bottom w:val="single" w:sz="8" w:color="auto"/>
            </w:tcBorders>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4480" w:type="dxa"/>
            <w:vAlign w:val="bottom"/>
            <w:gridSpan w:val="3"/>
          </w:tcPr>
          <w:p>
            <w:pPr>
              <w:jc w:val="center"/>
              <w:ind w:left="1010"/>
              <w:spacing w:after="0"/>
              <w:rPr>
                <w:sz w:val="20"/>
                <w:szCs w:val="20"/>
                <w:color w:val="auto"/>
              </w:rPr>
            </w:pPr>
            <w:r>
              <w:rPr>
                <w:rFonts w:ascii="Arial" w:cs="Arial" w:eastAsia="Arial" w:hAnsi="Arial"/>
                <w:sz w:val="18"/>
                <w:szCs w:val="18"/>
                <w:color w:val="auto"/>
                <w:w w:val="92"/>
              </w:rPr>
              <w:t>(Address of Principal Executive Offices)</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20" w:type="dxa"/>
            <w:vAlign w:val="bottom"/>
          </w:tcPr>
          <w:p>
            <w:pPr>
              <w:jc w:val="center"/>
              <w:ind w:right="1850"/>
              <w:spacing w:after="0"/>
              <w:rPr>
                <w:sz w:val="20"/>
                <w:szCs w:val="20"/>
                <w:color w:val="auto"/>
              </w:rPr>
            </w:pPr>
            <w:r>
              <w:rPr>
                <w:rFonts w:ascii="Arial" w:cs="Arial" w:eastAsia="Arial" w:hAnsi="Arial"/>
                <w:sz w:val="18"/>
                <w:szCs w:val="18"/>
                <w:color w:val="auto"/>
                <w:w w:val="94"/>
              </w:rPr>
              <w:t>(Zip Code)</w:t>
            </w:r>
          </w:p>
        </w:tc>
        <w:tc>
          <w:tcPr>
            <w:tcW w:w="20" w:type="dxa"/>
            <w:vAlign w:val="bottom"/>
          </w:tcPr>
          <w:p>
            <w:pPr>
              <w:spacing w:after="0"/>
              <w:rPr>
                <w:sz w:val="19"/>
                <w:szCs w:val="19"/>
                <w:color w:val="auto"/>
              </w:rPr>
            </w:pP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(347) 491-4240</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-130175</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5" w:lineRule="exact"/>
        <w:rPr>
          <w:sz w:val="24"/>
          <w:szCs w:val="24"/>
          <w:color w:val="auto"/>
        </w:rPr>
      </w:pPr>
    </w:p>
    <w:p>
      <w:pPr>
        <w:ind w:right="80" w:firstLine="45"/>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w:t>
      </w:r>
    </w:p>
    <w:p>
      <w:pPr>
        <w:spacing w:after="0" w:line="225"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w:t>
      </w:r>
    </w:p>
    <w:p>
      <w:pPr>
        <w:spacing w:after="0" w:line="225"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w:t>
      </w:r>
    </w:p>
    <w:p>
      <w:pPr>
        <w:spacing w:after="0" w:line="225" w:lineRule="exact"/>
        <w:rPr>
          <w:rFonts w:ascii="MS PGothic" w:cs="MS PGothic" w:eastAsia="MS PGothic" w:hAnsi="MS PGothic"/>
          <w:sz w:val="18"/>
          <w:szCs w:val="18"/>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w:t>
      </w:r>
    </w:p>
    <w:p>
      <w:pPr>
        <w:spacing w:after="0" w:line="225"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p>
      <w:pPr>
        <w:ind w:right="40"/>
        <w:spacing w:after="0" w:line="295" w:lineRule="auto"/>
        <w:rPr>
          <w:sz w:val="20"/>
          <w:szCs w:val="20"/>
          <w:color w:val="auto"/>
        </w:rPr>
      </w:pPr>
      <w:r>
        <w:rPr>
          <w:rFonts w:ascii="Arial" w:cs="Arial" w:eastAsia="Arial" w:hAnsi="Arial"/>
          <w:sz w:val="16"/>
          <w:szCs w:val="16"/>
          <w:b w:val="1"/>
          <w:bCs w:val="1"/>
          <w:color w:val="auto"/>
        </w:rPr>
        <w:t>Priority Holdings, LLC (“Priority”), M I Acquisitions, Inc. (“M I”), and their respective directors, executive officers and employees and other persons may be deemed to be participants in the solicitation of proxies from the holders of M I common stock in respect of the proposed transaction between them. Information about M I’s directors and executive officers and their ownership of M I’s common stock is set forth in M I’s Annual Report on Form 10-K for the year ended December 31, 2017 filed with the SEC, as modified or supplemented by any Form 3 or Form 4 filed with the SEC since the date of such filing. Other information regarding the interests of the participants in the proxy solicitation are included in the Preliminary Proxy Statement (as defined below). These documents can be obtained free of charge from the sources indicated above.</w:t>
      </w:r>
    </w:p>
    <w:p>
      <w:pPr>
        <w:spacing w:after="0" w:line="15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color w:val="auto"/>
        </w:rPr>
        <w:t>In connection with the proposed transaction between Priority and M I, M I filed a preliminary proxy statement on Schedule 14A (the “Preliminary Proxy Statement”) with the Securities and Exchange Commission (the “SEC”) on May 25, 2018, which includes information relating to the transaction between Priority and M I. Promptly after filing its definitive proxy statement with the SEC, M I will mail the definitive proxy statement and a proxy card to each stockholder entitled to vote at the special meeting relating to the transaction. INVESTORS AND SECURITY HOLDERS OF M I ARE URGED TO READ THESE MATERIALS (INCLUDING ANY AMENDMENTS OR SUPPLEMENTS THERETO) AND ANY OTHER RELEVANT DOCUMENTS IN CONNECTION WITH THE TRANSACTION THAT M I WILL FILE WITH THE SEC WHEN THEY BECOME AVAILABLE BECAUSE THEY WILL CONTAIN IMPORTANT INFORMATION ABOUT M I, PRIORITY AND THE TRANSACTION. The Preliminary Proxy Statement, the definitive proxy statement (when it becomes available), and other relevant materials in connection with the transaction, and any other documents filed by M I with the SEC, may be obtained free of charge at the SEC’s website (www.sec.gov) or at M I’s website (www.miacquisitions.com) or by writing to M I, c/o Magna Management LLC, 40 Wall Street, 58th Floor, New York, NY 10005.</w:t>
      </w:r>
    </w:p>
    <w:p>
      <w:pPr>
        <w:spacing w:after="0" w:line="193"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color w:val="auto"/>
        </w:rPr>
        <w:t>This current report on Form 8-K contains certain “forward-looking statements” within the meaning of the Securities Act of 1933 and the Securities Exchange Act of 1934, both as amended by the Private Securities Litigation Reform Act of 1995. Statements that are not historical facts, including statements about the pending transaction between M I and Priority and the transactions contemplated thereby, and the parties’ perspectives and expectations, are forward looking statements. Such statements include, but are not limited to, statements regarding the proposed transaction, including the anticipated initial enterprise value and post-closing equity value, the benefits of the proposed transaction, integration plans, expected synergies and revenue opportunities, anticipated future financial and operating performance and results, including estimates for growth, the expected management and governance of the combined company, and the expected timing of the transactions contemplated by the contribution agreement between M I and Priority dated February 26, 2018, as subsequently amended and restated on March 26, 2018 and April 17, 2018 (the “Purchase Agreement”). The words “expect,” “believe,” “estimate,” “intend,” “plan” and similar expressions indicate forward-looking statements. These forward-looking statements are not guarantees of future performance and are subject to various risks and uncertainties, assumptions (including assumptions about general economic, market, industry and operational factors), known or unknown, which could cause the actual results to vary materially from those indicated or anticipated.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60"/>
          </w:cols>
          <w:pgMar w:left="240" w:top="796" w:right="299" w:bottom="1440" w:gutter="0" w:footer="0" w:header="0"/>
        </w:sectPr>
      </w:pPr>
    </w:p>
    <w:bookmarkStart w:id="2" w:name="page3"/>
    <w:bookmarkEnd w:id="2"/>
    <w:p>
      <w:pPr>
        <w:ind w:right="40"/>
        <w:spacing w:after="0" w:line="286" w:lineRule="auto"/>
        <w:rPr>
          <w:sz w:val="20"/>
          <w:szCs w:val="20"/>
          <w:color w:val="auto"/>
        </w:rPr>
      </w:pPr>
      <w:r>
        <w:rPr>
          <w:rFonts w:ascii="Arial" w:cs="Arial" w:eastAsia="Arial" w:hAnsi="Arial"/>
          <w:sz w:val="16"/>
          <w:szCs w:val="16"/>
          <w:b w:val="1"/>
          <w:bCs w:val="1"/>
          <w:color w:val="auto"/>
        </w:rPr>
        <w:t>Such risks and uncertainties include, but are not limited to: (i) risks related to the expected timing and likelihood of completion of the pending transaction, including the risk that the transaction may not close due to one or more closing conditions to the transaction not being satisfied or waived, such as regulatory approvals not being obtained, on a timely basis or otherwise, or that a governmental entity prohibited, delayed or refused to grant approval for the consummation of the transaction or required certain conditions, limitations or restrictions in connection with such approvals, or that the required approval of the Purchase Agreement by the stockholders of M I was not obtained; (ii) the occurrence of any event, change or other circumstances that could give rise to the termination of the Purchase Agreement; (iii) the risk that there may be a material adverse change with respect to the financial position, performance, operations or prospects of Priority or M I; (iv) risks related to disruption of management time from ongoing business operations due to the proposed transaction; (v) the risk that any announcements relating to the proposed transaction could have adverse effects on the market price of M I’s common stock; (vi) the risk that the proposed transaction and its announcement could have an adverse effect on the ability of Priority and M I to retain customers and retain and hire key personnel and maintain relationships with their suppliers and customers and on their operating results and businesses generally; (vii) risks related to successfully integrating the businesses of the companies, which may result in the combined company not operating as effectively and efficiently as expected; (viii) the risk that the combined company may be unable to achieve cost-cutting synergies or it may take longer than expected to achieve those synergies; and (ix) risks associated with the financing of the proposed transaction.</w:t>
      </w:r>
    </w:p>
    <w:p>
      <w:pPr>
        <w:spacing w:after="0" w:line="172"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color w:val="auto"/>
        </w:rPr>
        <w:t>A further list and description of risks and uncertainties can be found in M I’s Annual Report on Form 10-K for the fiscal year ending December 31, 2017 that M I filed with the SEC and in the Preliminary Proxy Statement, and other documents that the parties may file or furnish with the SEC, which you are encouraged to read. Should one or more of these risks or uncertainties materialize, or should underlying assumptions prove incorrect, actual results may vary materially from those indicated or anticipated by such forward-looking statements. Accordingly, you are cautioned not to place undue reliance on these forward-looking statements. Forward-looking statements relate only to the date they were made, and M I, Priority, and their subsidiaries undertake no obligation to update forward-looking statements to reflect events or circumstances after the date they were made except as required by law or applicable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June 26, 2018, M I Acquisitions, Inc. (“M I”) announced that it set the date of M I’s special meeting of shareholders to vote on the previously announced transaction with Priority Holdings, LLC, a leading provider of B2C and B2B payment processing solutions based in Alpharetta, GA, for Thursday, July 19, 2018. The meeting will begin at 10:00 a.m. local time at the offices of Loeb &amp; Loeb LLP, which are located at 345 Park Avenue, New York, New York 10154. The record date for those eligible to receive notice of and to vote at the special meeting of shareholders is June 29,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1620" w:type="dxa"/>
            <w:vAlign w:val="bottom"/>
            <w:gridSpan w:val="3"/>
          </w:tcPr>
          <w:p>
            <w:pPr>
              <w:spacing w:after="0"/>
              <w:rPr>
                <w:sz w:val="20"/>
                <w:szCs w:val="20"/>
                <w:color w:val="auto"/>
              </w:rPr>
            </w:pPr>
            <w:r>
              <w:rPr>
                <w:rFonts w:ascii="Arial" w:cs="Arial" w:eastAsia="Arial" w:hAnsi="Arial"/>
                <w:sz w:val="18"/>
                <w:szCs w:val="18"/>
                <w:color w:val="auto"/>
              </w:rPr>
              <w:t>(c)  Exhibits:</w:t>
            </w:r>
          </w:p>
        </w:tc>
        <w:tc>
          <w:tcPr>
            <w:tcW w:w="8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680" w:type="dxa"/>
            <w:vAlign w:val="bottom"/>
          </w:tcPr>
          <w:p>
            <w:pPr>
              <w:spacing w:after="0"/>
              <w:rPr>
                <w:sz w:val="20"/>
                <w:szCs w:val="20"/>
                <w:color w:val="auto"/>
              </w:rPr>
            </w:pPr>
          </w:p>
        </w:tc>
      </w:tr>
      <w:tr>
        <w:trPr>
          <w:trHeight w:val="392"/>
        </w:trPr>
        <w:tc>
          <w:tcPr>
            <w:tcW w:w="660" w:type="dxa"/>
            <w:vAlign w:val="bottom"/>
          </w:tcPr>
          <w:p>
            <w:pPr>
              <w:spacing w:after="0"/>
              <w:rPr>
                <w:sz w:val="24"/>
                <w:szCs w:val="24"/>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4"/>
              </w:rPr>
              <w:t>Exhibit No.</w:t>
            </w:r>
          </w:p>
        </w:tc>
        <w:tc>
          <w:tcPr>
            <w:tcW w:w="78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Description</w:t>
            </w:r>
          </w:p>
        </w:tc>
        <w:tc>
          <w:tcPr>
            <w:tcW w:w="8300" w:type="dxa"/>
            <w:vAlign w:val="bottom"/>
            <w:gridSpan w:val="2"/>
          </w:tcPr>
          <w:p>
            <w:pPr>
              <w:spacing w:after="0"/>
              <w:rPr>
                <w:sz w:val="24"/>
                <w:szCs w:val="24"/>
                <w:color w:val="auto"/>
              </w:rPr>
            </w:pPr>
          </w:p>
        </w:tc>
      </w:tr>
      <w:tr>
        <w:trPr>
          <w:trHeight w:val="412"/>
        </w:trPr>
        <w:tc>
          <w:tcPr>
            <w:tcW w:w="1500" w:type="dxa"/>
            <w:vAlign w:val="bottom"/>
            <w:gridSpan w:val="3"/>
          </w:tcPr>
          <w:p>
            <w:pPr>
              <w:ind w:left="660"/>
              <w:spacing w:after="0"/>
              <w:rPr>
                <w:rFonts w:ascii="Arial" w:cs="Arial" w:eastAsia="Arial" w:hAnsi="Arial"/>
                <w:sz w:val="18"/>
                <w:szCs w:val="18"/>
                <w:color w:val="0000EE"/>
              </w:rPr>
            </w:pPr>
            <w:hyperlink w:anchor="page6">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780" w:type="dxa"/>
            <w:vAlign w:val="bottom"/>
          </w:tcPr>
          <w:p>
            <w:pPr>
              <w:spacing w:after="0"/>
              <w:rPr>
                <w:sz w:val="24"/>
                <w:szCs w:val="24"/>
                <w:color w:val="auto"/>
              </w:rPr>
            </w:pPr>
          </w:p>
        </w:tc>
        <w:tc>
          <w:tcPr>
            <w:tcW w:w="9140" w:type="dxa"/>
            <w:vAlign w:val="bottom"/>
            <w:gridSpan w:val="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Press Release dated June 26, 2018</w:t>
              </w:r>
            </w:hyperlink>
          </w:p>
        </w:tc>
      </w:tr>
      <w:tr>
        <w:trPr>
          <w:trHeight w:val="365"/>
        </w:trPr>
        <w:tc>
          <w:tcPr>
            <w:tcW w:w="660" w:type="dxa"/>
            <w:vAlign w:val="bottom"/>
            <w:tcBorders>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40" w:type="dxa"/>
            <w:vAlign w:val="bottom"/>
            <w:tcBorders>
              <w:top w:val="single" w:sz="8" w:color="0000EE"/>
              <w:bottom w:val="single" w:sz="8" w:color="auto"/>
            </w:tcBorders>
          </w:tcPr>
          <w:p>
            <w:pPr>
              <w:spacing w:after="0"/>
              <w:rPr>
                <w:sz w:val="24"/>
                <w:szCs w:val="24"/>
                <w:color w:val="auto"/>
              </w:rPr>
            </w:pPr>
          </w:p>
        </w:tc>
        <w:tc>
          <w:tcPr>
            <w:tcW w:w="1620" w:type="dxa"/>
            <w:vAlign w:val="bottom"/>
            <w:tcBorders>
              <w:top w:val="single" w:sz="8" w:color="0000EE"/>
              <w:bottom w:val="single" w:sz="8" w:color="auto"/>
            </w:tcBorders>
          </w:tcPr>
          <w:p>
            <w:pPr>
              <w:spacing w:after="0"/>
              <w:rPr>
                <w:sz w:val="24"/>
                <w:szCs w:val="24"/>
                <w:color w:val="auto"/>
              </w:rPr>
            </w:pPr>
          </w:p>
        </w:tc>
        <w:tc>
          <w:tcPr>
            <w:tcW w:w="66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4" w:name="page5"/>
    <w:bookmarkEnd w:id="4"/>
    <w:p>
      <w:pPr>
        <w:jc w:val="center"/>
        <w:ind w:left="3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June 26,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Joshua Sason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267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99.1</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 I Acquisitions, Inc. Announces Date of Special Meeting of Shareholders and Record Date</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NEW YORK, June 26, 2018 /PRNewswire/ -- M I Acquisitions, Inc. (NASDAQ: MACQU, MACQ, MACQW) (“M I”), a Magna-sponsored special purpose acquisition company, announced today that it has set the date of M I’s special meeting of shareholders to vote on the previously announced transaction with Priority Holdings, LLC, a leading provider of B2C and B2B payment processing solutions based in Alpharetta, GA, for Thursday, July 19, 2018. The meeting will begin at 10:00 a.m. local time at the offices of Loeb &amp; Loeb LLP, which are located at 345 Park Avenue, New York, New York 10154. The record date for those eligible to receive notice of and to vote at the special meeting of shareholders is June 29, 2018.</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 I Acquisitions</w:t>
      </w:r>
    </w:p>
    <w:p>
      <w:pPr>
        <w:spacing w:after="0" w:line="229" w:lineRule="exact"/>
        <w:rPr>
          <w:sz w:val="20"/>
          <w:szCs w:val="20"/>
          <w:color w:val="auto"/>
        </w:rPr>
      </w:pPr>
    </w:p>
    <w:p>
      <w:pPr>
        <w:ind w:right="720"/>
        <w:spacing w:after="0" w:line="286" w:lineRule="auto"/>
        <w:rPr>
          <w:sz w:val="20"/>
          <w:szCs w:val="20"/>
          <w:color w:val="auto"/>
        </w:rPr>
      </w:pPr>
      <w:r>
        <w:rPr>
          <w:rFonts w:ascii="Arial" w:cs="Arial" w:eastAsia="Arial" w:hAnsi="Arial"/>
          <w:sz w:val="17"/>
          <w:szCs w:val="17"/>
          <w:color w:val="auto"/>
        </w:rPr>
        <w:t>M I is a blank check company formed for the purpose of entering into a merger, share exchange, asset acquisition, stock purchase, recapitalization, reorganization or other similar business combination with one or more businesses or entities sponsored by NY-based investment firm, Magna. M I’s securities are quoted on the NASDAQ stock exchange under the ticker symbols MACQ, MACQW and MACQU.</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Notice Regarding Forward-Looking Statements</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This press release contains statements that constitute “forward-looking statements” including with respect to the pending business combination with Priority. Forward-looking statements are subject to numerous conditions, many of which are beyond the control of M I, including those set forth in the Risk Factors section of M I’s annual report on Form 10-K for the year ended December 31, 2017, filed with the Securities and Exchange Commission (“SEC”). Copies are available on the SEC’s website, www.sec.gov. M I undertakes no obligation to update these statements for revisions or changes after the date of this release, except as required by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Solicitation</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Priority Holdings, LLC (“Priority”), M I and their respective directors, executive officers and employees and other persons may be deemed to be participants in the solicitation of proxies from the holders of M I common stock in respect of the proposed transaction. Information about M I’s directors and executive officers and their ownership of M I’s common stock is set forth in M I’s Annual Report on Form 10-K for the year ended December 31, 2017 filed with the SEC, as modified or supplemented by any Form 3 or Form 4 filed with the SEC since the date of such filing. Other information regarding the interests of the participants in the proxy solicitation will be included in the proxy statement pertaining to the proposed transaction when it becomes available. These documents can be obtained free of charge from the sources indicated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connection with the transaction with Priority, M I has filed relevant materials with the SEC, including a preliminary proxy statement on Schedule 14A. Promptly after filing its definitive proxy statement with the SEC, M I will mail the definitive proxy statement and a proxy card to each stockholder entitled to vote at the special meeting relating to the transaction. INVESTORS AND SECURITY HOLDERS OF M I ARE URGED TO READ THESE MATERIALS (INCLUDING ANY AMENDMENTS OR SUPPLEMENTS THERETO) AND ANY OTHER RELEVANT DOCUMENTS IN CONNECTION WITH THE TRANSACTION THAT M I WILL FILE WITH THE SEC WHEN THEY BECOME AVAILABLE BECAUSE THEY WILL CONTAIN IMPORTANT INFORMATION ABOUT M I, PRIORITY AND THE TRANSACTION. The definitive proxy statement, the preliminary proxy statement and other relevant materials in connection with the transaction (when they become available), and any other documents filed by M I with the SEC, may be obtained free of charge at the SEC’s website (www.sec.gov) or at M I’s website (www.miacquisitions.com) or by writing to M I, c/o Magna Management LLC, 40 Wall Street, 58th Floor, New York, NY 10005.</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00"/>
      </w:cols>
      <w:pgMar w:left="240" w:top="796"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2020-01-15T17:45:21Z</dcterms:created>
  <dcterms:modified xsi:type="dcterms:W3CDTF">2020-01-15T17:45:21Z</dcterms:modified>
</cp:coreProperties>
</file>