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 w:line="16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United States securities and exchange commission logo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11" w:lineRule="exact"/>
        <w:rPr>
          <w:sz w:val="24"/>
          <w:szCs w:val="24"/>
          <w:color w:val="auto"/>
        </w:rPr>
      </w:pPr>
    </w:p>
    <w:p>
      <w:pPr>
        <w:ind w:left="286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October 31, 2022</w:t>
      </w:r>
    </w:p>
    <w:p>
      <w:pPr>
        <w:spacing w:after="0" w:line="201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Thomas Priore</w:t>
      </w:r>
    </w:p>
    <w:p>
      <w:pPr>
        <w:spacing w:after="0" w:line="29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President, Chief Executive Officer and Chairman</w:t>
      </w:r>
    </w:p>
    <w:p>
      <w:pPr>
        <w:ind w:left="74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Priority Technology Holdings, Inc.</w:t>
      </w:r>
    </w:p>
    <w:p>
      <w:pPr>
        <w:ind w:left="74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2001 Westside Parkway, Suite 155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Alpharetta, GA 30004</w:t>
      </w:r>
    </w:p>
    <w:p>
      <w:pPr>
        <w:spacing w:after="0" w:line="169" w:lineRule="exact"/>
        <w:rPr>
          <w:sz w:val="24"/>
          <w:szCs w:val="24"/>
          <w:color w:val="auto"/>
        </w:rPr>
      </w:pPr>
    </w:p>
    <w:p>
      <w:pPr>
        <w:jc w:val="right"/>
        <w:ind w:right="1819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Re: Priority Technology</w:t>
      </w:r>
    </w:p>
    <w:p>
      <w:pPr>
        <w:spacing w:after="0" w:line="2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Holdings, Inc.</w:t>
      </w:r>
    </w:p>
    <w:p>
      <w:pPr>
        <w:ind w:left="632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Form 10-K for the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Fiscal Year Ended December 31, 2021</w:t>
      </w:r>
    </w:p>
    <w:p>
      <w:pPr>
        <w:ind w:left="632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8-K filed May 11,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2022</w:t>
      </w:r>
    </w:p>
    <w:p>
      <w:pPr>
        <w:ind w:left="632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File No. 001-37872</w:t>
      </w:r>
    </w:p>
    <w:p>
      <w:pPr>
        <w:spacing w:after="0" w:line="169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Dear Thomas Priore:</w:t>
      </w:r>
    </w:p>
    <w:p>
      <w:pPr>
        <w:spacing w:after="0" w:line="201" w:lineRule="exact"/>
        <w:rPr>
          <w:sz w:val="24"/>
          <w:szCs w:val="24"/>
          <w:color w:val="auto"/>
        </w:rPr>
      </w:pP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We have reviewed your filing and have the following comments. In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some of our</w:t>
      </w:r>
    </w:p>
    <w:p>
      <w:pPr>
        <w:ind w:right="1819" w:firstLine="737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comments, we may ask you to provide us with information so we may better understand your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disclosure.</w:t>
      </w:r>
    </w:p>
    <w:p>
      <w:pPr>
        <w:spacing w:after="0" w:line="169" w:lineRule="exact"/>
        <w:rPr>
          <w:sz w:val="24"/>
          <w:szCs w:val="24"/>
          <w:color w:val="auto"/>
        </w:rPr>
      </w:pPr>
    </w:p>
    <w:p>
      <w:pPr>
        <w:ind w:right="2339" w:firstLine="1474"/>
        <w:spacing w:after="0" w:line="257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Please respond to these comments within ten business days by providing the requested</w:t>
      </w:r>
    </w:p>
    <w:p>
      <w:pPr>
        <w:ind w:right="2019" w:firstLine="737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information or advise us as soon as possible when you will respond. If you do not believe our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right="2119" w:firstLine="737"/>
        <w:spacing w:after="0" w:line="309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comments apply to your facts and circumstances, please tell us why in your response.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590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After reviewing your</w:t>
      </w:r>
    </w:p>
    <w:p>
      <w:pPr>
        <w:spacing w:after="0" w:line="3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response to these comments, we may have additional comments.</w:t>
      </w:r>
    </w:p>
    <w:p>
      <w:pPr>
        <w:spacing w:after="0" w:line="169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Form 10-K for the Fiscal Year Ended December 31, 2021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04"/>
        </w:trPr>
        <w:tc>
          <w:tcPr>
            <w:tcW w:w="4960" w:type="dxa"/>
            <w:vAlign w:val="bottom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Item 1. Business</w:t>
            </w:r>
          </w:p>
        </w:tc>
        <w:tc>
          <w:tcPr>
            <w:tcW w:w="33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6"/>
        </w:trPr>
        <w:tc>
          <w:tcPr>
            <w:tcW w:w="4960" w:type="dxa"/>
            <w:vAlign w:val="bottom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Overview of the Company, page 3</w:t>
            </w:r>
          </w:p>
        </w:tc>
        <w:tc>
          <w:tcPr>
            <w:tcW w:w="33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1"/>
        </w:trPr>
        <w:tc>
          <w:tcPr>
            <w:tcW w:w="49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1.</w:t>
            </w:r>
          </w:p>
        </w:tc>
        <w:tc>
          <w:tcPr>
            <w:tcW w:w="3360" w:type="dxa"/>
            <w:vAlign w:val="bottom"/>
          </w:tcPr>
          <w:p>
            <w:pPr>
              <w:ind w:left="9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We note that you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8320" w:type="dxa"/>
            <w:vAlign w:val="bottom"/>
            <w:gridSpan w:val="2"/>
          </w:tcPr>
          <w:p>
            <w:pPr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characterize Adjusted EBITDA as a non-GAAP liquidity measure. We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49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360" w:type="dxa"/>
            <w:vAlign w:val="bottom"/>
          </w:tcPr>
          <w:p>
            <w:pPr>
              <w:ind w:left="940"/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further note on page 4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8320" w:type="dxa"/>
            <w:vAlign w:val="bottom"/>
            <w:gridSpan w:val="2"/>
          </w:tcPr>
          <w:p>
            <w:pPr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of Exhibit 99.1 your Form 8-K filed March 16, 2022, that you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49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360" w:type="dxa"/>
            <w:vAlign w:val="bottom"/>
          </w:tcPr>
          <w:p>
            <w:pPr>
              <w:ind w:left="940"/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describe EBITDA and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8320" w:type="dxa"/>
            <w:vAlign w:val="bottom"/>
            <w:gridSpan w:val="2"/>
          </w:tcPr>
          <w:p>
            <w:pPr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adjusted EBITDA as a non-GAAP performance measures. Please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6"/>
        </w:trPr>
        <w:tc>
          <w:tcPr>
            <w:tcW w:w="49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to reconcile for consistency.</w:t>
            </w:r>
          </w:p>
        </w:tc>
        <w:tc>
          <w:tcPr>
            <w:tcW w:w="3360" w:type="dxa"/>
            <w:vAlign w:val="bottom"/>
          </w:tcPr>
          <w:p>
            <w:pPr>
              <w:ind w:left="9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  <w:w w:val="96"/>
              </w:rPr>
              <w:t>revise your disclosures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49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360" w:type="dxa"/>
            <w:vAlign w:val="bottom"/>
            <w:vMerge w:val="restart"/>
          </w:tcPr>
          <w:p>
            <w:pPr>
              <w:ind w:left="9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Please provide the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4"/>
        </w:trPr>
        <w:tc>
          <w:tcPr>
            <w:tcW w:w="49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2.</w:t>
            </w:r>
          </w:p>
        </w:tc>
        <w:tc>
          <w:tcPr>
            <w:tcW w:w="3360" w:type="dxa"/>
            <w:vAlign w:val="bottom"/>
            <w:vMerge w:val="continue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disclosures required by Item 10(e) of Regulation S-K and Regulation G</w:t>
      </w:r>
    </w:p>
    <w:p>
      <w:pPr>
        <w:ind w:left="590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as it relates to your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presentation of the non-GAAP measure, Adjusted EBITDA.</w:t>
      </w:r>
    </w:p>
    <w:p>
      <w:pPr>
        <w:ind w:left="12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Thomas Priore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Priority Technology Holdings, Inc.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October 31, 2022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Page 2</w:t>
      </w:r>
    </w:p>
    <w:p>
      <w:pPr>
        <w:ind w:right="1819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Item 7. Management's Discussion and Analysis of Financial Condition and Results of Operations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Liquidity and Capital Resources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Long-Term Debt, page 34</w:t>
      </w:r>
    </w:p>
    <w:p>
      <w:pPr>
        <w:spacing w:after="0" w:line="169" w:lineRule="exact"/>
        <w:rPr>
          <w:sz w:val="24"/>
          <w:szCs w:val="24"/>
          <w:color w:val="auto"/>
        </w:rPr>
      </w:pPr>
    </w:p>
    <w:p>
      <w:pPr>
        <w:ind w:left="960" w:hanging="952"/>
        <w:spacing w:after="0"/>
        <w:tabs>
          <w:tab w:leader="none" w:pos="960" w:val="left"/>
        </w:tabs>
        <w:numPr>
          <w:ilvl w:val="0"/>
          <w:numId w:val="1"/>
        </w:numPr>
        <w:rPr>
          <w:rFonts w:ascii="Courier New" w:cs="Courier New" w:eastAsia="Courier New" w:hAnsi="Courier New"/>
          <w:sz w:val="16"/>
          <w:szCs w:val="16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We note the Total Net Leverage Ratio covenant in your debt agreements</w:t>
      </w:r>
    </w:p>
    <w:p>
      <w:pPr>
        <w:spacing w:after="0" w:line="53" w:lineRule="exact"/>
        <w:rPr>
          <w:rFonts w:ascii="Courier New" w:cs="Courier New" w:eastAsia="Courier New" w:hAnsi="Courier New"/>
          <w:sz w:val="16"/>
          <w:szCs w:val="16"/>
          <w:color w:val="auto"/>
        </w:rPr>
      </w:pPr>
    </w:p>
    <w:p>
      <w:pPr>
        <w:spacing w:after="0" w:line="238" w:lineRule="auto"/>
        <w:rPr>
          <w:rFonts w:ascii="Courier New" w:cs="Courier New" w:eastAsia="Courier New" w:hAnsi="Courier New"/>
          <w:sz w:val="16"/>
          <w:szCs w:val="16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uses</w:t>
      </w:r>
    </w:p>
    <w:p>
      <w:pPr>
        <w:ind w:right="1819" w:firstLine="948"/>
        <w:spacing w:after="0" w:line="238" w:lineRule="auto"/>
        <w:rPr>
          <w:rFonts w:ascii="Courier New" w:cs="Courier New" w:eastAsia="Courier New" w:hAnsi="Courier New"/>
          <w:sz w:val="16"/>
          <w:szCs w:val="16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Consolidated Adjusted EBITDA in the denominator. In prior filings, the debt agreement</w:t>
      </w:r>
    </w:p>
    <w:p>
      <w:pPr>
        <w:ind w:right="2119" w:firstLine="948"/>
        <w:spacing w:after="0" w:line="238" w:lineRule="auto"/>
        <w:rPr>
          <w:rFonts w:ascii="Courier New" w:cs="Courier New" w:eastAsia="Courier New" w:hAnsi="Courier New"/>
          <w:sz w:val="16"/>
          <w:szCs w:val="16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and related covenant was determined to be material to an investor's understanding of your</w:t>
      </w:r>
    </w:p>
    <w:p>
      <w:pPr>
        <w:ind w:right="2339" w:firstLine="948"/>
        <w:spacing w:after="0" w:line="238" w:lineRule="auto"/>
        <w:rPr>
          <w:rFonts w:ascii="Courier New" w:cs="Courier New" w:eastAsia="Courier New" w:hAnsi="Courier New"/>
          <w:sz w:val="16"/>
          <w:szCs w:val="16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financial condition and/or liquidity. Therefore, you provided the actual Total Net</w:t>
      </w:r>
    </w:p>
    <w:p>
      <w:pPr>
        <w:ind w:right="2019" w:firstLine="948"/>
        <w:spacing w:after="0" w:line="238" w:lineRule="auto"/>
        <w:rPr>
          <w:rFonts w:ascii="Courier New" w:cs="Courier New" w:eastAsia="Courier New" w:hAnsi="Courier New"/>
          <w:sz w:val="16"/>
          <w:szCs w:val="16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Leverage Ratio covenant computation (reconciled to GAAP amounts) for the most recent</w:t>
      </w:r>
    </w:p>
    <w:p>
      <w:pPr>
        <w:ind w:right="2019" w:firstLine="948"/>
        <w:spacing w:after="0" w:line="238" w:lineRule="auto"/>
        <w:rPr>
          <w:rFonts w:ascii="Courier New" w:cs="Courier New" w:eastAsia="Courier New" w:hAnsi="Courier New"/>
          <w:sz w:val="16"/>
          <w:szCs w:val="16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period and for each reconciling item, their nature and how they were derived. The</w:t>
      </w:r>
    </w:p>
    <w:p>
      <w:pPr>
        <w:ind w:right="2119" w:firstLine="948"/>
        <w:spacing w:after="0" w:line="238" w:lineRule="auto"/>
        <w:rPr>
          <w:rFonts w:ascii="Courier New" w:cs="Courier New" w:eastAsia="Courier New" w:hAnsi="Courier New"/>
          <w:sz w:val="16"/>
          <w:szCs w:val="16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disclosure also included the actual or reasonably likely effects of compliance or non-</w:t>
      </w:r>
    </w:p>
    <w:p>
      <w:pPr>
        <w:ind w:left="960"/>
        <w:spacing w:after="0"/>
        <w:rPr>
          <w:rFonts w:ascii="Courier New" w:cs="Courier New" w:eastAsia="Courier New" w:hAnsi="Courier New"/>
          <w:sz w:val="16"/>
          <w:szCs w:val="16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compliance with the covenant on your financial condition and</w:t>
      </w:r>
    </w:p>
    <w:p>
      <w:pPr>
        <w:sectPr>
          <w:pgSz w:w="11900" w:h="16854" w:orient="portrait"/>
          <w:cols w:equalWidth="0" w:num="1">
            <w:col w:w="10139"/>
          </w:cols>
          <w:pgMar w:left="320" w:top="218" w:right="1440" w:bottom="0" w:gutter="0" w:footer="0" w:header="0"/>
        </w:sectPr>
      </w:pPr>
    </w:p>
    <w:bookmarkStart w:id="1" w:name="page2"/>
    <w:bookmarkEnd w:id="1"/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liquidity. Please tell us</w:t>
      </w:r>
    </w:p>
    <w:p>
      <w:pPr>
        <w:spacing w:after="0" w:line="31" w:lineRule="exact"/>
        <w:rPr>
          <w:sz w:val="20"/>
          <w:szCs w:val="20"/>
          <w:color w:val="auto"/>
        </w:rPr>
      </w:pPr>
    </w:p>
    <w:p>
      <w:pPr>
        <w:ind w:right="1819" w:firstLine="948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why this disclosure has been removed or revise to include the required disclosures.</w:t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ind w:right="2239" w:firstLine="948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Please refer to Question 102.09 of the Non-GAAP Financial Measures Compliance and</w:t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ind w:right="1919" w:firstLine="948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Disclosure Interpretations. Similarly revise your disclosures in your Forms 10-Q and 8-K.</w:t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Form 8-K Filed May 11, 2022</w:t>
      </w:r>
    </w:p>
    <w:p>
      <w:pPr>
        <w:spacing w:after="0" w:line="169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Exhibit 99.1</w:t>
      </w:r>
    </w:p>
    <w:p>
      <w:pPr>
        <w:spacing w:after="0" w:line="3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Non-GAAP Financial Measures, page 2</w:t>
      </w:r>
    </w:p>
    <w:p>
      <w:pPr>
        <w:spacing w:after="0" w:line="169" w:lineRule="exact"/>
        <w:rPr>
          <w:sz w:val="20"/>
          <w:szCs w:val="20"/>
          <w:color w:val="auto"/>
        </w:rPr>
      </w:pPr>
    </w:p>
    <w:p>
      <w:pPr>
        <w:ind w:left="960" w:hanging="952"/>
        <w:spacing w:after="0"/>
        <w:tabs>
          <w:tab w:leader="none" w:pos="960" w:val="left"/>
        </w:tabs>
        <w:numPr>
          <w:ilvl w:val="0"/>
          <w:numId w:val="2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We note your designation of Gross Profit and Gross Profit Margin as</w:t>
      </w:r>
    </w:p>
    <w:p>
      <w:pPr>
        <w:spacing w:after="0" w:line="30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non-GAAP</w:t>
      </w:r>
    </w:p>
    <w:p>
      <w:pPr>
        <w:ind w:right="1919" w:firstLine="948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measures. Please tell us how Gross Profit and Gross Profit Margin, as presented, differ</w:t>
      </w:r>
    </w:p>
    <w:p>
      <w:pPr>
        <w:ind w:left="860" w:right="2019" w:firstLine="105"/>
        <w:spacing w:after="0" w:line="26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from the corresponding GAAP Gross Profit and Gross Profit Margin. We remind you that the company and its management are responsible for</w:t>
      </w:r>
    </w:p>
    <w:p>
      <w:pPr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the accuracy</w:t>
      </w:r>
    </w:p>
    <w:p>
      <w:pPr>
        <w:ind w:right="1819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and adequacy of their disclosures, notwithstanding any review, comments, action or absence of</w:t>
      </w:r>
    </w:p>
    <w:p>
      <w:pPr>
        <w:spacing w:after="0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action by the staff.</w:t>
      </w:r>
    </w:p>
    <w:p>
      <w:pPr>
        <w:spacing w:after="0" w:line="169" w:lineRule="exact"/>
        <w:rPr>
          <w:sz w:val="20"/>
          <w:szCs w:val="20"/>
          <w:color w:val="auto"/>
        </w:rPr>
      </w:pPr>
    </w:p>
    <w:p>
      <w:pPr>
        <w:ind w:right="2559" w:firstLine="737"/>
        <w:spacing w:after="0" w:line="257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You may contact Blaise Rhodes at 202-551-3774 or Angela Lumley at 202-551-3398 if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you have questions.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373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04"/>
        </w:trPr>
        <w:tc>
          <w:tcPr>
            <w:tcW w:w="5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FirstName LastNameThomas Priore</w:t>
            </w:r>
          </w:p>
        </w:tc>
        <w:tc>
          <w:tcPr>
            <w:tcW w:w="2580" w:type="dxa"/>
            <w:vAlign w:val="bottom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Sincerely,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6"/>
        </w:trPr>
        <w:tc>
          <w:tcPr>
            <w:tcW w:w="5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Comapany NamePriority Technology Holdings, Inc.</w:t>
            </w:r>
          </w:p>
        </w:tc>
        <w:tc>
          <w:tcPr>
            <w:tcW w:w="2580" w:type="dxa"/>
            <w:vAlign w:val="bottom"/>
            <w:vMerge w:val="restart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Division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2"/>
        </w:trPr>
        <w:tc>
          <w:tcPr>
            <w:tcW w:w="57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Corporation Finance</w:t>
            </w:r>
          </w:p>
        </w:tc>
        <w:tc>
          <w:tcPr>
            <w:tcW w:w="2580" w:type="dxa"/>
            <w:vAlign w:val="bottom"/>
            <w:vMerge w:val="continue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57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580" w:type="dxa"/>
            <w:vAlign w:val="bottom"/>
            <w:vMerge w:val="restart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  <w:w w:val="95"/>
              </w:rPr>
              <w:t>Office of Trade &amp;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5740" w:type="dxa"/>
            <w:vAlign w:val="bottom"/>
          </w:tcPr>
          <w:p>
            <w:pPr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October 31, 2022 Page 2</w:t>
            </w:r>
          </w:p>
        </w:tc>
        <w:tc>
          <w:tcPr>
            <w:tcW w:w="2580" w:type="dxa"/>
            <w:vAlign w:val="bottom"/>
            <w:vMerge w:val="continue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5740" w:type="dxa"/>
            <w:vAlign w:val="bottom"/>
          </w:tcPr>
          <w:p>
            <w:pPr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Services</w:t>
            </w:r>
          </w:p>
        </w:tc>
        <w:tc>
          <w:tcPr>
            <w:tcW w:w="25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6"/>
        </w:trPr>
        <w:tc>
          <w:tcPr>
            <w:tcW w:w="5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FirstName LastName</w:t>
            </w:r>
          </w:p>
        </w:tc>
        <w:tc>
          <w:tcPr>
            <w:tcW w:w="25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1" w:lineRule="exact"/>
        <w:rPr>
          <w:sz w:val="20"/>
          <w:szCs w:val="20"/>
          <w:color w:val="auto"/>
        </w:rPr>
      </w:pPr>
    </w:p>
    <w:sectPr>
      <w:pgSz w:w="11900" w:h="16838" w:orient="portrait"/>
      <w:cols w:equalWidth="0" w:num="1">
        <w:col w:w="10139"/>
      </w:cols>
      <w:pgMar w:left="320" w:top="110" w:right="1440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ourier New">
    <w:panose1 w:val="02070309020205020404"/>
    <w:charset w:val="00"/>
    <w:family w:val="auto"/>
    <w:pitch w:val="fixed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3"/>
    </w:lvl>
  </w:abstractNum>
  <w:abstractNum w:abstractNumId="1">
    <w:nsid w:val="66334873"/>
    <w:multiLevelType w:val="hybridMultilevel"/>
    <w:lvl w:ilvl="0">
      <w:lvlJc w:val="left"/>
      <w:lvlText w:val="%1."/>
      <w:numFmt w:val="decimal"/>
      <w:start w:val="4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2023-01-09T00:14:35Z</dcterms:created>
  <dcterms:modified xsi:type="dcterms:W3CDTF">2023-01-09T00:14:35Z</dcterms:modified>
</cp:coreProperties>
</file>