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78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20" w:type="dxa"/>
            <w:vAlign w:val="bottom"/>
          </w:tcPr>
          <w:p>
            <w:pPr>
              <w:ind w:left="4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9,324,316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26,110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26,110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22, 2023, the Reporting Person was granted 26,110 restricted stock units which vest 25% on April 1, 2023, 25% on July 1, 2023, 25% on October 1, 2023, and 25% on January 1, 2024 subject to theReporting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Vito Priore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2023-03-26T03:03:55Z</dcterms:created>
  <dcterms:modified xsi:type="dcterms:W3CDTF">2023-03-26T03:03:55Z</dcterms:modified>
</cp:coreProperties>
</file>