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7462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74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Kearney Matthew Joseph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 w:right="2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PRIORITY TECHNOLOGY HOLDINGS, INC. 2001 WESTSIDE PARKWAY., SUITE 155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5"/>
                  <w:szCs w:val="15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PRTH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-2435860</wp:posOffset>
            </wp:positionH>
            <wp:positionV relativeFrom="paragraph">
              <wp:posOffset>257810</wp:posOffset>
            </wp:positionV>
            <wp:extent cx="6967855" cy="1090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090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01/01/2021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13,298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 w:line="3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4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w w:val="84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65,649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13,298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13,298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-1906270</wp:posOffset>
            </wp:positionV>
            <wp:extent cx="7033895" cy="19183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191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April 1, 2020, the Reporting Person was granted 53,192 restricted stock units which vest 25% on April 1, 2020, 25% on July 1, 2020, 25% on October 1, 2020, and 25% on January 1, 2021 subject to the Reporting Person's continued service as a director of the Issuer.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/s/ Matthew Joseph Kearney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01/04/2021</w:t>
            </w:r>
          </w:p>
        </w:tc>
      </w:tr>
      <w:tr>
        <w:trPr>
          <w:trHeight w:val="20"/>
        </w:trPr>
        <w:tc>
          <w:tcPr>
            <w:tcW w:w="1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Bradley J. Miller, Attorney-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01/04/2021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157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3016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46948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2021-01-04T16:15:07Z</dcterms:created>
  <dcterms:modified xsi:type="dcterms:W3CDTF">2021-01-04T16:15:07Z</dcterms:modified>
</cp:coreProperties>
</file>