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Suite 155</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207" w:lineRule="exact"/>
        <w:rPr>
          <w:sz w:val="24"/>
          <w:szCs w:val="24"/>
          <w:color w:val="auto"/>
        </w:rPr>
      </w:pPr>
    </w:p>
    <w:p>
      <w:pPr>
        <w:ind w:left="8580"/>
        <w:spacing w:after="0"/>
        <w:rPr>
          <w:sz w:val="20"/>
          <w:szCs w:val="20"/>
          <w:color w:val="auto"/>
        </w:rPr>
      </w:pPr>
      <w:r>
        <w:rPr>
          <w:rFonts w:ascii="Times New Roman" w:cs="Times New Roman" w:eastAsia="Times New Roman" w:hAnsi="Times New Roman"/>
          <w:sz w:val="18"/>
          <w:szCs w:val="18"/>
          <w:color w:val="auto"/>
        </w:rPr>
        <w:t>August 17, 2018</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Danilo Castelli</w:t>
      </w:r>
    </w:p>
    <w:p>
      <w:pPr>
        <w:spacing w:after="0" w:line="207" w:lineRule="exact"/>
        <w:rPr>
          <w:sz w:val="24"/>
          <w:szCs w:val="24"/>
          <w:color w:val="auto"/>
        </w:rPr>
      </w:pPr>
    </w:p>
    <w:p>
      <w:pPr>
        <w:ind w:left="1460"/>
        <w:spacing w:after="0"/>
        <w:tabs>
          <w:tab w:leader="none" w:pos="1940" w:val="left"/>
        </w:tabs>
        <w:rPr>
          <w:sz w:val="20"/>
          <w:szCs w:val="20"/>
          <w:color w:val="auto"/>
        </w:rPr>
      </w:pPr>
      <w:r>
        <w:rPr>
          <w:rFonts w:ascii="Times New Roman" w:cs="Times New Roman" w:eastAsia="Times New Roman" w:hAnsi="Times New Roman"/>
          <w:sz w:val="18"/>
          <w:szCs w:val="18"/>
          <w:color w:val="auto"/>
        </w:rPr>
        <w:t>Re:</w:t>
        <w:tab/>
        <w:t>Priority Technology Holdings, Inc. (the “Company”)</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(File No. 333-226713)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Castelli:</w:t>
      </w:r>
    </w:p>
    <w:p>
      <w:pPr>
        <w:spacing w:after="0" w:line="225" w:lineRule="exact"/>
        <w:rPr>
          <w:sz w:val="24"/>
          <w:szCs w:val="24"/>
          <w:color w:val="auto"/>
        </w:rPr>
      </w:pPr>
    </w:p>
    <w:p>
      <w:pPr>
        <w:ind w:right="20" w:firstLine="1297"/>
        <w:spacing w:after="0" w:line="261" w:lineRule="auto"/>
        <w:rPr>
          <w:sz w:val="20"/>
          <w:szCs w:val="20"/>
          <w:color w:val="auto"/>
        </w:rPr>
      </w:pPr>
      <w:r>
        <w:rPr>
          <w:rFonts w:ascii="Times New Roman" w:cs="Times New Roman" w:eastAsia="Times New Roman" w:hAnsi="Times New Roman"/>
          <w:sz w:val="18"/>
          <w:szCs w:val="18"/>
          <w:color w:val="auto"/>
        </w:rPr>
        <w:t>Pursuant to Rule 461(a) under the Securities Act of 1933, as amended, the undersigned hereby respectfully requests that the effective date for the above-referenced Registration Statement on Form S-3 be accelerated so that it will be declared effective at 4:30 p.m., Eastern Time, on August 20, 2018, or as soon as practicable thereafter. We ask, however, that the Securities and Exchange Commission staff not accelerate such effectiveness until we speak with you on that date.</w:t>
      </w:r>
    </w:p>
    <w:p>
      <w:pPr>
        <w:spacing w:after="0" w:line="180" w:lineRule="exact"/>
        <w:rPr>
          <w:sz w:val="24"/>
          <w:szCs w:val="24"/>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The Company hereby acknowledges that, if the Securities and Exchange Commission (the “Commission”) or its staff (the “Staff”), acting pursuant to delegated authority, declares the filing effective, such action:</w:t>
      </w:r>
    </w:p>
    <w:p>
      <w:pPr>
        <w:spacing w:after="0" w:line="162" w:lineRule="exact"/>
        <w:rPr>
          <w:sz w:val="24"/>
          <w:szCs w:val="24"/>
          <w:color w:val="auto"/>
        </w:rPr>
      </w:pPr>
    </w:p>
    <w:p>
      <w:pPr>
        <w:ind w:left="1620" w:hanging="315"/>
        <w:spacing w:after="0"/>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foreclose the Commission from taking any action with respect to the filing;</w:t>
      </w:r>
    </w:p>
    <w:p>
      <w:pPr>
        <w:spacing w:after="0" w:line="225"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relieve the Company from its full responsibility for the adequacy and accuracy of the disclosure in the filing; and</w:t>
      </w:r>
    </w:p>
    <w:p>
      <w:pPr>
        <w:spacing w:after="0" w:line="225" w:lineRule="exact"/>
        <w:rPr>
          <w:rFonts w:ascii="Times New Roman" w:cs="Times New Roman" w:eastAsia="Times New Roman" w:hAnsi="Times New Roman"/>
          <w:sz w:val="18"/>
          <w:szCs w:val="18"/>
          <w:color w:val="auto"/>
        </w:rPr>
      </w:pPr>
    </w:p>
    <w:p>
      <w:pPr>
        <w:ind w:left="1620" w:hanging="315"/>
        <w:spacing w:after="0" w:line="282"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asserted as a defense in any proceeding initiated by the Commission or any person under the federal securities laws of the United States.</w:t>
      </w:r>
    </w:p>
    <w:p>
      <w:pPr>
        <w:spacing w:after="0" w:line="162"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We request that we be notified of such effectiveness by telephone call to John Mahon of Schulte Roth &amp; Zabel LLP at (202) 729-7477.</w:t>
      </w:r>
    </w:p>
    <w:p>
      <w:pPr>
        <w:spacing w:after="0" w:line="22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25" w:lineRule="exact"/>
        <w:rPr>
          <w:sz w:val="24"/>
          <w:szCs w:val="24"/>
          <w:color w:val="auto"/>
        </w:rPr>
      </w:pPr>
    </w:p>
    <w:p>
      <w:pPr>
        <w:ind w:left="572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Thomas Priore</w:t>
      </w:r>
    </w:p>
    <w:p>
      <w:pPr>
        <w:spacing w:after="0" w:line="27"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Thomas Priore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-121920</wp:posOffset>
            </wp:positionV>
            <wp:extent cx="1157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Executive 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240"/>
      </w:cols>
      <w:pgMar w:left="240" w:top="22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2020-01-13T09:27:41Z</dcterms:created>
  <dcterms:modified xsi:type="dcterms:W3CDTF">2020-01-13T09:27:41Z</dcterms:modified>
</cp:coreProperties>
</file>