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Vollkommer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Westside Parkway, Suite 155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Priority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001-37872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Vollkommer: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Non-GAAP Financial Measures, page 51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33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Total Net Leverage Ratio covenant in your debt agreements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uses Consolidated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in the denominator. If you believe that your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 agreements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agreements, the covenant is a material term of the debt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and that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the covenant is material to an investor's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of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 and/or liquidity, please revise your disclosure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Consolidated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as a liquidity measure, rather than a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measure,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move the Consolidated Adjusted EBITDA disclosure to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section,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it can be discussed in the context of the Total Net Leverage Ratio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covenant in your debt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 Please present the actual Total Net Leverage Ratio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covenant computation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(reconciled to GAAP amounts) for the most recent period only.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reconciling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item, like pro-forma impacts for acquisitions, contracted revenue and savings and other</w:t>
      </w:r>
    </w:p>
    <w:p>
      <w:pPr>
        <w:ind w:left="120" w:right="24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professional and consulting fees, disclose in greater detail their nature Michael Vollkommer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10,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how they were derived. Also, disclose any other material terms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debt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and the amounts or limits required for covenant compliance. Further, disclose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2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actual or reasonably likely effects of compliance or non-compliance with the covenant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 financial condition and liquidity, including the resulting impact on other credit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lease agreements due to cross-default provisions. If some of this information 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elsewhere in the filing, you may cross-reference to that disclosure in lieu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repeating it. Refer to Question 102.09 of the Non-GAAP Financial Measures Compliance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Interpretations. Similarly revise your disclosures in your Forms 10-Q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8-K.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Linda Cvrkel at (202) 551-3813 or Rufus Decker at (202) 551-3769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Vollkommer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NamePriority Technology Holdings,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699"/>
          </w:cols>
          <w:pgMar w:left="320" w:top="142" w:right="1440" w:bottom="1440" w:gutter="0" w:footer="0" w:header="0"/>
          <w:type w:val="continuous"/>
        </w:sect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10,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sectPr>
      <w:pgSz w:w="11900" w:h="16838" w:orient="portrait"/>
      <w:cols w:equalWidth="0" w:num="2">
        <w:col w:w="5720" w:space="720"/>
        <w:col w:w="36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2021-08-15T19:56:16Z</dcterms:created>
  <dcterms:modified xsi:type="dcterms:W3CDTF">2021-08-15T19:56:16Z</dcterms:modified>
</cp:coreProperties>
</file>