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5"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4"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4"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77"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41"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7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33" w:lineRule="exact"/>
        <w:rPr>
          <w:sz w:val="24"/>
          <w:szCs w:val="24"/>
          <w:color w:val="auto"/>
        </w:rPr>
      </w:pPr>
    </w:p>
    <w:p>
      <w:pPr>
        <w:ind w:left="4644"/>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351"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52"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81"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0" w:lineRule="exact"/>
        <w:rPr>
          <w:rFonts w:ascii="MS PGothic" w:cs="MS PGothic" w:eastAsia="MS PGothic" w:hAnsi="MS PGothic"/>
          <w:sz w:val="16"/>
          <w:szCs w:val="16"/>
          <w:color w:val="auto"/>
        </w:rPr>
      </w:pPr>
    </w:p>
    <w:p>
      <w:pPr>
        <w:ind w:left="4" w:right="4259" w:hanging="4"/>
        <w:spacing w:after="0" w:line="216" w:lineRule="exact"/>
        <w:tabs>
          <w:tab w:leader="none" w:pos="46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32"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2241550</wp:posOffset>
            </wp:positionH>
            <wp:positionV relativeFrom="paragraph">
              <wp:posOffset>120650</wp:posOffset>
            </wp:positionV>
            <wp:extent cx="2537460" cy="1148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48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94"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311"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73"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329"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38"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No fee required.</w:t>
      </w:r>
    </w:p>
    <w:p>
      <w:pPr>
        <w:spacing w:after="0" w:line="85"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38"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ectPr>
          <w:pgSz w:w="11900" w:h="16838" w:orient="portrait"/>
          <w:cols w:equalWidth="0" w:num="1">
            <w:col w:w="10043"/>
          </w:cols>
          <w:pgMar w:left="416" w:top="10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732155</wp:posOffset>
            </wp:positionV>
            <wp:extent cx="2588895" cy="1174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8889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PROXY STATEMENT AND NOTICE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2024 ANNUAL MEETING OF STOCKHOLDERS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Wednesday, May 22,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9:30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Priority Technology Holdings, Inc., a Delaware corporation, is a leading payments technology company that leverages a purpose-built platform to enable clients to collect, store and send money, operating at scale. Priority helps its customers take and make payments while managing business and consumer operating accounts to monetize payment networks. The Company’s tailored, agile technology powers high-value payments products bolstered by its industry leading personalized support. Its common stock is listed on the Nasdaq Global Market ("NASDAQ")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731520</wp:posOffset>
            </wp:positionV>
            <wp:extent cx="1825625"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20"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The board of directors and officers of Priority Technology Holdings Inc. join me in extending to you a cordial invitation to attend our 2024 Annual Meeting of Stockholders. The Annual Meeting will be held on Wednesday, May 22, 2024, at 9:30 a.m. Eastern Daylight Time.</w:t>
      </w:r>
    </w:p>
    <w:p>
      <w:pPr>
        <w:spacing w:after="0" w:line="175" w:lineRule="exact"/>
        <w:rPr>
          <w:sz w:val="20"/>
          <w:szCs w:val="20"/>
          <w:color w:val="auto"/>
        </w:rPr>
      </w:pPr>
    </w:p>
    <w:p>
      <w:pPr>
        <w:jc w:val="both"/>
        <w:ind w:right="20"/>
        <w:spacing w:after="0" w:line="376" w:lineRule="auto"/>
        <w:rPr>
          <w:sz w:val="20"/>
          <w:szCs w:val="20"/>
          <w:color w:val="auto"/>
        </w:rPr>
      </w:pPr>
      <w:r>
        <w:rPr>
          <w:rFonts w:ascii="Times New Roman" w:cs="Times New Roman" w:eastAsia="Times New Roman" w:hAnsi="Times New Roman"/>
          <w:sz w:val="18"/>
          <w:szCs w:val="18"/>
          <w:color w:val="auto"/>
        </w:rPr>
        <w:t>Stockholders will be able to attend, vote and submit questions (both before, and for a portion of, the meeting) from any location via the Internet at www.virtualshareholdermeeting.com/PRTH2024. If you plan to participate in the virtual meeting, please see “Proxy Statement Q&amp;A.”</w:t>
      </w:r>
    </w:p>
    <w:p>
      <w:pPr>
        <w:spacing w:after="0" w:line="175"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At the Annual Meeting, stockholders will be asked to vote on three proposals set forth in the Notice of 2024 Annual Meeting of Stockholders and the Proxy Statement following this letter.</w:t>
      </w:r>
    </w:p>
    <w:p>
      <w:pPr>
        <w:spacing w:after="0" w:line="20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1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If you have any questions concerning the Annual Meeting and you are the stockholder of record of your shares of stock, please contact our Investor Relations representative at chris.kettman@dentonsglobaladvisors.com or (773) 494-7575. If your shares of stock are held by a broker or other nominee (that is, in ''street name''), please contact your broker or other nominee for questions concerning the annual meeting.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speaking with you on May 22nd.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C. Priore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C. Priore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732155</wp:posOffset>
            </wp:positionV>
            <wp:extent cx="1825625"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2562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2024 ANNUAL MEETING OF STOCKHOLDERS</w:t>
      </w:r>
    </w:p>
    <w:p>
      <w:pPr>
        <w:spacing w:after="0" w:line="200" w:lineRule="exact"/>
        <w:rPr>
          <w:sz w:val="20"/>
          <w:szCs w:val="20"/>
          <w:color w:val="auto"/>
        </w:rPr>
      </w:pPr>
    </w:p>
    <w:p>
      <w:pPr>
        <w:spacing w:after="0" w:line="384"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18"/>
          <w:szCs w:val="18"/>
          <w:color w:val="auto"/>
        </w:rPr>
        <w:t>Notice is hereby given that the 2024 Annual Meeting of Stockholders (the "Annual Meeting") of Priority Technology Holdings, Inc. (the "Company") will be held at 9:30 a.m. EDT on Wednesday, May 22, 2024. Our Annual Meeting can be accessed virtually via the Internet at: www.virtualshareholdermeeting.com/PRTH2024.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will be asked to vote on the following proposals:</w:t>
      </w:r>
    </w:p>
    <w:p>
      <w:pPr>
        <w:spacing w:after="0" w:line="33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(the "Board of Directors") and named in this Proxy Statement.</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(as defined in this Proxy Statement).</w:t>
      </w:r>
    </w:p>
    <w:p>
      <w:pPr>
        <w:spacing w:after="0" w:line="90" w:lineRule="exact"/>
        <w:rPr>
          <w:rFonts w:ascii="Times New Roman" w:cs="Times New Roman" w:eastAsia="Times New Roman" w:hAnsi="Times New Roman"/>
          <w:sz w:val="18"/>
          <w:szCs w:val="18"/>
          <w:color w:val="auto"/>
        </w:rPr>
      </w:pPr>
    </w:p>
    <w:p>
      <w:pPr>
        <w:ind w:left="660" w:right="700" w:hanging="328"/>
        <w:spacing w:after="0" w:line="3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and Young LLP as the Company's Independent Registered Public Accounting Firm for the year ending December 31, 2024.</w:t>
      </w:r>
    </w:p>
    <w:p>
      <w:pPr>
        <w:spacing w:after="0" w:line="280"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directors (Proposal Number One);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compensation of our Named Executive Officers (Proposal Number Two);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proposed Independent Registered Public Accounting Firm (Proposal Number Three).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may also transact any other business that may properly come before the Annual Meeting or any adjournments or postponements thereof.</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Close of business on March 25, 2024.</w:t>
      </w:r>
    </w:p>
    <w:p>
      <w:pPr>
        <w:spacing w:after="0" w:line="337"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The solicitation of the enclosed proxy is made on behalf of the Board of Directors for use at the Annual Meeting to be held on Wednesday, May 22, 2024. It is expected that this Proxy Statement and related materials will first be provided to stockholders on or about April 12, 2024. Only stockholders of record at the close of business on March 25, 2024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360" w:lineRule="auto"/>
        <w:rPr>
          <w:sz w:val="20"/>
          <w:szCs w:val="20"/>
          <w:color w:val="auto"/>
        </w:rPr>
      </w:pPr>
      <w:r>
        <w:rPr>
          <w:rFonts w:ascii="Times New Roman" w:cs="Times New Roman" w:eastAsia="Times New Roman" w:hAnsi="Times New Roman"/>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Bradley J. Miller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J. Miller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Chief Risk Officer, and Corporate Secretary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MEETING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our Annual Report are available via the Internet at </w:t>
      </w:r>
      <w:r>
        <w:rPr>
          <w:rFonts w:ascii="Times New Roman" w:cs="Times New Roman" w:eastAsia="Times New Roman" w:hAnsi="Times New Roman"/>
          <w:sz w:val="18"/>
          <w:szCs w:val="18"/>
          <w:b w:val="1"/>
          <w:bCs w:val="1"/>
          <w:color w:val="auto"/>
        </w:rPr>
        <w:t>http://materials.proxyvote.com/74275G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93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6"/>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Information about the Proxy Materials and the Annual Meeting</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02"/>
        </w:trPr>
        <w:tc>
          <w:tcPr>
            <w:tcW w:w="9680" w:type="dxa"/>
            <w:vAlign w:val="bottom"/>
            <w:tcBorders>
              <w:top w:val="single" w:sz="8" w:color="CCEEFF"/>
            </w:tcBorders>
            <w:vMerge w:val="continue"/>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Officers and Board of Directors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1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Compensation of Executive Officers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Equity Awards at 2023 Year End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Ownership of Certain Beneficial Owners, Directors, and Executive Officers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One - Election of Directors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Two - Approval of Named Executive Officer Compensation</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Number Three - Ratification of Independent Registered Public Accounting Firm</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3051F2"/>
              </w:rPr>
              <w:t>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3051F2"/>
            </w:tcBorders>
          </w:tcPr>
          <w:p>
            <w:pPr>
              <w:spacing w:after="0"/>
              <w:rPr>
                <w:sz w:val="7"/>
                <w:szCs w:val="7"/>
                <w:color w:val="auto"/>
              </w:rPr>
            </w:pPr>
          </w:p>
        </w:tc>
        <w:tc>
          <w:tcPr>
            <w:tcW w:w="80" w:type="dxa"/>
            <w:vAlign w:val="bottom"/>
            <w:tcBorders>
              <w:top w:val="single" w:sz="8" w:color="3051F2"/>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tcBorders>
              <w:top w:val="single" w:sz="8" w:color="CCEEFF"/>
            </w:tcBorders>
            <w:vMerge w:val="continue"/>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Proxy Card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96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342900</wp:posOffset>
            </wp:positionV>
            <wp:extent cx="1825625" cy="68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PROXY MATERIALS AND THE ANNUAL MEETING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33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Board of Directors (the "Board" or "Board of Directors") of Priority Technology Holdings, Inc. ("we," "us," "our," "Priority," "PRTH," or the "Company") is soliciting proxies for our 2024 Annual Meeting of Stockholders on May 22, 2024 (the "Annual Meeting"). This Proxy Statement and accompanying proxy card are being mailed on or about April 12, 2024 to stockholders of record as of March 25, 2024, the record date (the "Record Date") for the Annual Meeting.</w:t>
      </w:r>
    </w:p>
    <w:p>
      <w:pPr>
        <w:spacing w:after="0" w:line="182"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for the Company's stockholders to vote on the following proposals:</w:t>
      </w:r>
    </w:p>
    <w:p>
      <w:pPr>
        <w:spacing w:after="0" w:line="32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and named in the Proxy Statement;</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("NEOs"); and</w:t>
      </w:r>
    </w:p>
    <w:p>
      <w:pPr>
        <w:spacing w:after="0" w:line="319" w:lineRule="exact"/>
        <w:rPr>
          <w:rFonts w:ascii="Times New Roman" w:cs="Times New Roman" w:eastAsia="Times New Roman" w:hAnsi="Times New Roman"/>
          <w:sz w:val="18"/>
          <w:szCs w:val="18"/>
          <w:color w:val="auto"/>
        </w:rPr>
      </w:pPr>
    </w:p>
    <w:p>
      <w:pPr>
        <w:ind w:left="660" w:right="140" w:hanging="328"/>
        <w:spacing w:after="0" w:line="39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and Young LLP ("EY") as the Company's Independent Registered Public Accounting Firm for the year ending December 31, 2024.</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Who is asking for my vote and approximately how much will these solicitation activities cost?</w:t>
      </w:r>
    </w:p>
    <w:p>
      <w:pPr>
        <w:spacing w:after="0" w:line="324"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79,976,631 shares of common stock issued and 75,792,939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Stockholders as of the Record Date may attend and vote virtually at the Annual Meeting by logging in at www.virtualshareholdermeeting.com/PRTH2024.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rights?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submitted to stockholders at the Annual Meeting.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ask questions at the Virtual Annual Meeting?</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Stockholders as of our record date who attend and participate in our virtual Annual Meeting at www.virtualshareholdermeeting.com/PRTH2024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of common stock as a stockholder of record and as a beneficial owner "in street name"?</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the Company's transfer agent, Equniti Trust Company, LLC, you are considered the stockholder of record for these shares of stock. As the stockholder of record, you have the right to grant your voting proxy directly to the persons listed on your proxy card or vote in person at the Annual Meeting.</w:t>
      </w:r>
    </w:p>
    <w:p>
      <w:pPr>
        <w:spacing w:after="0" w:line="177"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broker non-vote?</w:t>
      </w:r>
    </w:p>
    <w:p>
      <w:pPr>
        <w:spacing w:after="0" w:line="32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Three (ratification of auditor appointment). Therefore, your broker will not have discretion to vote on any other proposal unless you</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instruct your broker how to vote your shares of stock by returning your completed and signed voting instruction card.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174"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election of the director nominees ("Proposal Number One"), stockholders may:</w:t>
      </w:r>
    </w:p>
    <w:p>
      <w:pPr>
        <w:spacing w:after="0" w:line="32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any of the nominees;</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any of the nominees; or</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any of the nominees.</w:t>
      </w:r>
    </w:p>
    <w:p>
      <w:pPr>
        <w:spacing w:after="0" w:line="320"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the compensation of the Company’s NEOs?</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approval of the compensation of the Company’s NEOs ("Proposal Number Two"), stockholders may:</w:t>
      </w:r>
    </w:p>
    <w:p>
      <w:pPr>
        <w:spacing w:after="0" w:line="32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compensation of the Company’s NEOs;</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compensation of the Company’s NEOs; or</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compensation of the Company’s NEOs.</w:t>
      </w:r>
    </w:p>
    <w:p>
      <w:pPr>
        <w:spacing w:after="0" w:line="33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6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80"/>
        <w:spacing w:after="0" w:line="39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ratification of the appointment of EY as the Company's independent registered public accounting firm for the year ending December 31, 2024, and what vote is needed to approve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ratification of EY ("Proposal Number Three"), stockholders may:</w:t>
      </w:r>
    </w:p>
    <w:p>
      <w:pPr>
        <w:spacing w:after="0" w:line="32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ratify EY's appointment;</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ratifying EY's appointment; or</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ratifying EY's appointment.</w:t>
      </w:r>
    </w:p>
    <w:p>
      <w:pPr>
        <w:spacing w:after="0" w:line="320" w:lineRule="exact"/>
        <w:rPr>
          <w:sz w:val="20"/>
          <w:szCs w:val="20"/>
          <w:color w:val="auto"/>
        </w:rPr>
      </w:pPr>
    </w:p>
    <w:p>
      <w:pPr>
        <w:ind w:right="40"/>
        <w:spacing w:after="0" w:line="375"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31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six nominated directors (Proposal Number One);</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on a non-binding basis, the compensation of our Named Executive Officers (Proposal Number Two);</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EY (Proposal Number Three).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four ways.</w:t>
      </w:r>
    </w:p>
    <w:p>
      <w:pPr>
        <w:spacing w:after="0" w:line="333" w:lineRule="exact"/>
        <w:rPr>
          <w:sz w:val="20"/>
          <w:szCs w:val="20"/>
          <w:color w:val="auto"/>
        </w:rPr>
      </w:pPr>
    </w:p>
    <w:p>
      <w:pPr>
        <w:ind w:left="660" w:right="340" w:hanging="328"/>
        <w:spacing w:after="0" w:line="39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vote over the Internet by completing the voting instructions form found at www.proxyvote.com. You will need your proxy card when voting over the Internet.</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vote by touch-tone telephone by calling 1-800-690-6903.</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vote by mail by signing, dating, and mailing your proxy card in the enclosed envelope.</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you may vote in person at the virtual Annual Meeting.</w:t>
      </w:r>
    </w:p>
    <w:p>
      <w:pPr>
        <w:spacing w:after="0" w:line="33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6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324"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2024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vote confidentially?</w:t>
      </w:r>
    </w:p>
    <w:p>
      <w:pPr>
        <w:spacing w:after="0" w:line="324" w:lineRule="exact"/>
        <w:rPr>
          <w:sz w:val="20"/>
          <w:szCs w:val="20"/>
          <w:color w:val="auto"/>
        </w:rPr>
      </w:pPr>
    </w:p>
    <w:p>
      <w:pPr>
        <w:ind w:right="140"/>
        <w:spacing w:after="0" w:line="407" w:lineRule="auto"/>
        <w:rPr>
          <w:sz w:val="20"/>
          <w:szCs w:val="20"/>
          <w:color w:val="auto"/>
        </w:rPr>
      </w:pPr>
      <w:r>
        <w:rPr>
          <w:rFonts w:ascii="Times New Roman" w:cs="Times New Roman" w:eastAsia="Times New Roman" w:hAnsi="Times New Roman"/>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324"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Bradley Miller, our General Counsel, Chief Risk Officer, and Corporate Secretary, will count the votes and act as the inspector of election for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324" w:lineRule="exact"/>
        <w:rPr>
          <w:sz w:val="20"/>
          <w:szCs w:val="20"/>
          <w:color w:val="auto"/>
        </w:rPr>
      </w:pPr>
    </w:p>
    <w:p>
      <w:pPr>
        <w:spacing w:after="0" w:line="407"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in our current report on Form 8-K within four business days after the Annual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 of the Annual Meeting materials?</w:t>
      </w:r>
    </w:p>
    <w:p>
      <w:pPr>
        <w:spacing w:after="0" w:line="324" w:lineRule="exact"/>
        <w:rPr>
          <w:sz w:val="20"/>
          <w:szCs w:val="20"/>
          <w:color w:val="auto"/>
        </w:rPr>
      </w:pPr>
    </w:p>
    <w:p>
      <w:pPr>
        <w:spacing w:after="0" w:line="36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2024 Notice of Annual Meeting or by calling us at (404) 952-2107.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a copy of the Company's Annual Report?</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copy of our 2023 Annual Report on Form 10-K (the "Annual Report") is available at www.prioritycommerce.com. Stockholders may also obtain a free copy of our Annual Report by sending a request in writing to Bradley Miller at the Company's address set forth in the 2024 Notice of Annual Meeting or by calling us at (404) 952-2107.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337"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If you have any questions about the Annual Meeting or how to submit or revoke your proxy, or to request an invitation to the Annual Meeting, contact Bradley Miller at the Company's address set forth in the 2024 Notice of Annual Meeting or by calling us at (404) 952-2107.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BOARD OF DIRECTORS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55</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O’Leary</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51</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Kiewiet</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51</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Miller</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53</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Counsel, Chief Risk Officer, and Corporate Secretary</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Ranjana Ram</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55</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64</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56</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1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57</w:t>
            </w: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60</w:t>
            </w:r>
          </w:p>
        </w:tc>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20"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18"/>
          <w:szCs w:val="18"/>
          <w:b w:val="1"/>
          <w:bCs w:val="1"/>
          <w:color w:val="auto"/>
        </w:rPr>
        <w:t xml:space="preserve">Thomas Priore </w:t>
      </w:r>
      <w:r>
        <w:rPr>
          <w:rFonts w:ascii="Times New Roman" w:cs="Times New Roman" w:eastAsia="Times New Roman" w:hAnsi="Times New Roman"/>
          <w:sz w:val="18"/>
          <w:szCs w:val="18"/>
          <w:color w:val="auto"/>
        </w:rPr>
        <w:t>has served as Chairman and Chief Executive Officer since December 2018 and as Executive Chairman and founding member of Priority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August 2005 through November 2018. Under Mr. Priore's strategic direction, Priority has grown from a founder-financed technology startup to become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largest non-bank merchant acquirer in the U.S. by volume, according to the Nilson Report issued in March 2023. Priority is a solutions provider in Payments and BaaS industry, operating at scale with 860,000 active customers across its SMB, B2B and Enterprise customers channels. Priority processes $120 billion in annual transaction volume and provides administration for $900 million in deposits.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w:t>
      </w:r>
    </w:p>
    <w:p>
      <w:pPr>
        <w:spacing w:after="0" w:line="18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8"/>
          <w:szCs w:val="18"/>
          <w:b w:val="1"/>
          <w:bCs w:val="1"/>
          <w:color w:val="222222"/>
        </w:rPr>
        <w:t xml:space="preserve">Tim O’Leary </w:t>
      </w:r>
      <w:r>
        <w:rPr>
          <w:rFonts w:ascii="Times New Roman" w:cs="Times New Roman" w:eastAsia="Times New Roman" w:hAnsi="Times New Roman"/>
          <w:sz w:val="18"/>
          <w:szCs w:val="18"/>
          <w:color w:val="222222"/>
        </w:rPr>
        <w:t>has served as Chief Financial Officer of Priority since September 2022. Mr. O’Leary has over 20 years of capital markets and banking</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experience, primarily in the technology sector. Prior to joining Priority, Mr. O’Leary most recently served as Managing Director and Group Head of the Technology, Media and Telecom leveraged finance team at Truist Securities where he led financings for numerous payment and technology companies – including Priority. Mr. O’Leary holds an MBA from the Kelley School of Business at Indiana University and a B.A. in Business Administration from Northern Arizona University.</w:t>
      </w:r>
    </w:p>
    <w:p>
      <w:pPr>
        <w:spacing w:after="0" w:line="174" w:lineRule="exact"/>
        <w:rPr>
          <w:sz w:val="20"/>
          <w:szCs w:val="20"/>
          <w:color w:val="auto"/>
        </w:rPr>
      </w:pPr>
    </w:p>
    <w:p>
      <w:pPr>
        <w:jc w:val="both"/>
        <w:spacing w:after="0" w:line="404" w:lineRule="auto"/>
        <w:rPr>
          <w:sz w:val="20"/>
          <w:szCs w:val="20"/>
          <w:color w:val="auto"/>
        </w:rPr>
      </w:pPr>
      <w:r>
        <w:rPr>
          <w:rFonts w:ascii="Times New Roman" w:cs="Times New Roman" w:eastAsia="Times New Roman" w:hAnsi="Times New Roman"/>
          <w:sz w:val="17"/>
          <w:szCs w:val="17"/>
          <w:b w:val="1"/>
          <w:bCs w:val="1"/>
          <w:color w:val="auto"/>
        </w:rPr>
        <w:t xml:space="preserve">Sean Kiewiet </w:t>
      </w:r>
      <w:r>
        <w:rPr>
          <w:rFonts w:ascii="Times New Roman" w:cs="Times New Roman" w:eastAsia="Times New Roman" w:hAnsi="Times New Roman"/>
          <w:sz w:val="17"/>
          <w:szCs w:val="17"/>
          <w:color w:val="auto"/>
        </w:rPr>
        <w:t>has served as Chief Strategy Officer since 2022 and co-founded Priority after serving as the Director of Technology for Cornerstone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Mr. Kiewiet served as Chief Technology Officer of Priority from August 2005 until December 2021.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6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Bradley Miller </w:t>
      </w:r>
      <w:r>
        <w:rPr>
          <w:rFonts w:ascii="Times New Roman" w:cs="Times New Roman" w:eastAsia="Times New Roman" w:hAnsi="Times New Roman"/>
          <w:sz w:val="18"/>
          <w:szCs w:val="18"/>
          <w:color w:val="222222"/>
        </w:rPr>
        <w:t>has served as Priority’s General Counsel and Chief Risk Officer since February 2020. Mr. Miller has over 25 years of legal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industry experience having served as EVP, General Counsel, and Chief Risk Officer of a regional community bank for over 12 years, responsible for the oversight of all legal, compliance, and enterprise risk functions. Prior to that,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191"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8"/>
          <w:szCs w:val="18"/>
          <w:b w:val="1"/>
          <w:bCs w:val="1"/>
          <w:color w:val="222222"/>
        </w:rPr>
        <w:t xml:space="preserve">Ranjana Ram </w:t>
      </w:r>
      <w:r>
        <w:rPr>
          <w:rFonts w:ascii="Times New Roman" w:cs="Times New Roman" w:eastAsia="Times New Roman" w:hAnsi="Times New Roman"/>
          <w:sz w:val="18"/>
          <w:szCs w:val="18"/>
          <w:color w:val="222222"/>
        </w:rPr>
        <w:t>serves as Chief Operating Officer at Priority. Ms. Ram is a CFA charterholder and has been focused on executing on strategic growth and</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33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Marc Crisafulli </w:t>
      </w:r>
      <w:r>
        <w:rPr>
          <w:rFonts w:ascii="Times New Roman" w:cs="Times New Roman" w:eastAsia="Times New Roman" w:hAnsi="Times New Roman"/>
          <w:sz w:val="18"/>
          <w:szCs w:val="18"/>
          <w:color w:val="auto"/>
        </w:rPr>
        <w:t>is an experienced executive and has over 30 years in legal, compliance and regulatory governance roles with various companies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a director of Priority in 2022. Mr. Crisafulli is currently Counsel at Nixon Peabody and serves as chair of Bally Corporation's Rhode Island Board, director for Pavillion Payments and chair of Rhode Island's I-195 Redevelopment District Commission. Prior to that, Mr. Crisafulli served as Executive Vice President, Government Relations, Legal and Regulatory at Bally’s Corporation. Mr. Crisafulli has also held senior leadership roles with Brightstar Corporation and Suffolk Construction Company and was managing partner at Hinkley Allen &amp; Snyder.</w:t>
      </w:r>
    </w:p>
    <w:p>
      <w:pPr>
        <w:spacing w:after="0" w:line="177"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Marietta Davis </w:t>
      </w:r>
      <w:r>
        <w:rPr>
          <w:rFonts w:ascii="Times New Roman" w:cs="Times New Roman" w:eastAsia="Times New Roman" w:hAnsi="Times New Roman"/>
          <w:sz w:val="18"/>
          <w:szCs w:val="18"/>
          <w:color w:val="auto"/>
        </w:rPr>
        <w:t>has served as a director of Priority since January 2021. Ms. Davis works for IBM where she is the worldwide Vice President and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for the Accenture relationship where she leads a global team focusing on growing IBM’s Cloud and Cognitive Application portfolio. Prior to joining IBM, Ms. Davis spent 16 years at Microsoft Corporation in a variety of leadership roles. Ms. Davis also serves in an advisory board role for The Posse Foundation, a non-profit organization that identifies, trains and mentors young, diverse leaders as they navigate college and enter the workforce.</w:t>
      </w:r>
    </w:p>
    <w:p>
      <w:pPr>
        <w:spacing w:after="0" w:line="171"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b w:val="1"/>
          <w:bCs w:val="1"/>
          <w:color w:val="auto"/>
        </w:rPr>
        <w:t xml:space="preserve">Christina Favilla </w:t>
      </w:r>
      <w:r>
        <w:rPr>
          <w:rFonts w:ascii="Times New Roman" w:cs="Times New Roman" w:eastAsia="Times New Roman" w:hAnsi="Times New Roman"/>
          <w:sz w:val="18"/>
          <w:szCs w:val="18"/>
          <w:color w:val="auto"/>
        </w:rPr>
        <w:t>has served as a director of Priority since October 2019. Ms. Favilla served as Chief Operating Officer of Sterling National Bank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until December 2018. She previously served as Chief Operating Officer of GE Capital's lending and leasing business from February 2012 until June 2017. Prior to 2012, she served as President of Discover Bank for six years. She also currently serves as a board member of a privately held fintech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178"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Michael Passilla </w:t>
      </w:r>
      <w:r>
        <w:rPr>
          <w:rFonts w:ascii="Times New Roman" w:cs="Times New Roman" w:eastAsia="Times New Roman" w:hAnsi="Times New Roman"/>
          <w:sz w:val="18"/>
          <w:szCs w:val="18"/>
          <w:color w:val="auto"/>
        </w:rPr>
        <w:t>has served as a director of Priority since June 2019. Mr. Passilla served as Vice Chairman for JP Morgan Chase &amp; Company from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in 1989 and an MBA from Northwestern University in 1995.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6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b w:val="1"/>
          <w:bCs w:val="1"/>
          <w:color w:val="auto"/>
        </w:rPr>
        <w:t xml:space="preserve">John Priore </w:t>
      </w:r>
      <w:r>
        <w:rPr>
          <w:rFonts w:ascii="Times New Roman" w:cs="Times New Roman" w:eastAsia="Times New Roman" w:hAnsi="Times New Roman"/>
          <w:sz w:val="18"/>
          <w:szCs w:val="18"/>
          <w:color w:val="auto"/>
        </w:rPr>
        <w:t>is the co-founder of Priority and has served as Vice-Chairman of Priority from December 2018 through March 2021. Prior to that, John Priore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Priore, our Chairman and Chief Executive Officer, and John Priore, a non-employee Director, are brothers.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337"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Chairman or Chief Executive Officer.</w:t>
      </w:r>
    </w:p>
    <w:p>
      <w:pPr>
        <w:spacing w:after="0" w:line="187"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Other than the above, to our knowledge, during the past ten years, none of our directors, executive officers, promoters, control persons, or nominees has been:</w:t>
      </w:r>
    </w:p>
    <w:p>
      <w:pPr>
        <w:spacing w:after="0" w:line="163" w:lineRule="exact"/>
        <w:rPr>
          <w:sz w:val="20"/>
          <w:szCs w:val="20"/>
          <w:color w:val="auto"/>
        </w:rPr>
      </w:pPr>
    </w:p>
    <w:p>
      <w:pPr>
        <w:ind w:left="660" w:hanging="328"/>
        <w:spacing w:after="0" w:line="39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or is subject to a pending criminal proceeding (excluding traffic violations and other minor offenses);</w:t>
      </w:r>
    </w:p>
    <w:p>
      <w:pPr>
        <w:spacing w:after="0" w:line="319" w:lineRule="exact"/>
        <w:rPr>
          <w:rFonts w:ascii="Times New Roman" w:cs="Times New Roman" w:eastAsia="Times New Roman" w:hAnsi="Times New Roman"/>
          <w:sz w:val="18"/>
          <w:szCs w:val="18"/>
          <w:color w:val="auto"/>
        </w:rPr>
      </w:pPr>
    </w:p>
    <w:p>
      <w:pPr>
        <w:jc w:val="both"/>
        <w:ind w:left="660" w:hanging="328"/>
        <w:spacing w:after="0" w:line="37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177" w:lineRule="exact"/>
        <w:rPr>
          <w:rFonts w:ascii="Times New Roman" w:cs="Times New Roman" w:eastAsia="Times New Roman" w:hAnsi="Times New Roman"/>
          <w:sz w:val="18"/>
          <w:szCs w:val="18"/>
          <w:color w:val="auto"/>
        </w:rPr>
      </w:pPr>
    </w:p>
    <w:p>
      <w:pPr>
        <w:ind w:left="660" w:hanging="328"/>
        <w:spacing w:after="0" w:line="40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 by a court of competent jurisdiction (in a civil action), the SEC or the Commodity Futures Trading Commission to have violated a federal or state securities or commodities law;</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37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6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spacing w:after="0" w:line="391" w:lineRule="auto"/>
        <w:rPr>
          <w:sz w:val="20"/>
          <w:szCs w:val="20"/>
          <w:color w:val="auto"/>
        </w:rPr>
      </w:pPr>
      <w:r>
        <w:rPr>
          <w:rFonts w:ascii="Times New Roman" w:cs="Times New Roman" w:eastAsia="Times New Roman" w:hAnsi="Times New Roman"/>
          <w:sz w:val="18"/>
          <w:szCs w:val="18"/>
          <w:color w:val="auto"/>
        </w:rPr>
        <w:t>penalty or temporary or permanent cease-and-desist order, or removal or prohibition order; or (c) any law or regulation prohibiting mail or wire fraud or fraud in connection with any business entity; or</w:t>
      </w:r>
    </w:p>
    <w:p>
      <w:pPr>
        <w:spacing w:after="0" w:line="163" w:lineRule="exact"/>
        <w:rPr>
          <w:sz w:val="20"/>
          <w:szCs w:val="20"/>
          <w:color w:val="auto"/>
        </w:rPr>
      </w:pPr>
    </w:p>
    <w:p>
      <w:pPr>
        <w:jc w:val="both"/>
        <w:ind w:left="660" w:hanging="328"/>
        <w:spacing w:after="0" w:line="3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w:t>
      </w:r>
    </w:p>
    <w:p>
      <w:pPr>
        <w:ind w:left="660" w:hanging="4"/>
        <w:spacing w:after="0" w:line="407"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Commodity Exchange Act (7 U.S.C. 1(a)(29))), or any equivalent exchange, association, entity or organization that has disciplinary authority over its members or persons associated with a member.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6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32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www.prioritycommerce.com.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Currently, the positions of Chairman and Chief Executive Officer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70"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83"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Per our securities trading policy, all covered persons, including all executive officers and directors, are prohibited from purchasing Company securities on margin or pledging Company securities as collateral.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337" w:lineRule="exact"/>
        <w:rPr>
          <w:sz w:val="20"/>
          <w:szCs w:val="20"/>
          <w:color w:val="auto"/>
        </w:rPr>
      </w:pPr>
    </w:p>
    <w:p>
      <w:pPr>
        <w:jc w:val="both"/>
        <w:ind w:firstLine="58"/>
        <w:spacing w:after="0" w:line="367" w:lineRule="auto"/>
        <w:rPr>
          <w:sz w:val="20"/>
          <w:szCs w:val="20"/>
          <w:color w:val="auto"/>
        </w:rPr>
      </w:pPr>
      <w:r>
        <w:rPr>
          <w:rFonts w:ascii="Times New Roman" w:cs="Times New Roman" w:eastAsia="Times New Roman" w:hAnsi="Times New Roman"/>
          <w:sz w:val="18"/>
          <w:szCs w:val="18"/>
          <w:color w:val="auto"/>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Crisafulli, Davis, Favilla, and Passilla, are independent directors. Our independent directors have regularly scheduled meetings at which only independent directors are present.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324" w:lineRule="exact"/>
        <w:rPr>
          <w:sz w:val="20"/>
          <w:szCs w:val="20"/>
          <w:color w:val="auto"/>
        </w:rPr>
      </w:pPr>
    </w:p>
    <w:p>
      <w:pPr>
        <w:jc w:val="both"/>
        <w:ind w:right="20"/>
        <w:spacing w:after="0" w:line="375" w:lineRule="auto"/>
        <w:rPr>
          <w:sz w:val="20"/>
          <w:szCs w:val="20"/>
          <w:color w:val="auto"/>
        </w:rPr>
      </w:pPr>
      <w:r>
        <w:rPr>
          <w:rFonts w:ascii="Times New Roman" w:cs="Times New Roman" w:eastAsia="Times New Roman" w:hAnsi="Times New Roman"/>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spacing w:after="0" w:line="17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333"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 of stockholders.</w:t>
      </w:r>
    </w:p>
    <w:p>
      <w:pPr>
        <w:spacing w:after="0" w:line="32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2024 Notice of Annual Meeting. The Nominating and Governance Committee does not distinguish among nominees recommended by stockholders and other persons.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and Interested Party Communications</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w:t>
      </w:r>
    </w:p>
    <w:p>
      <w:pPr>
        <w:spacing w:after="0" w:line="33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6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resulting from grossly negligent behavior), except in the situations described above. These provisions will not limit the liability of directors under the federal securities laws of the United States.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Our Board met four times during 2023. Also during 2023, the Audit Committee met four times, the Nominating and Governance Committee met once, and the Compensation Committee met three times. All of our then directors attended all of the Board meetings during 2023 and all of our then members of the Audit Committee, the Nominating and Governance Committee, and the Compensation Committee attended all of the respective committee meetings during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Attendance at Annual Meetings of Stockholders</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sessions of non-management directors are held regularly throughout the year.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324"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Our Board has the following standing committees: Audit Committee, Compensation Committee, and Nominating and Governance Committee. The charters for each committee are available in the investor relations section of our website at www.prioritycommerce.com or in print by contacting Mr. Miller at the Company's address. The Board may also establish other committees to assist in the discharge of its responsibilities.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identifies the committee members and committee chairperson (as indicated by a "C") as of the date of this Proxy Statement: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243"/>
        </w:trPr>
        <w:tc>
          <w:tcPr>
            <w:tcW w:w="5000" w:type="dxa"/>
            <w:vAlign w:val="bottom"/>
            <w:gridSpan w:val="2"/>
            <w:vMerge w:val="continue"/>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2100" w:type="dxa"/>
            <w:vAlign w:val="bottom"/>
            <w:gridSpan w:val="2"/>
            <w:vMerge w:val="continue"/>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Favilla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Passilla *</w:t>
            </w:r>
          </w:p>
        </w:tc>
        <w:tc>
          <w:tcPr>
            <w:tcW w:w="2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Independent director</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w:t>
      </w:r>
    </w:p>
    <w:p>
      <w:pPr>
        <w:spacing w:after="0" w:line="32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Board has established an Audit Committee comprised of independent directors. The Audit Committee consists of Michael Passilla, Marc Crisafulli, Marietta Davis, and Christina Favilla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registered public accountants, review the results and scope of the audit and other accounting related services and review our accounting practices and systems of internal accounting and disclosure controls.</w:t>
      </w:r>
    </w:p>
    <w:p>
      <w:pPr>
        <w:spacing w:after="0" w:line="182"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Passilla serves as the financial expert on the Audit Committee.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320"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The Board has established a Compensation Committee consisting of Marc Crisafulli, Marietta Davis, Christina Favilla and Michael Passilla, with Mr. Crisafulli as the chairman of the Compensation Committee. Stephen Hipp formerly served as the chairman of the Compensation Committee until passing away on June 22, 2023.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Nominating and Governance Committee</w:t>
      </w:r>
    </w:p>
    <w:p>
      <w:pPr>
        <w:spacing w:after="0" w:line="320"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The Board has established a Nominating and Governance Committee comprised of Christina Favilla, Marc Crisafulli, Marietta Davis,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6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391"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8"/>
          <w:szCs w:val="18"/>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20" w:lineRule="exact"/>
        <w:rPr>
          <w:sz w:val="20"/>
          <w:szCs w:val="20"/>
          <w:color w:val="auto"/>
        </w:rPr>
      </w:pPr>
    </w:p>
    <w:p>
      <w:pPr>
        <w:jc w:val="both"/>
        <w:spacing w:after="0" w:line="340"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21"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18"/>
          <w:szCs w:val="18"/>
          <w:color w:val="auto"/>
        </w:rPr>
        <w:t>Based upon the review and discussions described in the preceding paragraph, the Audit Committee recommended to the Board that the audited financial statements of the Company be included in its Annual Report on Form 10-K for the year ended December 31, 2023, filed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Passilla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Crisafulli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Davis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Favilla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had late Form 4s: Ranjana Ram (2), Bradley Miller (2), Sean Kiewiet (1), Thomas Priore (1). All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NEOs for Priority's year ended December 31, 2023 were:</w:t>
      </w:r>
    </w:p>
    <w:p>
      <w:pPr>
        <w:spacing w:after="0" w:line="32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Priore, its Chairman and Chief Executive Officer;</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O’Leary, its Chief Financial Officer</w:t>
      </w:r>
      <w:r>
        <w:rPr>
          <w:rFonts w:ascii="Times New Roman" w:cs="Times New Roman" w:eastAsia="Times New Roman" w:hAnsi="Times New Roman"/>
          <w:sz w:val="23"/>
          <w:szCs w:val="23"/>
          <w:color w:val="auto"/>
          <w:vertAlign w:val="superscript"/>
        </w:rPr>
        <w:t>1</w:t>
      </w:r>
    </w:p>
    <w:p>
      <w:pPr>
        <w:spacing w:after="0" w:line="2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Miller, It's General Counsel and Chief Risk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Compensation Table, ("SCT") presents summary information regarding the total compensation for Priority's years 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for the Named Executive Officers: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7"/>
                <w:szCs w:val="17"/>
                <w:color w:val="auto"/>
              </w:rPr>
            </w:pPr>
          </w:p>
        </w:tc>
        <w:tc>
          <w:tcPr>
            <w:tcW w:w="8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7"/>
                <w:szCs w:val="17"/>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60" w:type="dxa"/>
            <w:vAlign w:val="bottom"/>
          </w:tcPr>
          <w:p>
            <w:pPr>
              <w:spacing w:after="0"/>
              <w:rPr>
                <w:sz w:val="10"/>
                <w:szCs w:val="10"/>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200" w:type="dxa"/>
            <w:vAlign w:val="bottom"/>
          </w:tcPr>
          <w:p>
            <w:pPr>
              <w:spacing w:after="0"/>
              <w:rPr>
                <w:sz w:val="10"/>
                <w:szCs w:val="10"/>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160" w:type="dxa"/>
            <w:vAlign w:val="bottom"/>
          </w:tcPr>
          <w:p>
            <w:pPr>
              <w:spacing w:after="0"/>
              <w:rPr>
                <w:sz w:val="10"/>
                <w:szCs w:val="10"/>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 xml:space="preserve">All Other </w:t>
            </w:r>
            <w:r>
              <w:rPr>
                <w:rFonts w:ascii="Times New Roman" w:cs="Times New Roman" w:eastAsia="Times New Roman" w:hAnsi="Times New Roman"/>
                <w:sz w:val="21"/>
                <w:szCs w:val="21"/>
                <w:color w:val="auto"/>
                <w:w w:val="99"/>
                <w:vertAlign w:val="superscript"/>
              </w:rPr>
              <w:t>2</w:t>
            </w:r>
          </w:p>
        </w:tc>
        <w:tc>
          <w:tcPr>
            <w:tcW w:w="58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0"/>
                <w:szCs w:val="10"/>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26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Awards $</w:t>
            </w:r>
          </w:p>
        </w:tc>
        <w:tc>
          <w:tcPr>
            <w:tcW w:w="136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Compensation $</w:t>
            </w:r>
            <w:r>
              <w:rPr>
                <w:rFonts w:ascii="Times New Roman" w:cs="Times New Roman" w:eastAsia="Times New Roman" w:hAnsi="Times New Roman"/>
                <w:sz w:val="21"/>
                <w:szCs w:val="21"/>
                <w:b w:val="1"/>
                <w:bCs w:val="1"/>
                <w:color w:val="auto"/>
                <w:vertAlign w:val="superscript"/>
              </w:rPr>
              <w:t>3</w:t>
            </w:r>
          </w:p>
        </w:tc>
        <w:tc>
          <w:tcPr>
            <w:tcW w:w="8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1,380,265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299,039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327,439</w:t>
            </w:r>
          </w:p>
        </w:tc>
        <w:tc>
          <w:tcPr>
            <w:tcW w:w="8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3,234,533</w:t>
            </w:r>
          </w:p>
        </w:tc>
        <w:tc>
          <w:tcPr>
            <w:tcW w:w="0" w:type="dxa"/>
            <w:vAlign w:val="bottom"/>
          </w:tcPr>
          <w:p>
            <w:pPr>
              <w:spacing w:after="0"/>
              <w:rPr>
                <w:sz w:val="1"/>
                <w:szCs w:val="1"/>
                <w:color w:val="auto"/>
              </w:rPr>
            </w:pPr>
          </w:p>
        </w:tc>
      </w:tr>
      <w:tr>
        <w:trPr>
          <w:trHeight w:val="101"/>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Chief Executive Officer, and</w:t>
            </w:r>
          </w:p>
        </w:tc>
        <w:tc>
          <w:tcPr>
            <w:tcW w:w="84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Chairman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1,140,000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23,305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2,138,305</w:t>
            </w: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r>
              <w:rPr>
                <w:rFonts w:ascii="Times New Roman" w:cs="Times New Roman" w:eastAsia="Times New Roman" w:hAnsi="Times New Roman"/>
                <w:sz w:val="21"/>
                <w:szCs w:val="21"/>
                <w:b w:val="1"/>
                <w:bCs w:val="1"/>
                <w:color w:val="auto"/>
                <w:vertAlign w:val="superscript"/>
              </w:rPr>
              <w:t>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1,273,200</w:t>
            </w:r>
          </w:p>
        </w:tc>
        <w:tc>
          <w:tcPr>
            <w:tcW w:w="0" w:type="dxa"/>
            <w:vAlign w:val="bottom"/>
          </w:tcPr>
          <w:p>
            <w:pPr>
              <w:spacing w:after="0"/>
              <w:rPr>
                <w:sz w:val="1"/>
                <w:szCs w:val="1"/>
                <w:color w:val="auto"/>
              </w:rPr>
            </w:pPr>
          </w:p>
        </w:tc>
      </w:tr>
      <w:tr>
        <w:trPr>
          <w:trHeight w:val="11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4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80" w:type="dxa"/>
            <w:vAlign w:val="bottom"/>
            <w:vMerge w:val="continue"/>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107,693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69,701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611,941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789,335</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Bradley Miller</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575,700</w:t>
            </w:r>
          </w:p>
        </w:tc>
        <w:tc>
          <w:tcPr>
            <w:tcW w:w="0" w:type="dxa"/>
            <w:vAlign w:val="bottom"/>
          </w:tcPr>
          <w:p>
            <w:pPr>
              <w:spacing w:after="0"/>
              <w:rPr>
                <w:sz w:val="1"/>
                <w:szCs w:val="1"/>
                <w:color w:val="auto"/>
              </w:rPr>
            </w:pPr>
          </w:p>
        </w:tc>
      </w:tr>
      <w:tr>
        <w:trPr>
          <w:trHeight w:val="128"/>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General Counsel and Chief Risk Officer</w:t>
            </w:r>
          </w:p>
        </w:tc>
        <w:tc>
          <w:tcPr>
            <w:tcW w:w="8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680" w:type="dxa"/>
            <w:vAlign w:val="bottom"/>
            <w:vMerge w:val="continue"/>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359,615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178,125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1,072,000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1,621,940</w:t>
            </w:r>
          </w:p>
        </w:tc>
        <w:tc>
          <w:tcPr>
            <w:tcW w:w="0" w:type="dxa"/>
            <w:vAlign w:val="bottom"/>
          </w:tcPr>
          <w:p>
            <w:pPr>
              <w:spacing w:after="0"/>
              <w:rPr>
                <w:sz w:val="1"/>
                <w:szCs w:val="1"/>
                <w:color w:val="auto"/>
              </w:rPr>
            </w:pPr>
          </w:p>
        </w:tc>
      </w:tr>
      <w:tr>
        <w:trPr>
          <w:trHeight w:val="257"/>
        </w:trPr>
        <w:tc>
          <w:tcPr>
            <w:tcW w:w="26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340" w:hanging="332"/>
        <w:spacing w:after="0" w:line="189" w:lineRule="auto"/>
        <w:tabs>
          <w:tab w:leader="none" w:pos="328"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Mr. O'Leary joined the Company on September 19, 2022, with an annual salary of $400,000 per year and an annual target bonus of 65% of his base salary. The stock award for 2022 reflects an initial award of 149,254 shares which shall vest equally on each anniversary date over a three-year period.</w:t>
      </w:r>
    </w:p>
    <w:p>
      <w:pPr>
        <w:ind w:left="320" w:hanging="312"/>
        <w:spacing w:after="0" w:line="184" w:lineRule="auto"/>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Reflects medical insurance premiums paid by the Company on behalf of Mr. Priore, and 401(k) matching contributions for Mr. Miller and Mr. O'Leary.</w:t>
      </w:r>
    </w:p>
    <w:p>
      <w:pPr>
        <w:ind w:left="320" w:hanging="312"/>
        <w:spacing w:after="0" w:line="182" w:lineRule="auto"/>
        <w:tabs>
          <w:tab w:leader="none" w:pos="32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Non-equity incentive compensation represents the earned cash portion of the long-term incentive granted on March 22, 2023, vesting over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6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Thomas Priore</w:t>
      </w:r>
    </w:p>
    <w:p>
      <w:pPr>
        <w:spacing w:after="0" w:line="322"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As Chief Executive Officer, the Compensation Committee set performance goals for Mr. Priore based upon revenue, adjusted EBITDA (a non-GAAP measure), and personal performance goals for determining his short-term and long-term incentive. Mr. Priore’s annual short-term incentive bonus target is 100% of his base salary and his annual long-term incentive bonus target is 200% of his base salary. Given the Company’s performance and Mr. Priore’s leadership and meaningful contributions, the 2023 annual short-term incentive bonus and long-term incentive bonus were achieved by Mr. Priore at 115% of his target.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Tim O’Leary</w:t>
      </w:r>
    </w:p>
    <w:p>
      <w:pPr>
        <w:spacing w:after="0" w:line="362" w:lineRule="exact"/>
        <w:rPr>
          <w:sz w:val="20"/>
          <w:szCs w:val="20"/>
          <w:color w:val="auto"/>
        </w:rPr>
      </w:pPr>
    </w:p>
    <w:p>
      <w:pPr>
        <w:jc w:val="both"/>
        <w:ind w:firstLine="324"/>
        <w:spacing w:after="0" w:line="386" w:lineRule="auto"/>
        <w:rPr>
          <w:sz w:val="20"/>
          <w:szCs w:val="20"/>
          <w:color w:val="auto"/>
        </w:rPr>
      </w:pPr>
      <w:r>
        <w:rPr>
          <w:rFonts w:ascii="Times New Roman" w:cs="Times New Roman" w:eastAsia="Times New Roman" w:hAnsi="Times New Roman"/>
          <w:sz w:val="18"/>
          <w:szCs w:val="18"/>
          <w:color w:val="auto"/>
        </w:rPr>
        <w:t>Mr. Tim O’Leary was appointed as our Chief Financial Officer, effective September 19, 2022. Mr. O’Leary is eligible for an annual discretionary bonus at a target of up to 65% of his base salary and an annual long-term incentive award of up to $600,000 worth of RSUs. As a result of his meaningful contributions, Mr. O’Leary was awarded an annual incentive bonus in the amount of $260,000. Mr. O'Leary also received an award of 185,185 RSUs, which shall vest equally on the anniversary date over three years.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Bradley Miller</w:t>
      </w:r>
    </w:p>
    <w:p>
      <w:pPr>
        <w:spacing w:after="0" w:line="362" w:lineRule="exact"/>
        <w:rPr>
          <w:sz w:val="20"/>
          <w:szCs w:val="20"/>
          <w:color w:val="auto"/>
        </w:rPr>
      </w:pPr>
    </w:p>
    <w:p>
      <w:pPr>
        <w:jc w:val="both"/>
        <w:spacing w:after="0" w:line="430" w:lineRule="auto"/>
        <w:rPr>
          <w:sz w:val="20"/>
          <w:szCs w:val="20"/>
          <w:color w:val="auto"/>
        </w:rPr>
      </w:pPr>
      <w:r>
        <w:rPr>
          <w:rFonts w:ascii="Times New Roman" w:cs="Times New Roman" w:eastAsia="Times New Roman" w:hAnsi="Times New Roman"/>
          <w:sz w:val="18"/>
          <w:szCs w:val="18"/>
          <w:color w:val="auto"/>
        </w:rPr>
        <w:t>Mr. Miller is eligible for a discretionary target bonus of up to 50% of his base salary. Additionally, Mr. Miller may be awarded equity grants from time to time in the discretion of the Compensation Committee. As a result of his meaningful contributions in 2023, Mr. Miller was awarded an annual incentive bonus in the amount of $187,500.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Priority maintains a tax-qualified 401(k) defined contribution plan available to substantially all of our employees. The 401(k) plan is available on the same terms to all of its U.S. employees, including Mr. Miller and Mr. O'Leary.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32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The following Pay Versus Performance ("PVP") tables set forth compensation information for our PEO and non-PEO NEOs in accordance with SEC guidance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2440" w:type="dxa"/>
            <w:vAlign w:val="bottom"/>
            <w:vMerge w:val="restart"/>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7"/>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40" w:type="dxa"/>
            <w:vAlign w:val="bottom"/>
          </w:tcPr>
          <w:p>
            <w:pPr>
              <w:jc w:val="center"/>
              <w:ind w:left="988"/>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0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90"/>
        </w:trPr>
        <w:tc>
          <w:tcPr>
            <w:tcW w:w="1400" w:type="dxa"/>
            <w:vAlign w:val="bottom"/>
            <w:vMerge w:val="continue"/>
          </w:tcPr>
          <w:p>
            <w:pPr>
              <w:spacing w:after="0"/>
              <w:rPr>
                <w:sz w:val="16"/>
                <w:szCs w:val="16"/>
                <w:color w:val="auto"/>
              </w:rPr>
            </w:pPr>
          </w:p>
        </w:tc>
        <w:tc>
          <w:tcPr>
            <w:tcW w:w="24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Total for PEO ($)(b)</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 ($)(d)</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PEO NEOs ($)(e)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Value of Initial Fixed</w:t>
      </w:r>
    </w:p>
    <w:p>
      <w:pPr>
        <w:jc w:val="center"/>
        <w:ind w:right="1600"/>
        <w:spacing w:after="0" w:line="221" w:lineRule="auto"/>
        <w:rPr>
          <w:sz w:val="20"/>
          <w:szCs w:val="20"/>
          <w:color w:val="auto"/>
        </w:rPr>
      </w:pPr>
      <w:r>
        <w:rPr>
          <w:rFonts w:ascii="Times New Roman" w:cs="Times New Roman" w:eastAsia="Times New Roman" w:hAnsi="Times New Roman"/>
          <w:sz w:val="14"/>
          <w:szCs w:val="14"/>
          <w:b w:val="1"/>
          <w:bCs w:val="1"/>
          <w:color w:val="auto"/>
        </w:rPr>
        <w:t>$100 Investment</w:t>
      </w:r>
    </w:p>
    <w:tbl>
      <w:tblPr>
        <w:tblLayout w:type="fixed"/>
        <w:tblInd w:w="40" w:type="dxa"/>
        <w:tblCellMar>
          <w:top w:w="0" w:type="dxa"/>
          <w:left w:w="0" w:type="dxa"/>
          <w:bottom w:w="0" w:type="dxa"/>
          <w:right w:w="0" w:type="dxa"/>
        </w:tblCellMar>
      </w:tblPr>
      <w:tr>
        <w:trPr>
          <w:trHeight w:val="131"/>
        </w:trPr>
        <w:tc>
          <w:tcPr>
            <w:tcW w:w="13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3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Net Income (loss) ($</w:t>
            </w:r>
          </w:p>
        </w:tc>
        <w:tc>
          <w:tcPr>
            <w:tcW w:w="0" w:type="dxa"/>
            <w:vAlign w:val="bottom"/>
          </w:tcPr>
          <w:p>
            <w:pPr>
              <w:spacing w:after="0"/>
              <w:rPr>
                <w:sz w:val="1"/>
                <w:szCs w:val="1"/>
                <w:color w:val="auto"/>
              </w:rPr>
            </w:pPr>
          </w:p>
        </w:tc>
      </w:tr>
      <w:tr>
        <w:trPr>
          <w:trHeight w:val="146"/>
        </w:trPr>
        <w:tc>
          <w:tcPr>
            <w:tcW w:w="134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thousands)(g)</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220" w:space="120"/>
            <w:col w:w="2900"/>
          </w:cols>
          <w:pgMar w:left="320" w:top="162" w:right="339" w:bottom="1440" w:gutter="0" w:footer="0" w:header="0"/>
          <w:type w:val="continuous"/>
        </w:sectPr>
      </w:pPr>
    </w:p>
    <w:tbl>
      <w:tblPr>
        <w:tblLayout w:type="fixed"/>
        <w:tblInd w:w="120" w:type="dxa"/>
        <w:tblCellMar>
          <w:top w:w="0" w:type="dxa"/>
          <w:left w:w="0" w:type="dxa"/>
          <w:bottom w:w="0" w:type="dxa"/>
          <w:right w:w="0" w:type="dxa"/>
        </w:tblCellMar>
      </w:tblPr>
      <w:tr>
        <w:trPr>
          <w:trHeight w:val="222"/>
        </w:trPr>
        <w:tc>
          <w:tcPr>
            <w:tcW w:w="140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3,234,533</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3,145,262</w:t>
            </w:r>
          </w:p>
        </w:tc>
        <w:tc>
          <w:tcPr>
            <w:tcW w:w="4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924,450</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376,895</w:t>
            </w: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(1,311)</w:t>
            </w:r>
          </w:p>
        </w:tc>
      </w:tr>
      <w:tr>
        <w:trPr>
          <w:trHeight w:val="214"/>
        </w:trPr>
        <w:tc>
          <w:tcPr>
            <w:tcW w:w="140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2,138,305</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1,959,569</w:t>
            </w:r>
          </w:p>
        </w:tc>
        <w:tc>
          <w:tcPr>
            <w:tcW w:w="4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953,909</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(352,720)</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(2,150)</w:t>
            </w:r>
          </w:p>
        </w:tc>
      </w:tr>
      <w:tr>
        <w:trPr>
          <w:trHeight w:val="218"/>
        </w:trPr>
        <w:tc>
          <w:tcPr>
            <w:tcW w:w="140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2,920,885</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2,924,987</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1,784,026</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1,577,968</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1,389</w:t>
            </w:r>
          </w:p>
        </w:tc>
      </w:tr>
    </w:tbl>
    <w:p>
      <w:pPr>
        <w:spacing w:after="0" w:line="30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from the Summary Compensation Table for the Company's PEO, Thomas Priore for 2021, 2022 and 2023.</w:t>
      </w:r>
    </w:p>
    <w:p>
      <w:pPr>
        <w:spacing w:after="0" w:line="2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to the Company's PEO, as adjusted in the table below.</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Total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3,234,533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2,138,305</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2,920,885</w:t>
            </w:r>
          </w:p>
        </w:tc>
        <w:tc>
          <w:tcPr>
            <w:tcW w:w="0" w:type="dxa"/>
            <w:vAlign w:val="bottom"/>
          </w:tcPr>
          <w:p>
            <w:pPr>
              <w:spacing w:after="0"/>
              <w:rPr>
                <w:sz w:val="1"/>
                <w:szCs w:val="1"/>
                <w:color w:val="auto"/>
              </w:rPr>
            </w:pP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Determine Compensation "Actually Paid" for PEO</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for amounts reported under the "Stock Awards" column in the SCT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(299,039)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awards granted during the year that remain outstanding at year end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277,958</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awards granted in prior years that remain outstanding at year end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0" w:type="dxa"/>
            <w:vAlign w:val="bottom"/>
          </w:tcPr>
          <w:p>
            <w:pPr>
              <w:spacing w:after="0"/>
              <w:rPr>
                <w:sz w:val="1"/>
                <w:szCs w:val="1"/>
                <w:color w:val="auto"/>
              </w:rPr>
            </w:pPr>
          </w:p>
        </w:tc>
      </w:tr>
      <w:tr>
        <w:trPr>
          <w:trHeight w:val="162"/>
        </w:trPr>
        <w:tc>
          <w:tcPr>
            <w:tcW w:w="6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(68,190)</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(85,623)</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and vested in the current year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PEO</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3,145,262</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1,959,569</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2,924,987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60" w:hanging="328"/>
        <w:spacing w:after="0" w:line="257" w:lineRule="auto"/>
        <w:tabs>
          <w:tab w:leader="none" w:pos="6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average summary compensation for all NEOs from the Summary Compensation Table for the named executive officers. For 2023, NEOs were Timothy O'Leary and Bradley Miller. For 2022, NEOs were Timothy O'Leary, Bradley Miller and Michael Vollkommer, who retired from the Company in September 2022. For 2021, NEOs were Michael Vollkommer and Ranjana Ram.</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compensation actually paid to the Company's NEOs, as adjusted the table below.</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Total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924,450</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953,909</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1,784,026</w:t>
            </w:r>
          </w:p>
        </w:tc>
        <w:tc>
          <w:tcPr>
            <w:tcW w:w="0" w:type="dxa"/>
            <w:vAlign w:val="bottom"/>
          </w:tcPr>
          <w:p>
            <w:pPr>
              <w:spacing w:after="0"/>
              <w:rPr>
                <w:sz w:val="1"/>
                <w:szCs w:val="1"/>
                <w:color w:val="auto"/>
              </w:rPr>
            </w:pP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Determine Compensation "Actually Paid" for Non-PEO NEOs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for amounts reported under the "Stock Awards" column in the SCT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(1,683,941)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(2,496,197)</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awards granted during the year that remain outstanding at year end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659,259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1,837,076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2,246,633</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awards granted in prior years that remain outstanding at year end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(395,818)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(95,186)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0" w:type="dxa"/>
            <w:vAlign w:val="bottom"/>
          </w:tcPr>
          <w:p>
            <w:pPr>
              <w:spacing w:after="0"/>
              <w:rPr>
                <w:sz w:val="1"/>
                <w:szCs w:val="1"/>
                <w:color w:val="auto"/>
              </w:rPr>
            </w:pPr>
          </w:p>
        </w:tc>
      </w:tr>
      <w:tr>
        <w:trPr>
          <w:trHeight w:val="162"/>
        </w:trPr>
        <w:tc>
          <w:tcPr>
            <w:tcW w:w="6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from the end of the prior year to the vesting date for awards granted in prior years</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(210,996)</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(57,008)</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40,692</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vested in the current year</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Deduction for fair value at the end of the prior year for awards granted in prior years that forfeited</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(1,307,570)</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during the year (h)</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compensation actually paid for Non-PEO NEOs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376,895</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(352,720)</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1,577,968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Assumes $100 investment on December 31, 2020 in our common stock</w:t>
      </w:r>
    </w:p>
    <w:p>
      <w:pPr>
        <w:spacing w:after="0" w:line="27"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Company's net income on the consolidated statements of income reported in the Company's 2023 Annual Report on Form 10K.</w:t>
      </w:r>
    </w:p>
    <w:p>
      <w:pPr>
        <w:spacing w:after="0" w:line="9"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forfeitures represent Mr. Vollkommer's outstanding awards at the time of his retirement in September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62"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324"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Priority's year ended December 31, 2023 for our non-employee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740" w:type="dxa"/>
            <w:vAlign w:val="bottom"/>
            <w:vMerge w:val="restart"/>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Fees Earned or</w:t>
            </w:r>
          </w:p>
        </w:tc>
        <w:tc>
          <w:tcPr>
            <w:tcW w:w="126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90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740" w:type="dxa"/>
            <w:vAlign w:val="bottom"/>
            <w:vMerge w:val="continue"/>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86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Paid in Cash $</w:t>
            </w:r>
          </w:p>
        </w:tc>
        <w:tc>
          <w:tcPr>
            <w:tcW w:w="1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Plan Compensation $</w:t>
            </w:r>
          </w:p>
        </w:tc>
        <w:tc>
          <w:tcPr>
            <w:tcW w:w="15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 Crisafulli</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Marietta Davis</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Christina Favilla</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65,000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165,000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Passilla</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70,000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Priore</w:t>
            </w:r>
          </w:p>
        </w:tc>
        <w:tc>
          <w:tcPr>
            <w:tcW w:w="174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60,000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160,000</w:t>
            </w:r>
          </w:p>
        </w:tc>
        <w:tc>
          <w:tcPr>
            <w:tcW w:w="0" w:type="dxa"/>
            <w:vAlign w:val="bottom"/>
          </w:tcPr>
          <w:p>
            <w:pPr>
              <w:spacing w:after="0"/>
              <w:rPr>
                <w:sz w:val="1"/>
                <w:szCs w:val="1"/>
                <w:color w:val="auto"/>
              </w:rPr>
            </w:pPr>
          </w:p>
        </w:tc>
      </w:tr>
      <w:tr>
        <w:trPr>
          <w:trHeight w:val="281"/>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Stephen Hipp</w:t>
            </w:r>
            <w:r>
              <w:rPr>
                <w:rFonts w:ascii="Times New Roman" w:cs="Times New Roman" w:eastAsia="Times New Roman" w:hAnsi="Times New Roman"/>
                <w:sz w:val="21"/>
                <w:szCs w:val="21"/>
                <w:color w:val="auto"/>
                <w:vertAlign w:val="superscript"/>
              </w:rPr>
              <w:t>1</w:t>
            </w:r>
          </w:p>
        </w:tc>
        <w:tc>
          <w:tcPr>
            <w:tcW w:w="174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9"/>
              </w:rPr>
              <w:t>43,333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143,333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Stephen Hipp formerly served as Director and chairman of the Compensation Committee until passing away on June, 22,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Director Compensation Table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Independent Director Compensation</w:t>
      </w:r>
    </w:p>
    <w:p>
      <w:pPr>
        <w:spacing w:after="0" w:line="322"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The independent directors have each entered an agreement to which each receives cash compensation of $65,000 per year, payable in monthly installments and a grant of restricted stock with a grant date fair value $100,000 which vests over four quarters. The chair of the Audit Committee received $10,000 in 2023 in addition to their director cash compensation. The chair of the Nominating and Corporate Governance Committee and the chair of the Compensation Committee both received $5,000 in 2023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AT 2023 YEAR END</w:t>
      </w:r>
    </w:p>
    <w:p>
      <w:pPr>
        <w:spacing w:after="0" w:line="200" w:lineRule="exact"/>
        <w:rPr>
          <w:sz w:val="20"/>
          <w:szCs w:val="20"/>
          <w:color w:val="auto"/>
        </w:rPr>
      </w:pPr>
    </w:p>
    <w:p>
      <w:pPr>
        <w:spacing w:after="0" w:line="380" w:lineRule="exact"/>
        <w:rPr>
          <w:sz w:val="20"/>
          <w:szCs w:val="20"/>
          <w:color w:val="auto"/>
        </w:rPr>
      </w:pPr>
    </w:p>
    <w:p>
      <w:pPr>
        <w:jc w:val="both"/>
        <w:spacing w:after="0" w:line="421" w:lineRule="auto"/>
        <w:rPr>
          <w:sz w:val="20"/>
          <w:szCs w:val="20"/>
          <w:color w:val="auto"/>
        </w:rPr>
      </w:pPr>
      <w:r>
        <w:rPr>
          <w:rFonts w:ascii="Times New Roman" w:cs="Times New Roman" w:eastAsia="Times New Roman" w:hAnsi="Times New Roman"/>
          <w:sz w:val="18"/>
          <w:szCs w:val="18"/>
          <w:color w:val="auto"/>
        </w:rPr>
        <w:t>The following table provides information regarding unexercised stock options, stock that has not yet vested, and equity incentive plan awards for each NEO outstanding as of the end of 2023. Each outstanding award is represented by a separate row that indicates the number of securities underlying the award.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260" w:type="dxa"/>
            <w:vAlign w:val="bottom"/>
          </w:tcPr>
          <w:p>
            <w:pPr>
              <w:spacing w:after="0"/>
              <w:rPr>
                <w:sz w:val="11"/>
                <w:szCs w:val="11"/>
                <w:color w:val="auto"/>
              </w:rPr>
            </w:pPr>
          </w:p>
        </w:tc>
        <w:tc>
          <w:tcPr>
            <w:tcW w:w="12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24"/>
              <w:spacing w:after="0" w:line="137"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2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 of</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20" w:type="dxa"/>
            <w:vAlign w:val="bottom"/>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 Units, or</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4"/>
              <w:spacing w:after="0" w:line="135"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2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Options</w:t>
            </w:r>
          </w:p>
        </w:tc>
        <w:tc>
          <w:tcPr>
            <w:tcW w:w="1160" w:type="dxa"/>
            <w:vAlign w:val="bottom"/>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 Yet Vested</w:t>
            </w:r>
          </w:p>
        </w:tc>
        <w:tc>
          <w:tcPr>
            <w:tcW w:w="2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(a)</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 Yet Vested ($)</w:t>
            </w: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Thomas Priore</w:t>
            </w:r>
          </w:p>
        </w:tc>
        <w:tc>
          <w:tcPr>
            <w:tcW w:w="12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78,078</w:t>
            </w:r>
          </w:p>
        </w:tc>
        <w:tc>
          <w:tcPr>
            <w:tcW w:w="260" w:type="dxa"/>
            <w:vAlign w:val="bottom"/>
            <w:vMerge w:val="continue"/>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277,958</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O'Leary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284,687</w:t>
            </w:r>
          </w:p>
        </w:tc>
        <w:tc>
          <w:tcPr>
            <w:tcW w:w="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1,013,486</w:t>
            </w:r>
          </w:p>
        </w:tc>
        <w:tc>
          <w:tcPr>
            <w:tcW w:w="0" w:type="dxa"/>
            <w:vAlign w:val="bottom"/>
          </w:tcPr>
          <w:p>
            <w:pPr>
              <w:spacing w:after="0"/>
              <w:rPr>
                <w:sz w:val="1"/>
                <w:szCs w:val="1"/>
                <w:color w:val="auto"/>
              </w:rPr>
            </w:pPr>
          </w:p>
        </w:tc>
      </w:tr>
      <w:tr>
        <w:trPr>
          <w:trHeight w:val="265"/>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Bradley Miller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133,332</w:t>
            </w: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04659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4659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29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March 2023 grant to Mr. Priore vests over two years. The shares vest on March 22, 2024 and March 22, 2025.</w:t>
      </w:r>
    </w:p>
    <w:p>
      <w:pPr>
        <w:spacing w:after="0" w:line="72" w:lineRule="exact"/>
        <w:rPr>
          <w:rFonts w:ascii="Times New Roman" w:cs="Times New Roman" w:eastAsia="Times New Roman" w:hAnsi="Times New Roman"/>
          <w:sz w:val="16"/>
          <w:szCs w:val="16"/>
          <w:i w:val="1"/>
          <w:iCs w:val="1"/>
          <w:color w:val="auto"/>
        </w:rPr>
      </w:pPr>
    </w:p>
    <w:p>
      <w:pPr>
        <w:ind w:left="660" w:right="20" w:hanging="328"/>
        <w:spacing w:after="0" w:line="280" w:lineRule="auto"/>
        <w:tabs>
          <w:tab w:leader="none" w:pos="660"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O'Leary are 99,502 shares granted on September 19, 2022 and 185,185 shares granted on in September 19, 2023. Mr. O'Leary's awards vest equally over three years.</w:t>
      </w:r>
    </w:p>
    <w:p>
      <w:pPr>
        <w:spacing w:after="0" w:line="2" w:lineRule="exact"/>
        <w:rPr>
          <w:rFonts w:ascii="Times New Roman" w:cs="Times New Roman" w:eastAsia="Times New Roman" w:hAnsi="Times New Roman"/>
          <w:sz w:val="16"/>
          <w:szCs w:val="16"/>
          <w:i w:val="1"/>
          <w:iCs w:val="1"/>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awards outstanding for Mr. Miller are 133,332 shares granted on April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6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DIRECTORS, AND EXECUTIVE OFFICERS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our common stock by:</w:t>
      </w:r>
    </w:p>
    <w:p>
      <w:pPr>
        <w:spacing w:after="0" w:line="32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our outstanding shares of common stock;</w:t>
      </w:r>
    </w:p>
    <w:p>
      <w:pPr>
        <w:spacing w:after="0" w:line="3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named executive officer; and</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320" w:lineRule="exact"/>
        <w:rPr>
          <w:sz w:val="20"/>
          <w:szCs w:val="20"/>
          <w:color w:val="auto"/>
        </w:rPr>
      </w:pPr>
    </w:p>
    <w:p>
      <w:pPr>
        <w:spacing w:after="0" w:line="39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Name and Address of Beneficial Owner </w:t>
            </w:r>
            <w:r>
              <w:rPr>
                <w:rFonts w:ascii="Times New Roman" w:cs="Times New Roman" w:eastAsia="Times New Roman" w:hAnsi="Times New Roman"/>
                <w:sz w:val="21"/>
                <w:szCs w:val="21"/>
                <w:b w:val="1"/>
                <w:bCs w:val="1"/>
                <w:color w:val="auto"/>
                <w:vertAlign w:val="superscript"/>
              </w:rPr>
              <w:t>1</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22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Approximate 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gridSpan w:val="2"/>
            <w:vMerge w:val="continue"/>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228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Outstanding Common Stock </w:t>
            </w:r>
            <w:r>
              <w:rPr>
                <w:rFonts w:ascii="Times New Roman" w:cs="Times New Roman" w:eastAsia="Times New Roman" w:hAnsi="Times New Roman"/>
                <w:sz w:val="23"/>
                <w:szCs w:val="23"/>
                <w:b w:val="1"/>
                <w:bCs w:val="1"/>
                <w:color w:val="auto"/>
                <w:vertAlign w:val="superscript"/>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5% or Greater Stockholders (Other than below):</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Trident Finxera Holdings LP</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c/o Stone Point Capital</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20 Horseneck Lane</w:t>
            </w: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5,193,039</w:t>
            </w:r>
          </w:p>
        </w:tc>
        <w:tc>
          <w:tcPr>
            <w:tcW w:w="120" w:type="dxa"/>
            <w:vAlign w:val="bottom"/>
          </w:tcPr>
          <w:p>
            <w:pPr>
              <w:spacing w:after="0"/>
              <w:rPr>
                <w:sz w:val="14"/>
                <w:szCs w:val="14"/>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Greenwich, CT 05683</w:t>
            </w: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Directors and Named Executive Officers: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4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Thomas Priore </w:t>
            </w:r>
            <w:r>
              <w:rPr>
                <w:rFonts w:ascii="Times New Roman" w:cs="Times New Roman" w:eastAsia="Times New Roman" w:hAnsi="Times New Roman"/>
                <w:sz w:val="23"/>
                <w:szCs w:val="23"/>
                <w:color w:val="auto"/>
                <w:vertAlign w:val="superscript"/>
              </w:rPr>
              <w:t>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46,195,310</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6"/>
        </w:trPr>
        <w:tc>
          <w:tcPr>
            <w:tcW w:w="684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John Priore </w:t>
            </w:r>
            <w:r>
              <w:rPr>
                <w:rFonts w:ascii="Times New Roman" w:cs="Times New Roman" w:eastAsia="Times New Roman" w:hAnsi="Times New Roman"/>
                <w:sz w:val="23"/>
                <w:szCs w:val="23"/>
                <w:color w:val="auto"/>
                <w:vertAlign w:val="superscript"/>
              </w:rPr>
              <w:t>4</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9,345,466</w:t>
            </w:r>
          </w:p>
        </w:tc>
        <w:tc>
          <w:tcPr>
            <w:tcW w:w="120" w:type="dxa"/>
            <w:vAlign w:val="bottom"/>
          </w:tcPr>
          <w:p>
            <w:pPr>
              <w:spacing w:after="0"/>
              <w:rPr>
                <w:sz w:val="18"/>
                <w:szCs w:val="18"/>
                <w:color w:val="auto"/>
              </w:rPr>
            </w:pPr>
          </w:p>
        </w:tc>
        <w:tc>
          <w:tcPr>
            <w:tcW w:w="2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Sean Kiewiet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1,361,853</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1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Bradley Miller</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244,479</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Ranjana Ram</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252,956</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Tim O'Leary</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 Crisafulli</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46,110</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Marietta Davis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50,851</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Christina Favilla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100,690</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Michael Passilla</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177,003</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 directors and executive officers as a group (10 individuals)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57,824,470</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99" w:lineRule="exact"/>
        <w:rPr>
          <w:sz w:val="20"/>
          <w:szCs w:val="20"/>
          <w:color w:val="auto"/>
        </w:rPr>
      </w:pPr>
    </w:p>
    <w:p>
      <w:pPr>
        <w:ind w:left="320" w:hanging="13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Less than 1%</w:t>
      </w:r>
    </w:p>
    <w:p>
      <w:pPr>
        <w:spacing w:after="0" w:line="49" w:lineRule="exact"/>
        <w:rPr>
          <w:rFonts w:ascii="Times New Roman" w:cs="Times New Roman" w:eastAsia="Times New Roman" w:hAnsi="Times New Roman"/>
          <w:sz w:val="18"/>
          <w:szCs w:val="18"/>
          <w:b w:val="1"/>
          <w:bCs w:val="1"/>
          <w:color w:val="auto"/>
        </w:rPr>
      </w:pPr>
    </w:p>
    <w:p>
      <w:pPr>
        <w:ind w:left="660" w:hanging="328"/>
        <w:spacing w:after="0" w:line="268"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Unless otherwise indicated, the business address of each of the individuals is c/o Priority Technology Holdings, Inc., 2001 Westside Parkway, Alpharetta, GA 30004.</w:t>
      </w:r>
    </w:p>
    <w:p>
      <w:pPr>
        <w:spacing w:after="0" w:line="76" w:lineRule="exact"/>
        <w:rPr>
          <w:rFonts w:ascii="Times New Roman" w:cs="Times New Roman" w:eastAsia="Times New Roman" w:hAnsi="Times New Roman"/>
          <w:sz w:val="18"/>
          <w:szCs w:val="18"/>
          <w:i w:val="1"/>
          <w:iCs w:val="1"/>
          <w:color w:val="auto"/>
        </w:rPr>
      </w:pPr>
    </w:p>
    <w:p>
      <w:pPr>
        <w:jc w:val="both"/>
        <w:ind w:left="660" w:hanging="328"/>
        <w:spacing w:after="0" w:line="264"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percentage of beneficial ownership of Priority is calculated based on 75,792,939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69" w:lineRule="exact"/>
        <w:rPr>
          <w:rFonts w:ascii="Times New Roman" w:cs="Times New Roman" w:eastAsia="Times New Roman" w:hAnsi="Times New Roman"/>
          <w:sz w:val="18"/>
          <w:szCs w:val="18"/>
          <w:i w:val="1"/>
          <w:iCs w:val="1"/>
          <w:color w:val="auto"/>
        </w:rPr>
      </w:pPr>
    </w:p>
    <w:p>
      <w:pPr>
        <w:jc w:val="both"/>
        <w:ind w:left="660" w:hanging="328"/>
        <w:spacing w:after="0" w:line="272" w:lineRule="auto"/>
        <w:tabs>
          <w:tab w:leader="none" w:pos="660" w:val="left"/>
        </w:tabs>
        <w:numPr>
          <w:ilvl w:val="1"/>
          <w:numId w:val="2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76" w:lineRule="exact"/>
        <w:rPr>
          <w:rFonts w:ascii="Times New Roman" w:cs="Times New Roman" w:eastAsia="Times New Roman" w:hAnsi="Times New Roman"/>
          <w:sz w:val="16"/>
          <w:szCs w:val="16"/>
          <w:i w:val="1"/>
          <w:iCs w:val="1"/>
          <w:color w:val="auto"/>
        </w:rPr>
      </w:pPr>
    </w:p>
    <w:p>
      <w:pPr>
        <w:ind w:left="660" w:hanging="328"/>
        <w:spacing w:after="0" w:line="268" w:lineRule="auto"/>
        <w:tabs>
          <w:tab w:leader="none" w:pos="654" w:val="left"/>
        </w:tabs>
        <w:numPr>
          <w:ilvl w:val="1"/>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PROPOSAL NUMBER ONE</w:t>
      </w:r>
    </w:p>
    <w:p>
      <w:pPr>
        <w:spacing w:after="0" w:line="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19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Board proposes that the following six director nominees be elected to the Board to serve until the next annual meeting in 2024, or until his or her earlier resignation, death, or removal.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Directors</w:t>
            </w:r>
          </w:p>
        </w:tc>
        <w:tc>
          <w:tcPr>
            <w:tcW w:w="3040" w:type="dxa"/>
            <w:vAlign w:val="bottom"/>
          </w:tcPr>
          <w:p>
            <w:pPr>
              <w:spacing w:after="0"/>
              <w:rPr>
                <w:sz w:val="20"/>
                <w:szCs w:val="20"/>
                <w:color w:val="auto"/>
              </w:rPr>
            </w:pPr>
          </w:p>
        </w:tc>
      </w:tr>
      <w:tr>
        <w:trPr>
          <w:trHeight w:val="52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is listed below, along with their age as of the date of this Proxy Statement.</w:t>
            </w:r>
          </w:p>
        </w:tc>
        <w:tc>
          <w:tcPr>
            <w:tcW w:w="3040" w:type="dxa"/>
            <w:vAlign w:val="bottom"/>
          </w:tcPr>
          <w:p>
            <w:pPr>
              <w:spacing w:after="0"/>
              <w:rPr>
                <w:sz w:val="24"/>
                <w:szCs w:val="24"/>
                <w:color w:val="auto"/>
              </w:rPr>
            </w:pPr>
          </w:p>
        </w:tc>
      </w:tr>
      <w:tr>
        <w:trPr>
          <w:trHeight w:val="513"/>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55</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60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Crisafulli</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55</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64</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30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57</w:t>
            </w:r>
          </w:p>
        </w:tc>
      </w:tr>
    </w:tbl>
    <w:p>
      <w:pPr>
        <w:spacing w:after="0" w:line="341"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Certain biographical information about the nominees as of the date of this Proxy Statement can be found above under "Executive Officers and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3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6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TWO</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ADVISORY VOTE ON NAMED EXECUTIVE OFFICER COMPENSATION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spacing w:after="0" w:line="161"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8"/>
          <w:szCs w:val="18"/>
          <w:color w:val="auto"/>
        </w:rPr>
        <w:t xml:space="preserve">As described in detail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w:t>
      </w:r>
    </w:p>
    <w:p>
      <w:pPr>
        <w:spacing w:after="0" w:line="174"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8"/>
          <w:szCs w:val="18"/>
          <w:color w:val="auto"/>
        </w:rPr>
        <w:t xml:space="preserve">Highlights of our executive compensation program, as described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include:</w:t>
      </w:r>
    </w:p>
    <w:p>
      <w:pPr>
        <w:spacing w:after="0" w:line="15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that are performance-based and align executive officer incentives with stockholder interests over multiple timeframes;</w:t>
      </w:r>
    </w:p>
    <w:p>
      <w:pPr>
        <w:spacing w:after="0" w:line="333"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incentives that are earned based on performance measured against specific financial and strategic objectives for an executive’s area of responsibility, together with a qualitative assessment of performance;</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at-risk pay and compensation design that reflect an executive officer’s impact on Corporation performance over time; and</w:t>
      </w:r>
    </w:p>
    <w:p>
      <w:pPr>
        <w:spacing w:after="0" w:line="319" w:lineRule="exact"/>
        <w:rPr>
          <w:rFonts w:ascii="Times New Roman" w:cs="Times New Roman" w:eastAsia="Times New Roman" w:hAnsi="Times New Roman"/>
          <w:sz w:val="18"/>
          <w:szCs w:val="18"/>
          <w:color w:val="auto"/>
        </w:rPr>
      </w:pPr>
    </w:p>
    <w:p>
      <w:pPr>
        <w:ind w:left="660" w:hanging="328"/>
        <w:spacing w:after="0" w:line="39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risk management practices, including a clawback policy, anti-hedging policy, anti-pledging policy, stock ownership requirements, net share retention ratio, and net hold requirements with respect to equity grants.</w:t>
      </w:r>
    </w:p>
    <w:p>
      <w:pPr>
        <w:spacing w:after="0" w:line="163"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the 2023 Summary Compensation Table, and the other related tables and narrative discussion.</w:t>
      </w:r>
    </w:p>
    <w:p>
      <w:pPr>
        <w:spacing w:after="0" w:line="19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2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Number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6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THREE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RATIFICATION OF INDEPENDENT REGISTERED PUBLIC ACCOUNTING FIRM</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324" w:lineRule="exact"/>
        <w:rPr>
          <w:sz w:val="20"/>
          <w:szCs w:val="20"/>
          <w:color w:val="auto"/>
        </w:rPr>
      </w:pPr>
    </w:p>
    <w:p>
      <w:pPr>
        <w:jc w:val="both"/>
        <w:spacing w:after="0" w:line="365" w:lineRule="auto"/>
        <w:rPr>
          <w:sz w:val="20"/>
          <w:szCs w:val="20"/>
          <w:color w:val="auto"/>
        </w:rPr>
      </w:pPr>
      <w:r>
        <w:rPr>
          <w:rFonts w:ascii="Times New Roman" w:cs="Times New Roman" w:eastAsia="Times New Roman" w:hAnsi="Times New Roman"/>
          <w:sz w:val="18"/>
          <w:szCs w:val="18"/>
          <w:color w:val="auto"/>
        </w:rPr>
        <w:t>The Audit Committee of the Board has appointed EY to serve as the Company's independent registered public accounting firm for the year ending December 31, 2024.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Fees and Services</w:t>
      </w:r>
    </w:p>
    <w:p>
      <w:pPr>
        <w:spacing w:after="0" w:line="324"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provided by EY, our independent registered public accounting firm for fiscal year 2023 and 2022, in each of the last two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1,960,750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587,540</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2,548,290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amounts reported as audit fees are fees, including out-of-pocket expenses, for the current-year audit and related quarterly reviews irrespective of the period in which the related services are rendered or billed. Audit fees include fees associated with the annual audit of the Company’s consolidated financial statements included in the Annual Report on Form 10-K, review of quarterly reports on Form 10-Q, SEC regulatory filings, and statutory audits.</w:t>
      </w:r>
    </w:p>
    <w:p>
      <w:pPr>
        <w:spacing w:after="0" w:line="17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amounts reported as audit-related, tax and all other fees are fees billed, including out-of-pocket expenses, for services rendered during the fiscal year, even if the auditor did not bill the registrant for those services until after year end. There were no audit-related fees for the reported years. Tax fees include fees associated with tax compliance services, including the preparation, review and filing of certain tax returns, as well as tax advisory services. All other fees include fees associated with advisory services, including fees associated with the Company’s acquisition in 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Auditors</w:t>
      </w:r>
    </w:p>
    <w:p>
      <w:pPr>
        <w:spacing w:after="0" w:line="324"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EY in the table above were pre-approved by the Audit Committee.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3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7"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and Young LLP as the Company's independent registered public accounting firm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2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and Director Nominations for the 2024 Annual Meeting</w:t>
      </w:r>
    </w:p>
    <w:p>
      <w:pPr>
        <w:spacing w:after="0" w:line="3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We expect that our 2025 Annual Meeting will be held in May 2025 consistent with our 2024 Annual Meeting. Stockholders of record who intend to nominate a candidate for director or submit a proposal at the annual meeting of stockholders in 2025 must provide written notice to the Company in accordance with our bylaws. Under our bylaws, such notice must be received at the Company's principal executive offices, addressed to the Secretary of the Company, not earlier than January 22, 2025 nor later than February 21, 2025, which are dates at least 90 days but not more than 120 days in advance of the first anniversary of the date of the 2024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62"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Before the Annual Meeting - Go to www.proxyvote.com</w:t>
      </w:r>
    </w:p>
    <w:p>
      <w:pPr>
        <w:spacing w:after="0" w:line="285"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4"/>
          <w:szCs w:val="14"/>
          <w:b w:val="1"/>
          <w:bCs w:val="1"/>
          <w:color w:val="auto"/>
        </w:rPr>
        <w:t>Use the Internet to transmit your voting instructions and for electronic delivery of information. Vote by 11:59 P.M. ET on May 21, 2024 for shares held directly and by 11:59 P.M. ET on May 19, 2024 for shares held in a Plan. Have your proxy card in hand when you access the web site and follow the instructions to obtain your records and to create an electronic voting instruction 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During the Annual Meeting - Go to </w:t>
      </w:r>
      <w:r>
        <w:rPr>
          <w:rFonts w:ascii="Times New Roman" w:cs="Times New Roman" w:eastAsia="Times New Roman" w:hAnsi="Times New Roman"/>
          <w:sz w:val="14"/>
          <w:szCs w:val="14"/>
          <w:b w:val="1"/>
          <w:bCs w:val="1"/>
          <w:u w:val="single" w:color="auto"/>
          <w:color w:val="auto"/>
        </w:rPr>
        <w:t>www.virtualshareholdermeeting.com/PRTH2024</w:t>
      </w:r>
      <w:r>
        <w:rPr>
          <w:rFonts w:ascii="Times New Roman" w:cs="Times New Roman" w:eastAsia="Times New Roman" w:hAnsi="Times New Roman"/>
          <w:sz w:val="14"/>
          <w:szCs w:val="14"/>
          <w:b w:val="1"/>
          <w:bCs w:val="1"/>
          <w:color w:val="auto"/>
        </w:rPr>
        <w:t>.</w:t>
      </w:r>
    </w:p>
    <w:p>
      <w:pPr>
        <w:spacing w:after="0" w:line="42" w:lineRule="exact"/>
        <w:rPr>
          <w:sz w:val="20"/>
          <w:szCs w:val="20"/>
          <w:color w:val="auto"/>
        </w:rPr>
      </w:pPr>
    </w:p>
    <w:p>
      <w:pPr>
        <w:ind w:right="260"/>
        <w:spacing w:after="0" w:line="345" w:lineRule="auto"/>
        <w:rPr>
          <w:sz w:val="20"/>
          <w:szCs w:val="20"/>
          <w:color w:val="auto"/>
        </w:rPr>
      </w:pPr>
      <w:r>
        <w:rPr>
          <w:rFonts w:ascii="Times New Roman" w:cs="Times New Roman" w:eastAsia="Times New Roman" w:hAnsi="Times New Roman"/>
          <w:sz w:val="14"/>
          <w:szCs w:val="14"/>
          <w:b w:val="1"/>
          <w:bCs w:val="1"/>
          <w:color w:val="auto"/>
        </w:rPr>
        <w:t>You may attend the meeting via the Internet and vote during the meeting. Have the information that is printed in the box marked by the arrow available and follow the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9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4"/>
          <w:szCs w:val="14"/>
          <w:b w:val="1"/>
          <w:bCs w:val="1"/>
          <w:color w:val="auto"/>
        </w:rPr>
        <w:t>Use any touch-tone telephone to transmit your voting instructions. Vote by 11:59 P.M. ET on May 21, 2024 for shares held directly and by 11:59 P.M. ET on May 19, 2024 for shares held in a Plan. Have your proxy card in hand when you call and then follow the instructions.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90" w:lineRule="exact"/>
        <w:rPr>
          <w:sz w:val="20"/>
          <w:szCs w:val="20"/>
          <w:color w:val="auto"/>
        </w:rPr>
      </w:pPr>
    </w:p>
    <w:p>
      <w:pPr>
        <w:ind w:right="380"/>
        <w:spacing w:after="0" w:line="325" w:lineRule="auto"/>
        <w:rPr>
          <w:sz w:val="20"/>
          <w:szCs w:val="20"/>
          <w:color w:val="auto"/>
        </w:rPr>
      </w:pPr>
      <w:r>
        <w:rPr>
          <w:rFonts w:ascii="Times New Roman" w:cs="Times New Roman" w:eastAsia="Times New Roman" w:hAnsi="Times New Roman"/>
          <w:sz w:val="14"/>
          <w:szCs w:val="14"/>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13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p>
      <w:pPr>
        <w:spacing w:after="0" w:line="2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6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ectPr>
          <w:pgSz w:w="11900" w:h="16838" w:orient="portrait"/>
          <w:cols w:equalWidth="0" w:num="1">
            <w:col w:w="11240"/>
          </w:cols>
          <w:pgMar w:left="320" w:top="13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43"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election of the following six director nominees: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Election of Directors</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Against</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Abstain</w:t>
            </w:r>
          </w:p>
        </w:tc>
        <w:tc>
          <w:tcPr>
            <w:tcW w:w="4620" w:type="dxa"/>
            <w:vAlign w:val="bottom"/>
            <w:gridSpan w:val="3"/>
          </w:tcPr>
          <w:p>
            <w:pPr>
              <w:ind w:left="4180"/>
              <w:spacing w:after="0"/>
              <w:rPr>
                <w:sz w:val="20"/>
                <w:szCs w:val="20"/>
                <w:color w:val="auto"/>
              </w:rPr>
            </w:pPr>
            <w:r>
              <w:rPr>
                <w:rFonts w:ascii="Times New Roman" w:cs="Times New Roman" w:eastAsia="Times New Roman" w:hAnsi="Times New Roman"/>
                <w:sz w:val="14"/>
                <w:szCs w:val="14"/>
                <w:color w:val="auto"/>
              </w:rPr>
              <w:t>For</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Against</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6"/>
              </w:rPr>
              <w:t>Abstain</w:t>
            </w:r>
          </w:p>
        </w:tc>
        <w:tc>
          <w:tcPr>
            <w:tcW w:w="0" w:type="dxa"/>
            <w:vAlign w:val="bottom"/>
          </w:tcPr>
          <w:p>
            <w:pPr>
              <w:spacing w:after="0"/>
              <w:rPr>
                <w:sz w:val="1"/>
                <w:szCs w:val="1"/>
                <w:color w:val="auto"/>
              </w:rPr>
            </w:pPr>
          </w:p>
        </w:tc>
      </w:tr>
      <w:tr>
        <w:trPr>
          <w:trHeight w:val="213"/>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1a. Thomas Priore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3. Ratification of the appointment of Ernst and Young</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1b. John Priore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3"/>
          </w:tcPr>
          <w:p>
            <w:pPr>
              <w:ind w:left="240"/>
              <w:spacing w:after="0" w:line="139" w:lineRule="exact"/>
              <w:rPr>
                <w:sz w:val="20"/>
                <w:szCs w:val="20"/>
                <w:color w:val="auto"/>
              </w:rPr>
            </w:pPr>
            <w:r>
              <w:rPr>
                <w:rFonts w:ascii="Times New Roman" w:cs="Times New Roman" w:eastAsia="Times New Roman" w:hAnsi="Times New Roman"/>
                <w:sz w:val="14"/>
                <w:szCs w:val="14"/>
                <w:color w:val="auto"/>
              </w:rPr>
              <w:t>LLP as the Company's independent registered public</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accounting firm for the year ending December 31,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1c. Marc Crisafulli</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1d. Marietta Davis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3"/>
          </w:tcPr>
          <w:p>
            <w:pPr>
              <w:ind w:left="240"/>
              <w:spacing w:after="0" w:line="159" w:lineRule="exact"/>
              <w:rPr>
                <w:sz w:val="20"/>
                <w:szCs w:val="20"/>
                <w:color w:val="auto"/>
              </w:rPr>
            </w:pPr>
            <w:r>
              <w:rPr>
                <w:rFonts w:ascii="Times New Roman" w:cs="Times New Roman" w:eastAsia="Times New Roman" w:hAnsi="Times New Roman"/>
                <w:sz w:val="14"/>
                <w:szCs w:val="14"/>
                <w:color w:val="auto"/>
              </w:rPr>
              <w:t>NOTE: To consider such other business as may</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1e. Christina Favilla</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properly come before the Annual Meeting and any</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adjournments or postponements thereof.</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1f. Michael Passilla</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that you vote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proposals 2 and 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Against</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Abstain</w:t>
            </w: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2. To approve, on a non-binding advisory basis,the</w:t>
            </w:r>
          </w:p>
        </w:tc>
        <w:tc>
          <w:tcPr>
            <w:tcW w:w="2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of our Named Executive Officers.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sign exactly as your name(s) appear(s) hereon.</w:t>
      </w:r>
    </w:p>
    <w:p>
      <w:pPr>
        <w:spacing w:after="0" w:line="221" w:lineRule="auto"/>
        <w:rPr>
          <w:sz w:val="20"/>
          <w:szCs w:val="20"/>
          <w:color w:val="auto"/>
        </w:rPr>
      </w:pPr>
      <w:r>
        <w:rPr>
          <w:rFonts w:ascii="Times New Roman" w:cs="Times New Roman" w:eastAsia="Times New Roman" w:hAnsi="Times New Roman"/>
          <w:sz w:val="14"/>
          <w:szCs w:val="14"/>
          <w:color w:val="auto"/>
        </w:rPr>
        <w:t>When signing as attorney, executor, administrator, or</w:t>
      </w:r>
    </w:p>
    <w:p>
      <w:pPr>
        <w:spacing w:after="0" w:line="221" w:lineRule="auto"/>
        <w:rPr>
          <w:sz w:val="20"/>
          <w:szCs w:val="20"/>
          <w:color w:val="auto"/>
        </w:rPr>
      </w:pPr>
      <w:r>
        <w:rPr>
          <w:rFonts w:ascii="Times New Roman" w:cs="Times New Roman" w:eastAsia="Times New Roman" w:hAnsi="Times New Roman"/>
          <w:sz w:val="14"/>
          <w:szCs w:val="14"/>
          <w:color w:val="auto"/>
        </w:rPr>
        <w:t>other fiduciary, please give full title as such. Joint</w:t>
      </w:r>
    </w:p>
    <w:p>
      <w:pPr>
        <w:spacing w:after="0" w:line="202" w:lineRule="auto"/>
        <w:rPr>
          <w:sz w:val="20"/>
          <w:szCs w:val="20"/>
          <w:color w:val="auto"/>
        </w:rPr>
      </w:pPr>
      <w:r>
        <w:rPr>
          <w:rFonts w:ascii="Times New Roman" w:cs="Times New Roman" w:eastAsia="Times New Roman" w:hAnsi="Times New Roman"/>
          <w:sz w:val="14"/>
          <w:szCs w:val="14"/>
          <w:color w:val="auto"/>
        </w:rPr>
        <w:t>owners should each sign personally. All holders must</w:t>
      </w:r>
    </w:p>
    <w:p>
      <w:pPr>
        <w:spacing w:after="0" w:line="221" w:lineRule="auto"/>
        <w:rPr>
          <w:sz w:val="20"/>
          <w:szCs w:val="20"/>
          <w:color w:val="auto"/>
        </w:rPr>
      </w:pPr>
      <w:r>
        <w:rPr>
          <w:rFonts w:ascii="Times New Roman" w:cs="Times New Roman" w:eastAsia="Times New Roman" w:hAnsi="Times New Roman"/>
          <w:sz w:val="14"/>
          <w:szCs w:val="14"/>
          <w:color w:val="auto"/>
        </w:rPr>
        <w:t>sign. If a corporation or partnership, please sign in full</w:t>
      </w:r>
    </w:p>
    <w:p>
      <w:pPr>
        <w:spacing w:after="0"/>
        <w:rPr>
          <w:sz w:val="20"/>
          <w:szCs w:val="20"/>
          <w:color w:val="auto"/>
        </w:rPr>
      </w:pPr>
      <w:r>
        <w:rPr>
          <w:rFonts w:ascii="Times New Roman" w:cs="Times New Roman" w:eastAsia="Times New Roman" w:hAnsi="Times New Roman"/>
          <w:sz w:val="14"/>
          <w:szCs w:val="14"/>
          <w:color w:val="auto"/>
        </w:rPr>
        <w:t>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6669405" cy="248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940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340" w:top="925" w:right="6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[control number]</w:t>
      </w: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3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May 22, 2024 9:30 A.M. Eastern Daylight Time</w:t>
      </w:r>
    </w:p>
    <w:p>
      <w:pPr>
        <w:spacing w:after="0" w:line="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310" w:lineRule="exact"/>
        <w:rPr>
          <w:sz w:val="20"/>
          <w:szCs w:val="20"/>
          <w:color w:val="auto"/>
        </w:rPr>
      </w:pPr>
    </w:p>
    <w:p>
      <w:pPr>
        <w:jc w:val="both"/>
        <w:ind w:right="120"/>
        <w:spacing w:after="0" w:line="369" w:lineRule="auto"/>
        <w:rPr>
          <w:sz w:val="20"/>
          <w:szCs w:val="20"/>
          <w:color w:val="auto"/>
        </w:rPr>
      </w:pPr>
      <w:r>
        <w:rPr>
          <w:rFonts w:ascii="Times New Roman" w:cs="Times New Roman" w:eastAsia="Times New Roman" w:hAnsi="Times New Roman"/>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www.virtualshareholdermeeting.com/PRTH2024 or any adjournment or postponement thereof, with all powers which the undersigned would possess if present at the meeting.</w:t>
      </w:r>
    </w:p>
    <w:p>
      <w:pPr>
        <w:spacing w:after="0" w:line="179"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PROPOSALS 2 AND 3,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1120"/>
      </w:cols>
      <w:pgMar w:left="44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2)"/>
      <w:numFmt w:val="decimal"/>
      <w:start w:val="29"/>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2"/>
    </w:lvl>
  </w:abstractNum>
  <w:abstractNum w:abstractNumId="16">
    <w:nsid w:val="62BBD95A"/>
    <w:multiLevelType w:val="hybridMultilevel"/>
    <w:lvl w:ilvl="0">
      <w:lvlJc w:val="left"/>
      <w:lvlText w:val="(%1)"/>
      <w:numFmt w:val="lowerLetter"/>
      <w:start w:val="4"/>
    </w:lvl>
  </w:abstractNum>
  <w:abstractNum w:abstractNumId="17">
    <w:nsid w:val="436C6125"/>
    <w:multiLevelType w:val="hybridMultilevel"/>
    <w:lvl w:ilvl="0">
      <w:lvlJc w:val="left"/>
      <w:lvlText w:val="(%1)"/>
      <w:numFmt w:val="lowerLetter"/>
      <w:start w:val="6"/>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lvl w:ilvl="1">
      <w:lvlJc w:val="left"/>
      <w:lvlText w:val="(%2)"/>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2024-04-09T07:11:57Z</dcterms:created>
  <dcterms:modified xsi:type="dcterms:W3CDTF">2024-04-09T07:11:57Z</dcterms:modified>
</cp:coreProperties>
</file>