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July 19, 2018</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M I Acquisitions, Inc.</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6" w:lineRule="exact"/>
        <w:rPr>
          <w:sz w:val="24"/>
          <w:szCs w:val="24"/>
          <w:color w:val="auto"/>
        </w:rPr>
      </w:pPr>
    </w:p>
    <w:tbl>
      <w:tblPr>
        <w:tblLayout w:type="fixed"/>
        <w:tblInd w:w="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2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001-37872</w:t>
            </w:r>
          </w:p>
        </w:tc>
        <w:tc>
          <w:tcPr>
            <w:tcW w:w="376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47-4257046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200" w:type="dxa"/>
            <w:vAlign w:val="bottom"/>
            <w:vMerge w:val="restart"/>
          </w:tcPr>
          <w:p>
            <w:pPr>
              <w:spacing w:after="0"/>
              <w:rPr>
                <w:sz w:val="12"/>
                <w:szCs w:val="12"/>
                <w:color w:val="auto"/>
              </w:rPr>
            </w:pPr>
          </w:p>
        </w:tc>
        <w:tc>
          <w:tcPr>
            <w:tcW w:w="3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00" w:type="dxa"/>
            <w:vAlign w:val="bottom"/>
            <w:vMerge w:val="continue"/>
          </w:tcPr>
          <w:p>
            <w:pPr>
              <w:spacing w:after="0"/>
              <w:rPr>
                <w:sz w:val="19"/>
                <w:szCs w:val="19"/>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42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c/o Magna Management LLC</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40 Wall Street, 58th Floor</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10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tcPr>
          <w:p>
            <w:pPr>
              <w:jc w:val="center"/>
              <w:ind w:right="189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(347) 491-4240</w:t>
      </w:r>
    </w:p>
    <w:p>
      <w:pPr>
        <w:spacing w:after="0" w:line="2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w:t>
      </w:r>
    </w:p>
    <w:p>
      <w:pPr>
        <w:spacing w:after="0" w:line="225"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468" w:right="339" w:bottom="1440" w:gutter="0" w:footer="0" w:header="0"/>
        </w:sectPr>
      </w:pPr>
    </w:p>
    <w:bookmarkStart w:id="1" w:name="page2"/>
    <w:bookmarkEnd w:id="1"/>
    <w:p>
      <w:pPr>
        <w:spacing w:after="0" w:line="253" w:lineRule="auto"/>
        <w:rPr>
          <w:sz w:val="20"/>
          <w:szCs w:val="20"/>
          <w:color w:val="auto"/>
        </w:rPr>
      </w:pPr>
      <w:r>
        <w:rPr>
          <w:rFonts w:ascii="Times New Roman" w:cs="Times New Roman" w:eastAsia="Times New Roman" w:hAnsi="Times New Roman"/>
          <w:sz w:val="18"/>
          <w:szCs w:val="18"/>
          <w:b w:val="1"/>
          <w:bCs w:val="1"/>
          <w:color w:val="auto"/>
        </w:rPr>
        <w:t>This current report on Form 8-K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Priority Holdings, LLC (“Priority”), M I Acquisitions, Inc. (“M I”) and the transactions contemplated thereby, and the parties’ perspectives and expectations, are forward looking statements. Such statements include, but are not limited to, statements regarding the proposed transaction between Priority and M I,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contribution agreement between M I and Priority dated February 26, 2018, as subsequently amended and restated on March 26, 2018 and April 17, 2018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19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M I was not obtained; (ii) the occurrence of any event, change or other circumstances that could give rise to the termination of the Purchase Agreement; (iii) the risk that there may be a material adverse change with respect to the financial position, performance, operations or prospects of Priority or M I; (iv) risks related to disruption of management time from ongoing business operations due to the proposed transaction; (v) the risk that any announcements relating to the proposed transaction could have adverse effects on the market price of M I’s common stock; (vi) 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 risks related to successfully integrating the businesses of the companies, which may result in the combined company not operating as effectively and efficiently as expected; (viii) the risk that the combined company may be unable to achieve cost-cutting synergies or it may take longer than expected to achieve those synergies; and (ix) risks associated with the financing of the proposed transaction.</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A further list and description of risks and uncertainties can be found in M I’s Annual Report on Form 10-K for the fiscal year ending December 31, 2017 that M I filed with the SEC and in the Definitive Proxy Statement that M I filed with the SEC,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 I, Priority, and their subsidiaries undertake no obligation to update forward-looking statements to reflect events or circumstances after the date they were made except as required by law or applicable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5.07. Submissions of Matters to a Vote of Security Holders.</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 I Acquisitions, Inc. (“M I”) </w:t>
      </w:r>
      <w:r>
        <w:rPr>
          <w:rFonts w:ascii="Times New Roman" w:cs="Times New Roman" w:eastAsia="Times New Roman" w:hAnsi="Times New Roman"/>
          <w:sz w:val="18"/>
          <w:szCs w:val="18"/>
          <w:color w:val="auto"/>
        </w:rPr>
        <w:t>held a Special Meeting of Stockholders (the “Special Meeting”) on July 19, 2018 at 10:00 a.m. local time at the offices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Loeb &amp; Loeb LLP, 345 Park Avenue, New York, NY 10154. Summarized below are the results of the matters voted on at the Special Meeting.</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Matters Voted On</w:t>
            </w:r>
          </w:p>
        </w:tc>
        <w:tc>
          <w:tcPr>
            <w:tcW w:w="15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For</w:t>
            </w: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191"/>
        </w:trPr>
        <w:tc>
          <w:tcPr>
            <w:tcW w:w="5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Approve the authorization for the Company to acquire all of the issued and</w:t>
            </w:r>
          </w:p>
        </w:tc>
        <w:tc>
          <w:tcPr>
            <w:tcW w:w="2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equity interests of Priority Holdings, LLC (“Priority”), as</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provided for in the Contribution Agreement, dated as of February 26, 2018,</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amended and restated on March 26, 2018 and April 17, 2018 (the</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Agreement”), by and among the Company, Priority Investment</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Holdings, LLC (“PIH”) and Priority Incentive Equity Holdings, LLC</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(“PIEH” and, together with PIH, the “Sellers”), including the initial</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paid to the Sellers and the earn-out consideration.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5,502,341</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0"/>
                <w:szCs w:val="20"/>
                <w:color w:val="auto"/>
              </w:rPr>
            </w:pPr>
          </w:p>
        </w:tc>
      </w:tr>
      <w:tr>
        <w:trPr>
          <w:trHeight w:val="198"/>
        </w:trPr>
        <w:tc>
          <w:tcPr>
            <w:tcW w:w="5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Approve the amendment of the certificate of incorporation of the Company</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“Current Certificate of Incorporation”) to increase the number of</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shares of common stock and preferred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5,430,910</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66,983</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20"/>
                <w:szCs w:val="20"/>
                <w:color w:val="auto"/>
              </w:rPr>
            </w:pPr>
          </w:p>
        </w:tc>
      </w:tr>
      <w:tr>
        <w:trPr>
          <w:trHeight w:val="198"/>
        </w:trPr>
        <w:tc>
          <w:tcPr>
            <w:tcW w:w="5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Approve the amendment of the Current Certificate of Incorporation to</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provide for declassification of the board of directors into one class.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5,497,563</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0"/>
                <w:szCs w:val="20"/>
                <w:color w:val="auto"/>
              </w:rPr>
            </w:pPr>
          </w:p>
        </w:tc>
      </w:tr>
      <w:tr>
        <w:trPr>
          <w:trHeight w:val="198"/>
        </w:trPr>
        <w:tc>
          <w:tcPr>
            <w:tcW w:w="5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Approve the amendment of the Current Certificate of Incorporation to</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the stockholder vote required to approve a further amendment</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thereof.</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5,431,763</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66,983</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r>
      <w:tr>
        <w:trPr>
          <w:trHeight w:val="198"/>
        </w:trPr>
        <w:tc>
          <w:tcPr>
            <w:tcW w:w="5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Approve the amendment of the Current Certificate of Incorporation to elect</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to be governed by Section 203 of the Delaware General Corporation</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Law (the “DGCL”) and, instead, include a provision in the Company’s</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of incorporation that is substantially similar to Section 203 of the</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DGCL, but excludes the Sellers, certain affiliates and each of their</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 transferees from the definition of “interested stockholder,” and to</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make certain related changes.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5,431,763</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66,983</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0"/>
                <w:szCs w:val="20"/>
                <w:color w:val="auto"/>
              </w:rPr>
            </w:pPr>
          </w:p>
        </w:tc>
      </w:tr>
      <w:tr>
        <w:trPr>
          <w:trHeight w:val="198"/>
        </w:trPr>
        <w:tc>
          <w:tcPr>
            <w:tcW w:w="5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Approve certain other changes to the Current Certificate of Incorporation,</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including eliminating certain provisions specific to the Company’s status as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special purpose acquisition company.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5,431,763</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66,983</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r>
      <w:tr>
        <w:trPr>
          <w:trHeight w:val="198"/>
        </w:trPr>
        <w:tc>
          <w:tcPr>
            <w:tcW w:w="5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Approve the 2018 Equity Incentive Plan, including the authorization of the</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share reserve under the 2018 Equity Incentive Plan.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5,431,763</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66,983</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0"/>
                <w:szCs w:val="20"/>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 the Earnout Incentive Plan.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5,431,763</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66,983</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r>
      <w:tr>
        <w:trPr>
          <w:trHeight w:val="198"/>
        </w:trPr>
        <w:tc>
          <w:tcPr>
            <w:tcW w:w="5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Approve the issuance of more than 20% of the issued and outstanding</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of the Company pursuant to the terms of the</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Agreement, as required by Nasdaq Listing Rules 5635(a) and (d).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5,431,763</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66,983</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result of the voting at the Special Meeting, each of the proposals described above was approved by M I’s stockholders. Prior to the Special Meeting, holders of 6,000 shares of M I’s common stock elected to redeem their shares for cash in connection with the closing of the business combination between M I and Priority. At the closing of the business combination between M I and Priority, the amount remaining in trust after redemptions will be $51,841,541.10. M I and Priority anticipate closing the business combination in the coming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792" w:right="319" w:bottom="1440" w:gutter="0" w:footer="0" w:header="0"/>
        </w:sectPr>
      </w:pPr>
    </w:p>
    <w:bookmarkStart w:id="3" w:name="page4"/>
    <w:bookmarkEnd w:id="3"/>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23,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 I ACQUISITIONS, INC.</w:t>
      </w: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Joshua Sason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-130810</wp:posOffset>
            </wp:positionV>
            <wp:extent cx="1869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2020-01-13T19:07:04Z</dcterms:created>
  <dcterms:modified xsi:type="dcterms:W3CDTF">2020-01-13T19:07:04Z</dcterms:modified>
</cp:coreProperties>
</file>