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15,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4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160655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 connection with the transaction between Priority and M I, M I has filed a preliminary proxy statement on Schedule 14A with the Securities and Exchange Commission (the “SEC”),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right="40"/>
        <w:spacing w:after="0" w:line="255" w:lineRule="auto"/>
        <w:rPr>
          <w:sz w:val="20"/>
          <w:szCs w:val="20"/>
          <w:color w:val="auto"/>
        </w:rPr>
      </w:pPr>
      <w:r>
        <w:rPr>
          <w:rFonts w:ascii="Arial" w:cs="Arial" w:eastAsia="Arial" w:hAnsi="Arial"/>
          <w:sz w:val="18"/>
          <w:szCs w:val="18"/>
          <w:b w:val="1"/>
          <w:bCs w:val="1"/>
          <w:color w:val="auto"/>
        </w:rPr>
        <w:t>A further list and description of risks and uncertainties can be found in M I’s Annual Report on Form 10-K for the fiscal year ending December 31, 2017 that M I filed with the SEC and in the preliminary proxy statement on Schedule 14A that M I filed with the SEC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On May 15, 2018, M I issued a promissory note in the aggregate principal amount of </w:t>
      </w:r>
      <w:r>
        <w:rPr>
          <w:rFonts w:ascii="Arial" w:cs="Arial" w:eastAsia="Arial" w:hAnsi="Arial"/>
          <w:sz w:val="17"/>
          <w:szCs w:val="17"/>
          <w:color w:val="auto"/>
          <w:highlight w:val="white"/>
        </w:rPr>
        <w:t>$132,752.73 to Priority.</w:t>
      </w:r>
      <w:r>
        <w:rPr>
          <w:rFonts w:ascii="Arial" w:cs="Arial" w:eastAsia="Arial" w:hAnsi="Arial"/>
          <w:sz w:val="17"/>
          <w:szCs w:val="17"/>
          <w:color w:val="auto"/>
        </w:rPr>
        <w:t xml:space="preserve"> The $132,752.73 received by M I upon issuance of the note was deposited into the M I trust account for the benefit of its public stockholders in order to extend the </w:t>
      </w:r>
      <w:r>
        <w:rPr>
          <w:rFonts w:ascii="Arial" w:cs="Arial" w:eastAsia="Arial" w:hAnsi="Arial"/>
          <w:sz w:val="17"/>
          <w:szCs w:val="17"/>
          <w:color w:val="auto"/>
          <w:highlight w:val="white"/>
        </w:rPr>
        <w:t>period of time M I has to complete a</w:t>
      </w:r>
      <w:r>
        <w:rPr>
          <w:rFonts w:ascii="Arial" w:cs="Arial" w:eastAsia="Arial" w:hAnsi="Arial"/>
          <w:sz w:val="17"/>
          <w:szCs w:val="17"/>
          <w:color w:val="auto"/>
        </w:rPr>
        <w:t xml:space="preserve"> </w:t>
      </w:r>
      <w:r>
        <w:rPr>
          <w:rFonts w:ascii="Arial" w:cs="Arial" w:eastAsia="Arial" w:hAnsi="Arial"/>
          <w:sz w:val="17"/>
          <w:szCs w:val="17"/>
          <w:color w:val="auto"/>
          <w:highlight w:val="white"/>
        </w:rPr>
        <w:t>business combination for an additional one month period, from May 19, 2018 to June 19, 2018. The note does not bear interest and is payable five business days after the date M I completes a business combination. The following events constitute events of default under the note:</w:t>
      </w:r>
    </w:p>
    <w:p>
      <w:pPr>
        <w:spacing w:after="0" w:line="17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 w:type="dxa"/>
            <w:vAlign w:val="bottom"/>
            <w:tcBorders>
              <w:bottom w:val="single" w:sz="8" w:color="0000EE"/>
            </w:tcBorders>
            <w:gridSpan w:val="3"/>
          </w:tcPr>
          <w:p>
            <w:pPr>
              <w:jc w:val="right"/>
              <w:ind w:right="20"/>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40" w:type="dxa"/>
            <w:vAlign w:val="bottom"/>
          </w:tcPr>
          <w:p>
            <w:pPr>
              <w:spacing w:after="0"/>
              <w:rPr>
                <w:sz w:val="18"/>
                <w:szCs w:val="18"/>
                <w:color w:val="auto"/>
              </w:rPr>
            </w:pPr>
          </w:p>
        </w:tc>
        <w:tc>
          <w:tcPr>
            <w:tcW w:w="1940" w:type="dxa"/>
            <w:vAlign w:val="bottom"/>
            <w:tcBorders>
              <w:bottom w:val="single" w:sz="8" w:color="0000EE"/>
            </w:tcBorders>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Promissory Note issued to</w:t>
              </w:r>
            </w:hyperlink>
          </w:p>
        </w:tc>
        <w:tc>
          <w:tcPr>
            <w:tcW w:w="2040" w:type="dxa"/>
            <w:vAlign w:val="bottom"/>
            <w:tcBorders>
              <w:bottom w:val="single" w:sz="8" w:color="0000EE"/>
            </w:tcBorders>
            <w:gridSpan w:val="3"/>
            <w:shd w:val="clear" w:color="auto" w:fill="FEFEFE"/>
          </w:tcPr>
          <w:p>
            <w:pPr>
              <w:spacing w:after="0"/>
              <w:rPr>
                <w:rFonts w:ascii="Arial" w:cs="Arial" w:eastAsia="Arial" w:hAnsi="Arial"/>
                <w:sz w:val="18"/>
                <w:szCs w:val="18"/>
                <w:color w:val="0000EE"/>
                <w:highlight w:val="white"/>
                <w:w w:val="91"/>
              </w:rPr>
            </w:pPr>
            <w:hyperlink w:anchor="page5">
              <w:r>
                <w:rPr>
                  <w:rFonts w:ascii="Arial" w:cs="Arial" w:eastAsia="Arial" w:hAnsi="Arial"/>
                  <w:sz w:val="18"/>
                  <w:szCs w:val="18"/>
                  <w:color w:val="0000EE"/>
                  <w:highlight w:val="white"/>
                  <w:w w:val="91"/>
                </w:rPr>
                <w:t>Priority dated May 15, 2018</w:t>
              </w:r>
            </w:hyperlink>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640" w:type="dxa"/>
            <w:vAlign w:val="bottom"/>
            <w:vMerge w:val="restart"/>
          </w:tcPr>
          <w:p>
            <w:pPr>
              <w:spacing w:after="0"/>
              <w:rPr>
                <w:sz w:val="19"/>
                <w:szCs w:val="19"/>
                <w:color w:val="auto"/>
              </w:rPr>
            </w:pPr>
          </w:p>
        </w:tc>
        <w:tc>
          <w:tcPr>
            <w:tcW w:w="2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 w:type="dxa"/>
            <w:vAlign w:val="bottom"/>
            <w:shd w:val="clear" w:color="auto" w:fill="FEFEFE"/>
          </w:tcPr>
          <w:p>
            <w:pPr>
              <w:jc w:val="right"/>
              <w:spacing w:after="0" w:line="176" w:lineRule="exact"/>
              <w:rPr>
                <w:rFonts w:ascii="Arial" w:cs="Arial" w:eastAsia="Arial" w:hAnsi="Arial"/>
                <w:sz w:val="18"/>
                <w:szCs w:val="18"/>
                <w:color w:val="0000EE"/>
                <w:highlight w:val="white"/>
                <w:w w:val="79"/>
              </w:rPr>
            </w:pPr>
            <w:hyperlink w:anchor="page9">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80" w:type="dxa"/>
            <w:vAlign w:val="bottom"/>
            <w:gridSpan w:val="3"/>
            <w:shd w:val="clear" w:color="auto" w:fill="FEFEFE"/>
          </w:tcPr>
          <w:p>
            <w:pPr>
              <w:spacing w:after="0" w:line="176" w:lineRule="exact"/>
              <w:rPr>
                <w:rFonts w:ascii="Arial" w:cs="Arial" w:eastAsia="Arial" w:hAnsi="Arial"/>
                <w:sz w:val="18"/>
                <w:szCs w:val="18"/>
                <w:color w:val="0000EE"/>
                <w:highlight w:val="white"/>
                <w:w w:val="87"/>
              </w:rPr>
            </w:pPr>
            <w:hyperlink w:anchor="page9">
              <w:r>
                <w:rPr>
                  <w:rFonts w:ascii="Arial" w:cs="Arial" w:eastAsia="Arial" w:hAnsi="Arial"/>
                  <w:sz w:val="18"/>
                  <w:szCs w:val="18"/>
                  <w:color w:val="0000EE"/>
                  <w:highlight w:val="white"/>
                  <w:w w:val="87"/>
                </w:rPr>
                <w:t>Press Release dated May 17, 2018</w:t>
              </w:r>
            </w:hyperlink>
          </w:p>
        </w:tc>
        <w:tc>
          <w:tcPr>
            <w:tcW w:w="7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FEFEF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9440" w:val="left"/>
        </w:tabs>
        <w:rPr>
          <w:sz w:val="20"/>
          <w:szCs w:val="20"/>
          <w:color w:val="auto"/>
        </w:rPr>
      </w:pPr>
      <w:r>
        <w:rPr>
          <w:rFonts w:ascii="Arial" w:cs="Arial" w:eastAsia="Arial" w:hAnsi="Arial"/>
          <w:sz w:val="18"/>
          <w:szCs w:val="18"/>
          <w:color w:val="auto"/>
        </w:rPr>
        <w:t>Principal Amount: $132,752.73</w:t>
      </w:r>
      <w:r>
        <w:rPr>
          <w:sz w:val="20"/>
          <w:szCs w:val="20"/>
          <w:color w:val="auto"/>
        </w:rPr>
        <w:tab/>
      </w:r>
      <w:r>
        <w:rPr>
          <w:rFonts w:ascii="Arial" w:cs="Arial" w:eastAsia="Arial" w:hAnsi="Arial"/>
          <w:sz w:val="16"/>
          <w:szCs w:val="16"/>
          <w:color w:val="auto"/>
        </w:rPr>
        <w:t>Dated as of May __, 2018</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Priority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Thirty Two Thousand Seven Hundred Fifty Two Dollars and Seventy Three Cents ($132,752.73)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292" w:right="60" w:hanging="644"/>
        <w:spacing w:after="0" w:line="258"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8"/>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6" w:name="page7"/>
    <w:bookmarkEnd w:id="6"/>
    <w:p>
      <w:pPr>
        <w:ind w:left="660" w:right="480" w:hanging="652"/>
        <w:spacing w:after="0" w:line="314" w:lineRule="auto"/>
        <w:tabs>
          <w:tab w:leader="none" w:pos="660" w:val="left"/>
        </w:tabs>
        <w:numPr>
          <w:ilvl w:val="0"/>
          <w:numId w:val="9"/>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00" w:lineRule="exact"/>
        <w:rPr>
          <w:sz w:val="20"/>
          <w:szCs w:val="20"/>
          <w:color w:val="auto"/>
        </w:rPr>
      </w:pPr>
    </w:p>
    <w:p>
      <w:pPr>
        <w:spacing w:after="0" w:line="227"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ind w:left="660" w:right="20" w:hanging="652"/>
        <w:spacing w:after="0" w:line="282"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highlight w:val="white"/>
        </w:rPr>
        <w:t>New York, NY, May 17, 2018 --- M I Acquisitions, Inc. (NASDAQ: MACQU, MACQ, MACQW) (“M I”), a Magna-sponsored special purpose acquisition company, announced today that Priority Holdings, LLC (“Priority”) has deposited into the M I trust account (the “Trust Account”) an aggregate of $132,752.73 (representing approximately $0.025 per share of common stock), in order to extend the period of time M I has to complete a business combination for an additional one (1) month period, from May 19, 2018 to June 19, 2018. M I issued a promissory note to Priority with a principal amount equal to the amount deposited. The purpose of the extension is to provide time for M I to complete its previously announced business combination with Priority, a leading provider of B2C and B2B payment processing solutions based in Alpharetta, GA.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097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abstractNum>
  <w:abstractNum w:abstractNumId="7">
    <w:nsid w:val="12200854"/>
    <w:multiLevelType w:val="hybridMultilevel"/>
    <w:lvl w:ilvl="0">
      <w:lvlJc w:val="left"/>
      <w:lvlText w:val="%1."/>
      <w:numFmt w:val="decimal"/>
      <w:start w:val="5"/>
    </w:lvl>
    <w:lvl w:ilvl="1">
      <w:lvlJc w:val="left"/>
      <w:lvlText w:val="(%2)"/>
      <w:numFmt w:val="lowerLetter"/>
      <w:start w:val="1"/>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2020-01-15T12:21:33Z</dcterms:created>
  <dcterms:modified xsi:type="dcterms:W3CDTF">2020-01-15T12:21:33Z</dcterms:modified>
</cp:coreProperties>
</file>